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Table</w:t>
          </w:r>
          <w:r>
            <w:t xml:space="preserve"> </w:t>
          </w:r>
          <w:r>
            <w:t xml:space="preserve">des</w:t>
          </w:r>
          <w:r>
            <w:t xml:space="preserve"> </w:t>
          </w:r>
          <w:r>
            <w:t xml:space="preserve">matières</w:t>
          </w:r>
        </w:p>
        <w:p>
          <w:r>
            <w:fldChar w:fldCharType="begin" w:dirty="true"/>
            <w:instrText xml:space="preserve">TOC \o "1-2" \h \z \u</w:instrText>
            <w:fldChar w:fldCharType="separate"/>
            <w:fldChar w:fldCharType="end"/>
          </w:r>
        </w:p>
      </w:sdtContent>
    </w:sdt>
    <w:bookmarkStart w:id="20" w:name="mentions-légales"/>
    <w:p>
      <w:pPr>
        <w:pStyle w:val="Heading1"/>
      </w:pPr>
      <w:r>
        <w:t xml:space="preserve">Mentions légales</w:t>
      </w:r>
    </w:p>
    <w:p>
      <w:pPr>
        <w:pStyle w:val="FirstParagraph"/>
      </w:pPr>
      <w:r>
        <w:rPr>
          <w:bCs/>
          <w:b/>
        </w:rPr>
        <w:t xml:space="preserve">Le guide des peptides</w:t>
      </w:r>
      <w:r>
        <w:t xml:space="preserve"> </w:t>
      </w:r>
      <w:r>
        <w:t xml:space="preserve">Toutes les études chez l’humain comparées – effets, risques, statut juridique et perspectives</w:t>
      </w:r>
    </w:p>
    <w:p>
      <w:pPr>
        <w:pStyle w:val="BodyText"/>
      </w:pPr>
      <w:r>
        <w:t xml:space="preserve">© 2026 Josef Gallab. Tous droits réservés.</w:t>
      </w:r>
    </w:p>
    <w:p>
      <w:pPr>
        <w:pStyle w:val="BodyText"/>
      </w:pPr>
      <w:r>
        <w:t xml:space="preserve">Première édition. État des recherches : octobre/novembre 2026. Traduit de l’original allemand.</w:t>
      </w:r>
    </w:p>
    <w:p>
      <w:pPr>
        <w:pStyle w:val="BodyText"/>
      </w:pPr>
      <w:r>
        <w:t xml:space="preserve">Ce livre a un but purement informatif. Il ne remplace ni un avis médical, ni un diagnostic, ni un traitement</w:t>
      </w:r>
      <w:r>
        <w:t xml:space="preserve"> </w:t>
      </w:r>
      <w:r>
        <w:t xml:space="preserve">et ne contient aucune recommandation d’utilisation. Nombre des substances décrites ne sont pas autorisées comme médicaments.</w:t>
      </w:r>
    </w:p>
    <w:p>
      <w:pPr>
        <w:pStyle w:val="BodyText"/>
      </w:pPr>
      <w:r>
        <w:t xml:space="preserve">Couverture : Josef Gallab</w:t>
      </w:r>
    </w:p>
    <w:p>
      <w:pPr>
        <w:pStyle w:val="BodyText"/>
      </w:pPr>
      <w:r>
        <w:t xml:space="preserve">Les informations sur les autorisations, le statut juridique et le statut antidopage reflètent la situation d’octobre/novembre 2026. Elles peuvent changer à tout moment – veuillez les vérifier avant toute décision. Les sources de chaque affirmation figurent dans les notes de bas de page et dans l’index des études.</w:t>
      </w:r>
    </w:p>
    <w:p>
      <w:pPr>
        <w:pStyle w:val="BodyText"/>
      </w:pPr>
      <w:r>
        <w:t xml:space="preserve">Toute reproduction ou diffusion, même partielle, est interdite sans l’autorisation écrite de l’auteur.</w:t>
      </w:r>
    </w:p>
    <w:bookmarkEnd w:id="20"/>
    <w:bookmarkStart w:id="21" w:name="préface"/>
    <w:p>
      <w:pPr>
        <w:pStyle w:val="Heading1"/>
      </w:pPr>
      <w:r>
        <w:t xml:space="preserve">Préface</w:t>
      </w:r>
    </w:p>
    <w:p>
      <w:pPr>
        <w:pStyle w:val="FirstParagraph"/>
      </w:pPr>
      <w:r>
        <w:t xml:space="preserve">Depuis plus de cinq ans, les peptides ne me lâchent plus. Tout a commencé comme pour beaucoup : par le sport, avec l’envie de récupérer plus vite, d’être plus performant et de tirer davantage de mon corps. C’est par le biohacking que je suis tombé sur des substances dont la plupart des gens n’ont jamais entendu parler – BPC-157, MOTS-c, Semax, GHK-Cu, plus tard le rétatrutide. Je m’y suis intéressé de près, j’ai lu d’innombrables témoignages et j’ai parlé avec beaucoup de personnes qui les utilisent.</w:t>
      </w:r>
    </w:p>
    <w:p>
      <w:pPr>
        <w:pStyle w:val="BodyText"/>
      </w:pPr>
      <w:r>
        <w:t xml:space="preserve">Ce qui m’a toujours dérangé : les informations que l’on trouve relèvent soit de la publicité, soit de l’alarmisme. Les sites des vendeurs promettent des miracles, sur les forums l’enthousiasme alterne avec les histoires d’horreur, et de l’autre côté on trouve souvent un rejet en bloc. Ce qui manque presque toujours, c’est un regard sobre sur les études. Qu’est-ce qui a vraiment été étudié – chez l’humain, pas seulement chez le rat ? Quelle était la taille des études ? Que sait-on des risques ?</w:t>
      </w:r>
    </w:p>
    <w:p>
      <w:pPr>
        <w:pStyle w:val="BodyText"/>
      </w:pPr>
      <w:r>
        <w:t xml:space="preserve">Ce livre est celui que j’aurais moi-même aimé avoir il y a cinq ans.</w:t>
      </w:r>
    </w:p>
    <w:p>
      <w:pPr>
        <w:pStyle w:val="BodyText"/>
      </w:pPr>
      <w:r>
        <w:t xml:space="preserve">Je suis convaincu que les peptides comptent parmi les évolutions les plus passionnantes de la médecine. En quelques années, les médicaments GLP-1 ont changé notre façon de penser l’excès de poids, le diabète et la santé cardiaque. Beaucoup d’autres peptides montrent en laboratoire et dans les premières études un potentiel qui m’enthousiasme. Je crois qu’ils pourront un jour résoudre bon nombre de nos problèmes de santé et nous aider à tirer le meilleur de notre corps.</w:t>
      </w:r>
    </w:p>
    <w:p>
      <w:pPr>
        <w:pStyle w:val="BodyText"/>
      </w:pPr>
      <w:r>
        <w:t xml:space="preserve">Mais – et c’est précisément pour cela que ce livre est tel qu’il est – l’enthousiasme ne remplace pas les preuves. Pour de nombreux peptides célébrés sur Internet, il n’existe à ce jour aucune étude probante chez l’humain. Même un très grand nombre de témoignages reste une collection de cas isolés, pas une preuve. Qui suit aveuglément chaque engouement prend des risques que souvent personne ne connaît : produits contaminés du marché gris, effets à long terme inconnus, problèmes juridiques.</w:t>
      </w:r>
    </w:p>
    <w:p>
      <w:pPr>
        <w:pStyle w:val="BodyText"/>
      </w:pPr>
      <w:r>
        <w:t xml:space="preserve">C’est pourquoi tu trouveras dans ce livre, pour chacun des 58 peptides, les deux : le potentiel et les questions ouvertes. Chaque affirmation s’appuie sur une source que tu peux vérifier toi-même. Les niveaux de preuve de A à D te montrent d’un coup d’œil à quel point les connaissances sont solides. Et là où les données sont minces, c’est écrit noir sur blanc.</w:t>
      </w:r>
    </w:p>
    <w:p>
      <w:pPr>
        <w:pStyle w:val="BodyText"/>
      </w:pPr>
      <w:r>
        <w:t xml:space="preserve">Tu ne trouveras ici ni posologies ni sources d’approvisionnement. C’est voulu. Ce livre doit t’aider à te forger ton propre jugement – et à poser les bonnes questions lorsque tu parles avec ta médecin ou ton médecin.</w:t>
      </w:r>
    </w:p>
    <w:p>
      <w:pPr>
        <w:pStyle w:val="BodyText"/>
      </w:pPr>
      <w:r>
        <w:t xml:space="preserve">La recherche avance plus vite que jamais. Beaucoup de questions encore ouvertes aujourd’hui trouveront une réponse d’ici quelques années. Je m’en réjouis – et j’espère que ce livre t’accompagnera sur ce chemin.</w:t>
      </w:r>
    </w:p>
    <w:p>
      <w:pPr>
        <w:pStyle w:val="BodyText"/>
      </w:pPr>
      <w:r>
        <w:rPr>
          <w:iCs/>
          <w:i/>
        </w:rPr>
        <w:t xml:space="preserve">Josef Gallab</w:t>
      </w:r>
    </w:p>
    <w:bookmarkEnd w:id="21"/>
    <w:bookmarkStart w:id="28" w:name="avertissement-important"/>
    <w:p>
      <w:pPr>
        <w:pStyle w:val="Heading1"/>
      </w:pPr>
      <w:r>
        <w:t xml:space="preserve">Avertissement important</w:t>
      </w:r>
    </w:p>
    <w:bookmarkStart w:id="22" w:name="ne-remplace-pas-un-avis-médical"/>
    <w:p>
      <w:pPr>
        <w:pStyle w:val="Heading3"/>
      </w:pPr>
      <w:r>
        <w:t xml:space="preserve">Ne remplace pas un avis médical</w:t>
      </w:r>
    </w:p>
    <w:p>
      <w:pPr>
        <w:pStyle w:val="FirstParagraph"/>
      </w:pPr>
      <w:r>
        <w:t xml:space="preserve">Ce livre a pour seul objet l’information et la formation générales. Il ne remplace ni une consultation médicale, ni un diagnostic, ni un traitement. Avant de prendre des décisions concernant ta santé, de commencer, d’arrêter ou de modifier un médicament, parles-en à un médecin ou à un pharmacien. En cas de troubles aigus, adresse-toi au service médical d’urgence ou appelle les secours.</w:t>
      </w:r>
    </w:p>
    <w:bookmarkEnd w:id="22"/>
    <w:bookmarkStart w:id="23" w:name="aucune-recommandation-dutilisation"/>
    <w:p>
      <w:pPr>
        <w:pStyle w:val="Heading3"/>
      </w:pPr>
      <w:r>
        <w:t xml:space="preserve">Aucune recommandation d’utilisation</w:t>
      </w:r>
    </w:p>
    <w:p>
      <w:pPr>
        <w:pStyle w:val="FirstParagraph"/>
      </w:pPr>
      <w:r>
        <w:t xml:space="preserve">Ce livre ne contient délibérément aucune recommandation d’utilisation de peptides, aucune posologie, aucun mode d’emploi pour la prise ou l’injection, aucun cycle d’utilisation et aucune recommandation d’association. Lorsqu’une dose est mentionnée dans le texte, elle décrit uniquement ce qui a été étudié dans une étude donnée. Il ne s’agit pas d’une recommandation, et elle ne peut pas être transposée à ta situation personnelle. Pour les médicaments autorisés, ce sont le résumé des caractéristiques du produit, la notice et l’accompagnement médical qui font foi.</w:t>
      </w:r>
    </w:p>
    <w:bookmarkEnd w:id="23"/>
    <w:bookmarkStart w:id="24" w:name="X8c51d35a437fbfe128d03529a7fe1174173c7f8"/>
    <w:p>
      <w:pPr>
        <w:pStyle w:val="Heading3"/>
      </w:pPr>
      <w:r>
        <w:t xml:space="preserve">De nombreuses substances ne sont pas autorisées</w:t>
      </w:r>
    </w:p>
    <w:p>
      <w:pPr>
        <w:pStyle w:val="FirstParagraph"/>
      </w:pPr>
      <w:r>
        <w:t xml:space="preserve">Un grand nombre des peptides décrits dans ce livre ne sont</w:t>
      </w:r>
      <w:r>
        <w:t xml:space="preserve"> </w:t>
      </w:r>
      <w:r>
        <w:rPr>
          <w:bCs/>
          <w:b/>
        </w:rPr>
        <w:t xml:space="preserve">pas</w:t>
      </w:r>
      <w:r>
        <w:t xml:space="preserve"> </w:t>
      </w:r>
      <w:r>
        <w:t xml:space="preserve">autorisés en tant que médicaments dans l’Union européenne, en Autriche, en Allemagne et aux États-Unis. Pour beaucoup d’entre eux, il n’existe que des études chez l’animal ou en laboratoire. La présentation de ces substances dans ce livre ne constitue ni une affirmation sur leur efficacité ou leur sécurité chez l’humain, ni une incitation à les utiliser. Les produits proposés sur Internet comme « Research Peptides » ou « uniquement à des fins de recherche » peuvent être mal dosés, contaminés ou contrefaits. Leur utilisation peut avoir des conséquences sanitaires et juridiques importantes.</w:t>
      </w:r>
    </w:p>
    <w:bookmarkEnd w:id="24"/>
    <w:bookmarkStart w:id="25" w:name="dopage"/>
    <w:p>
      <w:pPr>
        <w:pStyle w:val="Heading3"/>
      </w:pPr>
      <w:r>
        <w:t xml:space="preserve">Dopage</w:t>
      </w:r>
    </w:p>
    <w:p>
      <w:pPr>
        <w:pStyle w:val="FirstParagraph"/>
      </w:pPr>
      <w:r>
        <w:t xml:space="preserve">De nombreux peptides décrits figurent sur la liste des interdictions de l’Agence mondiale antidopage (AMA, en anglais WADA). Leur utilisation peut entraîner des suspensions pour les sportives et sportifs soumis à des contrôles antidopage. En Autriche et en Allemagne, le commerce, la cession et, dans certains cas, la détention de produits dopants peuvent être pénalement sanctionnés.</w:t>
      </w:r>
    </w:p>
    <w:bookmarkEnd w:id="25"/>
    <w:bookmarkStart w:id="26" w:name="mise-à-jour-et-garantie"/>
    <w:p>
      <w:pPr>
        <w:pStyle w:val="Heading3"/>
      </w:pPr>
      <w:r>
        <w:t xml:space="preserve">Mise à jour et garantie</w:t>
      </w:r>
    </w:p>
    <w:p>
      <w:pPr>
        <w:pStyle w:val="FirstParagraph"/>
      </w:pPr>
      <w:r>
        <w:t xml:space="preserve">Les informations de ce livre correspondent à l’</w:t>
      </w:r>
      <w:r>
        <w:rPr>
          <w:bCs/>
          <w:b/>
        </w:rPr>
        <w:t xml:space="preserve">état de novembre 2026</w:t>
      </w:r>
      <w:r>
        <w:t xml:space="preserve">. Les recherches dans les bases de données ont été effectuées en octobre 2026. Les connaissances médicales, les autorisations, les lois et les règles antidopage évoluent en permanence. Toutes les indications ont été rassemblées en toute bonne foi et avec le plus grand soin, mais sans garantie d’exactitude, d’exhaustivité ni d’actualité. La responsabilité de l’auteur pour les dommages résultant de l’utilisation des informations de ce livre est exclue dans la mesure où la loi le permet. La présentation de la situation juridique ne constitue pas un conseil juridique.</w:t>
      </w:r>
    </w:p>
    <w:bookmarkEnd w:id="26"/>
    <w:bookmarkStart w:id="27" w:name="comment-ce-livre-a-été-réalisé"/>
    <w:p>
      <w:pPr>
        <w:pStyle w:val="Heading3"/>
      </w:pPr>
      <w:r>
        <w:t xml:space="preserve">Comment ce livre a été réalisé</w:t>
      </w:r>
    </w:p>
    <w:p>
      <w:pPr>
        <w:pStyle w:val="FirstParagraph"/>
      </w:pPr>
      <w:r>
        <w:t xml:space="preserve">Pour ce livre, les bases de données PubMed et ClinicalTrials.gov ont été systématiquement interrogées et les résumés des études trouvées ont été analysés.</w:t>
      </w:r>
    </w:p>
    <w:p>
      <w:pPr>
        <w:pStyle w:val="BodyText"/>
      </w:pPr>
      <w:r>
        <w:t xml:space="preserve">Pour éviter les erreurs, des règles strictes s’appliquent : chaque étude citée est accompagnée de son numéro PubMed (PMID) ou de son numéro d’enregistrement sur ClinicalTrials.gov (numéro NCT). Chaque chiffre provient du résumé de la publication concernée ou de l’entrée du registre. Tous les numéros cités ont en outre été vérifiés automatiquement dans les bases de données. Tu peux ainsi consulter toi-même chaque source et vérifier les indications. La section suivante explique comment procéder ; tu trouveras des détails sur la recherche documentaire dans l’annexe « Méthodologie ».</w:t>
      </w:r>
    </w:p>
    <w:bookmarkEnd w:id="27"/>
    <w:bookmarkEnd w:id="28"/>
    <w:bookmarkStart w:id="37" w:name="à-propos-de-ce-livre"/>
    <w:p>
      <w:pPr>
        <w:pStyle w:val="Heading1"/>
      </w:pPr>
      <w:r>
        <w:t xml:space="preserve">À propos de ce livre</w:t>
      </w:r>
    </w:p>
    <w:bookmarkStart w:id="29" w:name="à-quoi-sert-ce-livre"/>
    <w:p>
      <w:pPr>
        <w:pStyle w:val="Heading3"/>
      </w:pPr>
      <w:r>
        <w:t xml:space="preserve">À quoi sert ce livre</w:t>
      </w:r>
    </w:p>
    <w:p>
      <w:pPr>
        <w:pStyle w:val="FirstParagraph"/>
      </w:pPr>
      <w:r>
        <w:t xml:space="preserve">Les peptides sont sur toutes les lèvres. Les « piqûres pour maigrir » comme le sémaglutide et le tirzépatide ont transformé le traitement de l’excès de poids, et des dizaines d’autres peptides sont proposés sur Internet – pour une guérison plus rapide, plus de muscles, une plus belle peau, plus d’énergie ou une vie plus longue. Entre les promesses des forums, des réseaux sociaux et des boutiques en ligne et ce qui a réellement été étudié chez l’humain, l’écart est souvent considérable.</w:t>
      </w:r>
    </w:p>
    <w:p>
      <w:pPr>
        <w:pStyle w:val="BodyText"/>
      </w:pPr>
      <w:r>
        <w:t xml:space="preserve">Ce livre veut rendre cet écart visible. Pour chaque peptide traité, il expose sobrement quelles études chez l’humain existent, ce qu’elles montrent et ce qu’elles ne montrent pas, quels risques sont connus et quelle est la situation juridique. Il compare les peptides entre eux et évalue la solidité des preuves dans chaque cas. Il doit t’aider à examiner les affirmations d’un œil critique et à mener des discussions éclairées avec les médecins et les pharmacies.</w:t>
      </w:r>
    </w:p>
    <w:bookmarkEnd w:id="29"/>
    <w:bookmarkStart w:id="30" w:name="à-qui-sadresse-ce-livre"/>
    <w:p>
      <w:pPr>
        <w:pStyle w:val="Heading3"/>
      </w:pPr>
      <w:r>
        <w:t xml:space="preserve">À qui s’adresse ce livre</w:t>
      </w:r>
    </w:p>
    <w:p>
      <w:pPr>
        <w:numPr>
          <w:ilvl w:val="0"/>
          <w:numId w:val="1001"/>
        </w:numPr>
        <w:pStyle w:val="Compact"/>
      </w:pPr>
      <w:r>
        <w:t xml:space="preserve">Aux</w:t>
      </w:r>
      <w:r>
        <w:t xml:space="preserve"> </w:t>
      </w:r>
      <w:r>
        <w:rPr>
          <w:bCs/>
          <w:b/>
        </w:rPr>
        <w:t xml:space="preserve">profanes intéressés</w:t>
      </w:r>
      <w:r>
        <w:t xml:space="preserve"> </w:t>
      </w:r>
      <w:r>
        <w:t xml:space="preserve">qui veulent savoir ce qui se cache derrière l’engouement pour les peptides.</w:t>
      </w:r>
    </w:p>
    <w:p>
      <w:pPr>
        <w:numPr>
          <w:ilvl w:val="0"/>
          <w:numId w:val="1001"/>
        </w:numPr>
        <w:pStyle w:val="Compact"/>
      </w:pPr>
      <w:r>
        <w:t xml:space="preserve">Aux personnes à qui l’on a prescrit un</w:t>
      </w:r>
      <w:r>
        <w:t xml:space="preserve"> </w:t>
      </w:r>
      <w:r>
        <w:rPr>
          <w:bCs/>
          <w:b/>
        </w:rPr>
        <w:t xml:space="preserve">médicament peptidique autorisé</w:t>
      </w:r>
      <w:r>
        <w:t xml:space="preserve">, ou qui l’envisagent, et qui souhaitent comprendre l’état des études.</w:t>
      </w:r>
    </w:p>
    <w:p>
      <w:pPr>
        <w:numPr>
          <w:ilvl w:val="0"/>
          <w:numId w:val="1001"/>
        </w:numPr>
        <w:pStyle w:val="Compact"/>
      </w:pPr>
      <w:r>
        <w:t xml:space="preserve">Aux</w:t>
      </w:r>
      <w:r>
        <w:t xml:space="preserve"> </w:t>
      </w:r>
      <w:r>
        <w:rPr>
          <w:bCs/>
          <w:b/>
        </w:rPr>
        <w:t xml:space="preserve">sportives et sportifs</w:t>
      </w:r>
      <w:r>
        <w:t xml:space="preserve">, entraîneuses et entraîneurs qui veulent évaluer les promesses publicitaires et les risques de dopage.</w:t>
      </w:r>
    </w:p>
    <w:p>
      <w:pPr>
        <w:numPr>
          <w:ilvl w:val="0"/>
          <w:numId w:val="1001"/>
        </w:numPr>
        <w:pStyle w:val="Compact"/>
      </w:pPr>
      <w:r>
        <w:t xml:space="preserve">Aux</w:t>
      </w:r>
      <w:r>
        <w:t xml:space="preserve"> </w:t>
      </w:r>
      <w:r>
        <w:rPr>
          <w:bCs/>
          <w:b/>
        </w:rPr>
        <w:t xml:space="preserve">professionnels</w:t>
      </w:r>
      <w:r>
        <w:t xml:space="preserve"> </w:t>
      </w:r>
      <w:r>
        <w:t xml:space="preserve">de la pharmacie, de la médecine, de la diététique, de la cosmétique et du journalisme qui recherchent une vue d’ensemble rapide et fondée sur des sources.</w:t>
      </w:r>
    </w:p>
    <w:p>
      <w:pPr>
        <w:pStyle w:val="FirstParagraph"/>
      </w:pPr>
      <w:r>
        <w:t xml:space="preserve">Aucune connaissance préalable n’est nécessaire. Les termes techniques sont expliqués lors de leur première apparition et figurent en outre dans le glossaire.</w:t>
      </w:r>
    </w:p>
    <w:bookmarkEnd w:id="30"/>
    <w:bookmarkStart w:id="31" w:name="comment-le-livre-est-organisé"/>
    <w:p>
      <w:pPr>
        <w:pStyle w:val="Heading3"/>
      </w:pPr>
      <w:r>
        <w:t xml:space="preserve">Comment le livre est organisé</w:t>
      </w:r>
    </w:p>
    <w:p>
      <w:pPr>
        <w:pStyle w:val="FirstParagraph"/>
      </w:pPr>
      <w:r>
        <w:rPr>
          <w:bCs/>
          <w:b/>
        </w:rPr>
        <w:t xml:space="preserve">Partie I – Notions de base</w:t>
      </w:r>
      <w:r>
        <w:t xml:space="preserve"> </w:t>
      </w:r>
      <w:r>
        <w:t xml:space="preserve">explique ce que sont les peptides, comment la médecine peptidique s’est développée, comment les peptides pénètrent dans l’organisme, comment lire les études, ce qui se passe sur le marché gris et quel cadre juridique s’applique. Si ces sujets ne te sont pas familiers, commence par là.</w:t>
      </w:r>
    </w:p>
    <w:p>
      <w:pPr>
        <w:pStyle w:val="BodyText"/>
      </w:pPr>
      <w:r>
        <w:rPr>
          <w:bCs/>
          <w:b/>
        </w:rPr>
        <w:t xml:space="preserve">Partie II – Les peptides</w:t>
      </w:r>
      <w:r>
        <w:t xml:space="preserve"> </w:t>
      </w:r>
      <w:r>
        <w:t xml:space="preserve">présente les différentes substances actives en six groupes : métabolisme et poids ; guérison, régénération et système immunitaire ; axe de l’hormone de croissance ; cerveau, sommeil et longévité ; hormones, sexualité et pigmentation ; collagène, nutrition et cosmétique. Chaque chapitre suit la même structure : fiche signalétique, mode d’action, études chez l’humain, études animales et de laboratoire, risques et effets indésirables, statut juridique, études en cours et perspectives, conclusion. Tu peux ainsi comparer facilement les peptides entre eux et faire des recherches ciblées.</w:t>
      </w:r>
    </w:p>
    <w:p>
      <w:pPr>
        <w:pStyle w:val="BodyText"/>
      </w:pPr>
      <w:r>
        <w:rPr>
          <w:bCs/>
          <w:b/>
        </w:rPr>
        <w:t xml:space="preserve">Partie III – La grande comparaison</w:t>
      </w:r>
      <w:r>
        <w:t xml:space="preserve"> </w:t>
      </w:r>
      <w:r>
        <w:t xml:space="preserve">met tous les peptides côte à côte et compare directement les médicaments GLP-1.</w:t>
      </w:r>
    </w:p>
    <w:p>
      <w:pPr>
        <w:pStyle w:val="BodyText"/>
      </w:pPr>
      <w:r>
        <w:rPr>
          <w:bCs/>
          <w:b/>
        </w:rPr>
        <w:t xml:space="preserve">Partie IV – Risques</w:t>
      </w:r>
      <w:r>
        <w:t xml:space="preserve"> </w:t>
      </w:r>
      <w:r>
        <w:t xml:space="preserve">résume les effets indésirables, les risques de cancer et les risques immunitaires, les problèmes des produits du marché gris et les groupes à risque particuliers.</w:t>
      </w:r>
    </w:p>
    <w:p>
      <w:pPr>
        <w:pStyle w:val="BodyText"/>
      </w:pPr>
      <w:r>
        <w:rPr>
          <w:bCs/>
          <w:b/>
        </w:rPr>
        <w:t xml:space="preserve">Partie V – Avenir</w:t>
      </w:r>
      <w:r>
        <w:t xml:space="preserve"> </w:t>
      </w:r>
      <w:r>
        <w:t xml:space="preserve">se penche sur les produits en développement, les nouvelles formes galéniques, l’expiration des brevets et les prix. Les faits établis et les estimations y sont clairement distingués.</w:t>
      </w:r>
    </w:p>
    <w:p>
      <w:pPr>
        <w:pStyle w:val="BodyText"/>
      </w:pPr>
      <w:r>
        <w:t xml:space="preserve">Dans l’</w:t>
      </w:r>
      <w:r>
        <w:rPr>
          <w:bCs/>
          <w:b/>
        </w:rPr>
        <w:t xml:space="preserve">annexe</w:t>
      </w:r>
      <w:r>
        <w:t xml:space="preserve">, tu trouveras le glossaire, la méthodologie de la recherche documentaire et la liste des études analysées.</w:t>
      </w:r>
    </w:p>
    <w:bookmarkEnd w:id="31"/>
    <w:bookmarkStart w:id="32" w:name="les-niveaux-de-preuve"/>
    <w:p>
      <w:pPr>
        <w:pStyle w:val="Heading3"/>
      </w:pPr>
      <w:r>
        <w:t xml:space="preserve">Les niveaux de preuve</w:t>
      </w:r>
    </w:p>
    <w:p>
      <w:pPr>
        <w:pStyle w:val="FirstParagraph"/>
      </w:pPr>
      <w:r>
        <w:t xml:space="preserve">Chaque peptide reçoit dans sa fiche signalétique un niveau de preuve. Celui-ci décrit la qualité des données disponibles</w:t>
      </w:r>
      <w:r>
        <w:t xml:space="preserve"> </w:t>
      </w:r>
      <w:r>
        <w:rPr>
          <w:bCs/>
          <w:b/>
        </w:rPr>
        <w:t xml:space="preserve">chez l’humain</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Signification</w:t>
            </w:r>
          </w:p>
        </w:tc>
      </w:tr>
      <w:tr>
        <w:tc>
          <w:tcPr/>
          <w:p>
            <w:pPr>
              <w:pStyle w:val="Compact"/>
              <w:jc w:val="left"/>
            </w:pPr>
            <w:r>
              <w:t xml:space="preserve">A</w:t>
            </w:r>
          </w:p>
        </w:tc>
        <w:tc>
          <w:tcPr/>
          <w:p>
            <w:pPr>
              <w:pStyle w:val="Compact"/>
              <w:jc w:val="left"/>
            </w:pPr>
            <w:r>
              <w:t xml:space="preserve">plusieurs grandes études randomisées chez l’humain, autorisation en tant que médicament</w:t>
            </w:r>
          </w:p>
        </w:tc>
      </w:tr>
      <w:tr>
        <w:tc>
          <w:tcPr/>
          <w:p>
            <w:pPr>
              <w:pStyle w:val="Compact"/>
              <w:jc w:val="left"/>
            </w:pPr>
            <w:r>
              <w:t xml:space="preserve">B</w:t>
            </w:r>
          </w:p>
        </w:tc>
        <w:tc>
          <w:tcPr/>
          <w:p>
            <w:pPr>
              <w:pStyle w:val="Compact"/>
              <w:jc w:val="left"/>
            </w:pPr>
            <w:r>
              <w:t xml:space="preserve">quelques études randomisées isolées chez l’humain</w:t>
            </w:r>
          </w:p>
        </w:tc>
      </w:tr>
      <w:tr>
        <w:tc>
          <w:tcPr/>
          <w:p>
            <w:pPr>
              <w:pStyle w:val="Compact"/>
              <w:jc w:val="left"/>
            </w:pPr>
            <w:r>
              <w:t xml:space="preserve">C</w:t>
            </w:r>
          </w:p>
        </w:tc>
        <w:tc>
          <w:tcPr/>
          <w:p>
            <w:pPr>
              <w:pStyle w:val="Compact"/>
              <w:jc w:val="left"/>
            </w:pPr>
            <w:r>
              <w:t xml:space="preserve">uniquement des études petites ou non contrôlées chez l’humain</w:t>
            </w:r>
          </w:p>
        </w:tc>
      </w:tr>
      <w:tr>
        <w:tc>
          <w:tcPr/>
          <w:p>
            <w:pPr>
              <w:pStyle w:val="Compact"/>
              <w:jc w:val="left"/>
            </w:pPr>
            <w:r>
              <w:t xml:space="preserve">D</w:t>
            </w:r>
          </w:p>
        </w:tc>
        <w:tc>
          <w:tcPr/>
          <w:p>
            <w:pPr>
              <w:pStyle w:val="Compact"/>
              <w:jc w:val="left"/>
            </w:pPr>
            <w:r>
              <w:t xml:space="preserve">uniquement des études animales et de laboratoire</w:t>
            </w:r>
          </w:p>
        </w:tc>
      </w:tr>
    </w:tbl>
    <w:p>
      <w:pPr>
        <w:pStyle w:val="BodyText"/>
      </w:pPr>
      <w:r>
        <w:t xml:space="preserve">Le niveau de preuve n’est ni une recommandation ni une affirmation sur la sécurité d’une substance. Une substance de niveau A a elle aussi des effets indésirables, et une substance de niveau D n’est pas forcément inefficace – elle n’a simplement pas encore été suffisamment étudiée chez l’humain. Ce que recouvrent les termes « randomisé », « contrôlé » ou « critère de substitution » est expliqué dans le chapitre « Bien lire les études ».</w:t>
      </w:r>
    </w:p>
    <w:bookmarkEnd w:id="32"/>
    <w:bookmarkStart w:id="33" w:name="comment-les-sources-sont-indiquées"/>
    <w:p>
      <w:pPr>
        <w:pStyle w:val="Heading3"/>
      </w:pPr>
      <w:r>
        <w:t xml:space="preserve">Comment les sources sont indiquées</w:t>
      </w:r>
    </w:p>
    <w:p>
      <w:pPr>
        <w:pStyle w:val="FirstParagraph"/>
      </w:pPr>
      <w:r>
        <w:t xml:space="preserve">Pour que le texte reste lisible, les sources figurent en notes de bas de page. Dans le livre numérique, un petit chiffre en exposant apparaît à l’endroit concerné ; il suffit de le toucher pour afficher la source. Chaque note indique le premier auteur ou la première autrice, l’année de publication et le numéro PubMed, par exemple : Wilding 2021, PMID 33567185.</w:t>
      </w:r>
    </w:p>
    <w:p>
      <w:pPr>
        <w:pStyle w:val="BodyText"/>
      </w:pPr>
      <w:r>
        <w:t xml:space="preserve">Les études enregistrées, en particulier celles en cours, sont indiquées avec leur numéro dans le registre américain ClinicalTrials.gov, par exemple NCT03548935. Dans les tableaux, les sources figurent directement dans la première colonne.</w:t>
      </w:r>
    </w:p>
    <w:p>
      <w:pPr>
        <w:pStyle w:val="BodyText"/>
      </w:pPr>
      <w:r>
        <w:t xml:space="preserve">Les notes sont regroupées à la fin de chaque chapitre ; l’index complet des études se trouve en annexe.</w:t>
      </w:r>
    </w:p>
    <w:bookmarkEnd w:id="33"/>
    <w:bookmarkStart w:id="34" w:name="comment-consulter-une-source"/>
    <w:p>
      <w:pPr>
        <w:pStyle w:val="Heading3"/>
      </w:pPr>
      <w:r>
        <w:t xml:space="preserve">Comment consulter une source</w:t>
      </w:r>
    </w:p>
    <w:p>
      <w:pPr>
        <w:pStyle w:val="FirstParagraph"/>
      </w:pPr>
      <w:r>
        <w:rPr>
          <w:bCs/>
          <w:b/>
        </w:rPr>
        <w:t xml:space="preserve">PMID</w:t>
      </w:r>
      <w:r>
        <w:t xml:space="preserve"> </w:t>
      </w:r>
      <w:r>
        <w:t xml:space="preserve">: l’identifiant PubMed est un numéro unique attribué à chaque entrée de PubMed, la base de données bibliographique en libre accès de la National Library of Medicine américaine.</w:t>
      </w:r>
    </w:p>
    <w:p>
      <w:pPr>
        <w:numPr>
          <w:ilvl w:val="0"/>
          <w:numId w:val="1002"/>
        </w:numPr>
        <w:pStyle w:val="Compact"/>
      </w:pPr>
      <w:r>
        <w:t xml:space="preserve">Ouvre dans ton navigateur la page pubmed.ncbi.nlm.nih.gov.</w:t>
      </w:r>
    </w:p>
    <w:p>
      <w:pPr>
        <w:numPr>
          <w:ilvl w:val="0"/>
          <w:numId w:val="1002"/>
        </w:numPr>
        <w:pStyle w:val="Compact"/>
      </w:pPr>
      <w:r>
        <w:t xml:space="preserve">Saisis le numéro dans le champ de recherche, par exemple 33567185, et lance la recherche.</w:t>
      </w:r>
    </w:p>
    <w:p>
      <w:pPr>
        <w:numPr>
          <w:ilvl w:val="0"/>
          <w:numId w:val="1002"/>
        </w:numPr>
        <w:pStyle w:val="Compact"/>
      </w:pPr>
      <w:r>
        <w:t xml:space="preserve">Tu accèdes directement à l’entrée avec le titre, les autrices et auteurs, la revue et, le plus souvent, un résumé (abstract).</w:t>
      </w:r>
    </w:p>
    <w:p>
      <w:pPr>
        <w:pStyle w:val="FirstParagraph"/>
      </w:pPr>
      <w:r>
        <w:t xml:space="preserve">Tu peux aussi ajouter directement le numéro à l’adresse : pubmed.ncbi.nlm.nih.gov/33567185. De nombreuses entrées contiennent un lien vers le texte intégral, disponible parfois gratuitement, parfois uniquement contre paiement.</w:t>
      </w:r>
    </w:p>
    <w:p>
      <w:pPr>
        <w:pStyle w:val="BodyText"/>
      </w:pPr>
      <w:r>
        <w:rPr>
          <w:bCs/>
          <w:b/>
        </w:rPr>
        <w:t xml:space="preserve">Numéro NCT</w:t>
      </w:r>
      <w:r>
        <w:t xml:space="preserve"> </w:t>
      </w:r>
      <w:r>
        <w:t xml:space="preserve">: tu trouveras les études enregistrées sur le site clinicaltrials.gov en saisissant le numéro dans le champ de recherche ou en l’ajoutant à l’adresse clinicaltrials.gov/study/, par exemple clinicaltrials.gov/study/NCT03548935. Tu y verras le plan de l’étude, le nombre de participants, les critères d’évaluation et le statut actuel.</w:t>
      </w:r>
    </w:p>
    <w:bookmarkEnd w:id="34"/>
    <w:bookmarkStart w:id="35" w:name="X9ccb35fd5f5f4ef6a6bd55c9bee2b43079f3107"/>
    <w:p>
      <w:pPr>
        <w:pStyle w:val="Heading3"/>
      </w:pPr>
      <w:r>
        <w:t xml:space="preserve">Ce que ce livre ne contient délibérément pas</w:t>
      </w:r>
    </w:p>
    <w:p>
      <w:pPr>
        <w:numPr>
          <w:ilvl w:val="0"/>
          <w:numId w:val="1003"/>
        </w:numPr>
        <w:pStyle w:val="Compact"/>
      </w:pPr>
      <w:r>
        <w:rPr>
          <w:bCs/>
          <w:b/>
        </w:rPr>
        <w:t xml:space="preserve">Aucune posologie ni mode d’emploi.</w:t>
      </w:r>
      <w:r>
        <w:t xml:space="preserve"> </w:t>
      </w:r>
      <w:r>
        <w:t xml:space="preserve">Il n’y a aucune indication sur la quantité, la fréquence ou la durée d’utilisation d’un peptide, aucun mode d’emploi pour la dissolution ou l’injection et aucune association de plusieurs substances. Pour les médicaments autorisés, le livre renvoie au résumé des caractéristiques du produit et à l’accompagnement médical.</w:t>
      </w:r>
    </w:p>
    <w:p>
      <w:pPr>
        <w:numPr>
          <w:ilvl w:val="0"/>
          <w:numId w:val="1003"/>
        </w:numPr>
        <w:pStyle w:val="Compact"/>
      </w:pPr>
      <w:r>
        <w:rPr>
          <w:bCs/>
          <w:b/>
        </w:rPr>
        <w:t xml:space="preserve">Aucune source d’approvisionnement.</w:t>
      </w:r>
      <w:r>
        <w:t xml:space="preserve"> </w:t>
      </w:r>
      <w:r>
        <w:t xml:space="preserve">Aucune boutique, aucun fabricant, aucune pharmacie ni aucun pays où l’on peut se procurer des peptides n’est cité, et aucune indication n’est donnée sur la manière de contourner les contrôles.</w:t>
      </w:r>
    </w:p>
    <w:p>
      <w:pPr>
        <w:numPr>
          <w:ilvl w:val="0"/>
          <w:numId w:val="1003"/>
        </w:numPr>
        <w:pStyle w:val="Compact"/>
      </w:pPr>
      <w:r>
        <w:rPr>
          <w:bCs/>
          <w:b/>
        </w:rPr>
        <w:t xml:space="preserve">Aucune promesse de guérison.</w:t>
      </w:r>
      <w:r>
        <w:t xml:space="preserve"> </w:t>
      </w:r>
      <w:r>
        <w:t xml:space="preserve">Le livre rapporte ce qui a été observé dans les études – et non ce qu’une substance produira chez toi.</w:t>
      </w:r>
    </w:p>
    <w:p>
      <w:pPr>
        <w:numPr>
          <w:ilvl w:val="0"/>
          <w:numId w:val="1003"/>
        </w:numPr>
        <w:pStyle w:val="Compact"/>
      </w:pPr>
      <w:r>
        <w:rPr>
          <w:bCs/>
          <w:b/>
        </w:rPr>
        <w:t xml:space="preserve">Aucune recommandation de produit.</w:t>
      </w:r>
      <w:r>
        <w:t xml:space="preserve"> </w:t>
      </w:r>
      <w:r>
        <w:t xml:space="preserve">Ni marques ni fournisseurs ne sont recommandés. Les noms commerciaux de médicaments autorisés ne sont mentionnés que lorsqu’ils sont nécessaires à la compréhension.</w:t>
      </w:r>
    </w:p>
    <w:bookmarkEnd w:id="35"/>
    <w:bookmarkStart w:id="36" w:name="un-dernier-mot"/>
    <w:p>
      <w:pPr>
        <w:pStyle w:val="Heading3"/>
      </w:pPr>
      <w:r>
        <w:t xml:space="preserve">Un dernier mot</w:t>
      </w:r>
    </w:p>
    <w:p>
      <w:pPr>
        <w:pStyle w:val="FirstParagraph"/>
      </w:pPr>
      <w:r>
        <w:t xml:space="preserve">Ce livre est un outil de réflexion, pas un guide d’automédication. Si tu as plus de questions après la lecture qu’avant, ce n’est pas mauvais signe : souvent, la réponse la plus honnête à la question « Ce peptide est-il efficace ? » est « Personne ne le sait encore ».</w:t>
      </w:r>
    </w:p>
    <w:bookmarkEnd w:id="36"/>
    <w:bookmarkEnd w:id="37"/>
    <w:bookmarkStart w:id="231" w:name="partie-i-notions-de-base"/>
    <w:p>
      <w:pPr>
        <w:pStyle w:val="Heading1"/>
      </w:pPr>
      <w:r>
        <w:t xml:space="preserve">Partie I – Notions de base</w:t>
      </w:r>
    </w:p>
    <w:p>
      <w:pPr>
        <w:pStyle w:val="FirstParagraph"/>
      </w:pPr>
      <w:r>
        <w:t xml:space="preserve">Avant d’aborder les différentes substances actives dans la partie II, cette partie pose les fondations. Tu y apprendras ce qu’est réellement un peptide sur le plan chimique, comment un extrait de pancréas de chien est devenu en un siècle l’un des groupes de médicaments les plus rentables au monde, pourquoi la plupart des peptides doivent être injectés, comment lire une étude sans se laisser tromper par les gros titres, ce que contiennent réellement les flacons vendus sur le marché gris et quelles règles juridiques s’appliquent.</w:t>
      </w:r>
    </w:p>
    <w:p>
      <w:pPr>
        <w:pStyle w:val="BodyText"/>
      </w:pPr>
      <w:r>
        <w:t xml:space="preserve">Si tu souhaites seulement consulter un peptide particulier, tu peux passer directement à la partie II. Les chapitres de cette partie expliquent toutefois les notions et les critères qui y sont constamment utilisés – par exemple « randomisé », « critère de substitution », « niveau de preuve B » ou « Research Peptide ». Un bref coup d’œil en vaut donc la peine, même pour les lectrices et lecteurs pressés.</w:t>
      </w:r>
    </w:p>
    <w:bookmarkStart w:id="63" w:name="X5954a58efdbdbf2c81ce46bddc760c76657f029"/>
    <w:p>
      <w:pPr>
        <w:pStyle w:val="Heading2"/>
      </w:pPr>
      <w:r>
        <w:t xml:space="preserve">Ce que sont les peptides – et ce qu’ils ne sont pas</w:t>
      </w:r>
    </w:p>
    <w:p>
      <w:pPr>
        <w:pStyle w:val="FirstParagraph"/>
      </w:pPr>
      <w:r>
        <w:t xml:space="preserve">Le mot « peptide » a fait une carrière étonnante ces dernières années. On le trouve sur les crèmes pour la peau et les poudres protéinées, dans les publicités pour les piqûres amaigrissantes et dans les forums en ligne où l’on discute de « peptides de guérison ». Pourtant, ce terme ne désigne au départ qu’un certain type de construction chimique – ni plus ni moins. Il ne dit rien sur l’efficacité d’une substance, sur sa sécurité ni même sur sa capacité à pénétrer dans l’organisme. Ce chapitre clarifie les notions de base et fait le point sur quelques idées fausses répandues.</w:t>
      </w:r>
    </w:p>
    <w:bookmarkStart w:id="38" w:name="Xe322c9333804d39489a1516ca53e553fc04010a"/>
    <w:p>
      <w:pPr>
        <w:pStyle w:val="Heading3"/>
      </w:pPr>
      <w:r>
        <w:t xml:space="preserve">Les acides aminés : les briques élémentaires</w:t>
      </w:r>
    </w:p>
    <w:p>
      <w:pPr>
        <w:pStyle w:val="FirstParagraph"/>
      </w:pPr>
      <w:r>
        <w:t xml:space="preserve">Tous les peptides et toutes les protéines sont constitués d’acides aminés. Un acide aminé est une petite molécule comportant deux éléments caractéristiques : un groupe amine (qui contient de l’azote) et un groupe acide (groupe carboxyle). Entre les deux se trouve un atome de carbone central auquel est rattachée une chaîne dite latérale. C’est cette chaîne latérale qui distingue les acides aminés entre eux : elle peut être petite et discrète comme dans la glycine, huileuse et hydrophobe comme dans la leucine, chargée électriquement comme dans la lysine ou soufrée comme dans la cystéine.</w:t>
      </w:r>
    </w:p>
    <w:p>
      <w:pPr>
        <w:pStyle w:val="BodyText"/>
      </w:pPr>
      <w:r>
        <w:t xml:space="preserve">Le corps humain construit ses protéines essentiellement à partir de 20 acides aminés standard. Il peut en fabriquer certains lui-même ; d’autres – les acides aminés « essentiels » – doivent être apportés par l’alimentation. Il existe en outre des centaines d’autres acides aminés présents dans la nature ou fabriqués en laboratoire. Pour le développement de médicaments, ces acides aminés « non naturels » sont importants, car ils peuvent rendre un peptide plus stable. Tu en trouveras un exemple plus bas avec le sémaglutide.</w:t>
      </w:r>
    </w:p>
    <w:p>
      <w:pPr>
        <w:pStyle w:val="BodyText"/>
      </w:pPr>
      <w:r>
        <w:t xml:space="preserve">Point important pour comprendre de nombreuses promesses publicitaires : les acides aminés isolés ne sont pas des peptides. Un complément alimentaire à base d’arginine, de glutamine ou de « BCAA » contient des acides aminés libres, c’est-à-dire des briques isolées – pas de peptide.</w:t>
      </w:r>
    </w:p>
    <w:bookmarkEnd w:id="38"/>
    <w:bookmarkStart w:id="39" w:name="la-liaison-peptidique"/>
    <w:p>
      <w:pPr>
        <w:pStyle w:val="Heading3"/>
      </w:pPr>
      <w:r>
        <w:t xml:space="preserve">La liaison peptidique</w:t>
      </w:r>
    </w:p>
    <w:p>
      <w:pPr>
        <w:pStyle w:val="FirstParagraph"/>
      </w:pPr>
      <w:r>
        <w:t xml:space="preserve">Lorsque deux acides aminés s’assemblent, le groupe acide de l’un réagit avec le groupe amine de l’autre. Une molécule d’eau est alors libérée, et il se forme une liaison stable : la liaison peptidique. Le résultat s’appelle un dipeptide. Si l’on ajoute un autre acide aminé, on obtient un tripeptide, puis un tétrapeptide, et ainsi de suite. Une telle chaîne a toujours un sens : elle commence par un groupe amine libre (l’« extrémité N-terminale ») et se termine par un groupe acide libre (l’« extrémité C-terminale »). Dans les articles scientifiques, les acides aminés sont donc toujours écrits de gauche à droite, de l’extrémité N à l’extrémité C – souvent avec des abréviations d’une lettre. Le tripeptide « GHK », par exemple, signifie glycine–histidine–lysine.</w:t>
      </w:r>
    </w:p>
    <w:p>
      <w:pPr>
        <w:pStyle w:val="BodyText"/>
      </w:pPr>
      <w:r>
        <w:t xml:space="preserve">L’ordre des acides aminés s’appelle la séquence ou structure primaire. Il est déterminant : deux peptides composés des mêmes briques dans un ordre différent sont des substances différentes aux propriétés différentes – tout comme « chien » et « niche » sont formés des mêmes lettres.</w:t>
      </w:r>
    </w:p>
    <w:bookmarkEnd w:id="39"/>
    <w:bookmarkStart w:id="42" w:name="X206f4c7e77366d9ca6670f4f10ad4364e0de2e1"/>
    <w:p>
      <w:pPr>
        <w:pStyle w:val="Heading3"/>
      </w:pPr>
      <w:r>
        <w:t xml:space="preserve">Peptide ou protéine ? Une question de longueur</w:t>
      </w:r>
    </w:p>
    <w:p>
      <w:pPr>
        <w:pStyle w:val="FirstParagraph"/>
      </w:pPr>
      <w:r>
        <w:t xml:space="preserve">Il n’existe pas de frontière scientifique nette entre peptides et protéines, mais une convention. En gros :</w:t>
      </w:r>
    </w:p>
    <w:p>
      <w:pPr>
        <w:numPr>
          <w:ilvl w:val="0"/>
          <w:numId w:val="1004"/>
        </w:numPr>
        <w:pStyle w:val="Compact"/>
      </w:pPr>
      <w:r>
        <w:rPr>
          <w:bCs/>
          <w:b/>
        </w:rPr>
        <w:t xml:space="preserve">Oligopeptides</w:t>
      </w:r>
      <w:r>
        <w:t xml:space="preserve"> </w:t>
      </w:r>
      <w:r>
        <w:t xml:space="preserve">: environ 2 à 10 acides aminés, par exemple le tripeptide glutathion ou le dipeptide carnosine.</w:t>
      </w:r>
    </w:p>
    <w:p>
      <w:pPr>
        <w:numPr>
          <w:ilvl w:val="0"/>
          <w:numId w:val="1004"/>
        </w:numPr>
        <w:pStyle w:val="Compact"/>
      </w:pPr>
      <w:r>
        <w:rPr>
          <w:bCs/>
          <w:b/>
        </w:rPr>
        <w:t xml:space="preserve">Polypeptides</w:t>
      </w:r>
      <w:r>
        <w:t xml:space="preserve"> </w:t>
      </w:r>
      <w:r>
        <w:t xml:space="preserve">: chaînes plus longues jusqu’à environ 50 acides aminés.</w:t>
      </w:r>
    </w:p>
    <w:p>
      <w:pPr>
        <w:numPr>
          <w:ilvl w:val="0"/>
          <w:numId w:val="1004"/>
        </w:numPr>
        <w:pStyle w:val="Compact"/>
      </w:pPr>
      <w:r>
        <w:rPr>
          <w:bCs/>
          <w:b/>
        </w:rPr>
        <w:t xml:space="preserve">Protéines</w:t>
      </w:r>
      <w:r>
        <w:t xml:space="preserve"> </w:t>
      </w:r>
      <w:r>
        <w:t xml:space="preserve">: molécules plus grandes, le plus souvent de plus de 50 acides aminés et avec un repliement spatial défini.</w:t>
      </w:r>
    </w:p>
    <w:p>
      <w:pPr>
        <w:pStyle w:val="FirstParagraph"/>
      </w:pPr>
      <w:r>
        <w:t xml:space="preserve">Avec 51 acides aminés, l’insuline se situe exactement à cette limite. Elle est formée de deux chaînes reliées par des ponts disulfure et est qualifiée, selon les manuels, de peptide ou de petite protéine. L’hormone de croissance humaine, en revanche, est clairement une protéine : sa forme la plus fréquente comprend 191 acides aminés et pèse environ 22 000 daltons</w:t>
      </w:r>
      <w:r>
        <w:rPr>
          <w:rStyle w:val="FootnoteReference"/>
        </w:rPr>
        <w:footnoteReference w:id="40"/>
      </w:r>
      <w:r>
        <w:t xml:space="preserve">. Le dalton est l’unité de masse des molécules ; un acide aminé moyen dans une chaîne pèse un peu plus de 100 daltons.</w:t>
      </w:r>
    </w:p>
    <w:p>
      <w:pPr>
        <w:pStyle w:val="BodyText"/>
      </w:pPr>
      <w:r>
        <w:t xml:space="preserve">Quelques exemples tirés de ce livre pour s’orienter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Substance</w:t>
            </w:r>
          </w:p>
        </w:tc>
        <w:tc>
          <w:tcPr/>
          <w:p>
            <w:pPr>
              <w:pStyle w:val="Compact"/>
              <w:jc w:val="left"/>
            </w:pPr>
            <w:r>
              <w:t xml:space="preserve">Longueur</w:t>
            </w:r>
          </w:p>
        </w:tc>
        <w:tc>
          <w:tcPr/>
          <w:p>
            <w:pPr>
              <w:pStyle w:val="Compact"/>
              <w:jc w:val="left"/>
            </w:pPr>
            <w:r>
              <w:t xml:space="preserve">Remarque</w:t>
            </w:r>
          </w:p>
        </w:tc>
      </w:tr>
      <w:tr>
        <w:tc>
          <w:tcPr/>
          <w:p>
            <w:pPr>
              <w:pStyle w:val="Compact"/>
              <w:jc w:val="left"/>
            </w:pPr>
            <w:r>
              <w:t xml:space="preserve">Carnosine</w:t>
            </w:r>
          </w:p>
        </w:tc>
        <w:tc>
          <w:tcPr/>
          <w:p>
            <w:pPr>
              <w:pStyle w:val="Compact"/>
              <w:jc w:val="left"/>
            </w:pPr>
            <w:r>
              <w:t xml:space="preserve">2 acides aminés</w:t>
            </w:r>
          </w:p>
        </w:tc>
        <w:tc>
          <w:tcPr/>
          <w:p>
            <w:pPr>
              <w:pStyle w:val="Compact"/>
              <w:jc w:val="left"/>
            </w:pPr>
            <w:r>
              <w:t xml:space="preserve">présente dans les muscles</w:t>
            </w:r>
          </w:p>
        </w:tc>
      </w:tr>
      <w:tr>
        <w:tc>
          <w:tcPr/>
          <w:p>
            <w:pPr>
              <w:pStyle w:val="Compact"/>
              <w:jc w:val="left"/>
            </w:pPr>
            <w:r>
              <w:t xml:space="preserve">Glutathion</w:t>
            </w:r>
          </w:p>
        </w:tc>
        <w:tc>
          <w:tcPr/>
          <w:p>
            <w:pPr>
              <w:pStyle w:val="Compact"/>
              <w:jc w:val="left"/>
            </w:pPr>
            <w:r>
              <w:t xml:space="preserve">3 acides aminés</w:t>
            </w:r>
          </w:p>
        </w:tc>
        <w:tc>
          <w:tcPr/>
          <w:p>
            <w:pPr>
              <w:pStyle w:val="Compact"/>
              <w:jc w:val="left"/>
            </w:pPr>
            <w:r>
              <w:t xml:space="preserve">molécule protectrice produite par l’organisme</w:t>
            </w:r>
          </w:p>
        </w:tc>
      </w:tr>
      <w:tr>
        <w:tc>
          <w:tcPr/>
          <w:p>
            <w:pPr>
              <w:pStyle w:val="Compact"/>
              <w:jc w:val="left"/>
            </w:pPr>
            <w:r>
              <w:t xml:space="preserve">Ocytocine</w:t>
            </w:r>
          </w:p>
        </w:tc>
        <w:tc>
          <w:tcPr/>
          <w:p>
            <w:pPr>
              <w:pStyle w:val="Compact"/>
              <w:jc w:val="left"/>
            </w:pPr>
            <w:r>
              <w:t xml:space="preserve">9 acides aminés</w:t>
            </w:r>
          </w:p>
        </w:tc>
        <w:tc>
          <w:tcPr/>
          <w:p>
            <w:pPr>
              <w:pStyle w:val="Compact"/>
              <w:jc w:val="left"/>
            </w:pPr>
            <w:r>
              <w:t xml:space="preserve">hormone, structure cyclique</w:t>
            </w:r>
          </w:p>
        </w:tc>
      </w:tr>
      <w:tr>
        <w:tc>
          <w:tcPr/>
          <w:p>
            <w:pPr>
              <w:pStyle w:val="Compact"/>
              <w:jc w:val="left"/>
            </w:pPr>
            <w:r>
              <w:t xml:space="preserve">GLP-1 (forme active)</w:t>
            </w:r>
          </w:p>
        </w:tc>
        <w:tc>
          <w:tcPr/>
          <w:p>
            <w:pPr>
              <w:pStyle w:val="Compact"/>
              <w:jc w:val="left"/>
            </w:pPr>
            <w:r>
              <w:t xml:space="preserve">30 acides aminés</w:t>
            </w:r>
          </w:p>
        </w:tc>
        <w:tc>
          <w:tcPr/>
          <w:p>
            <w:pPr>
              <w:pStyle w:val="Compact"/>
              <w:jc w:val="left"/>
            </w:pPr>
            <w:r>
              <w:t xml:space="preserve">hormone intestinale</w:t>
            </w:r>
          </w:p>
        </w:tc>
      </w:tr>
      <w:tr>
        <w:tc>
          <w:tcPr/>
          <w:p>
            <w:pPr>
              <w:pStyle w:val="Compact"/>
              <w:jc w:val="left"/>
            </w:pPr>
            <w:r>
              <w:t xml:space="preserve">Exendine-4 (exénatide)</w:t>
            </w:r>
          </w:p>
        </w:tc>
        <w:tc>
          <w:tcPr/>
          <w:p>
            <w:pPr>
              <w:pStyle w:val="Compact"/>
              <w:jc w:val="left"/>
            </w:pPr>
            <w:r>
              <w:t xml:space="preserve">39 acides aminés</w:t>
            </w:r>
          </w:p>
        </w:tc>
        <w:tc>
          <w:tcPr/>
          <w:p>
            <w:pPr>
              <w:pStyle w:val="Compact"/>
              <w:jc w:val="left"/>
            </w:pPr>
            <w:r>
              <w:t xml:space="preserve">issue du venin d’un lézard</w:t>
            </w:r>
          </w:p>
        </w:tc>
      </w:tr>
      <w:tr>
        <w:tc>
          <w:tcPr/>
          <w:p>
            <w:pPr>
              <w:pStyle w:val="Compact"/>
              <w:jc w:val="left"/>
            </w:pPr>
            <w:r>
              <w:t xml:space="preserve">Insuline</w:t>
            </w:r>
          </w:p>
        </w:tc>
        <w:tc>
          <w:tcPr/>
          <w:p>
            <w:pPr>
              <w:pStyle w:val="Compact"/>
              <w:jc w:val="left"/>
            </w:pPr>
            <w:r>
              <w:t xml:space="preserve">51 acides aminés</w:t>
            </w:r>
          </w:p>
        </w:tc>
        <w:tc>
          <w:tcPr/>
          <w:p>
            <w:pPr>
              <w:pStyle w:val="Compact"/>
              <w:jc w:val="left"/>
            </w:pPr>
            <w:r>
              <w:t xml:space="preserve">deux chaînes</w:t>
            </w:r>
          </w:p>
        </w:tc>
      </w:tr>
      <w:tr>
        <w:tc>
          <w:tcPr/>
          <w:p>
            <w:pPr>
              <w:pStyle w:val="Compact"/>
              <w:jc w:val="left"/>
            </w:pPr>
            <w:r>
              <w:t xml:space="preserve">Hormone de croissance</w:t>
            </w:r>
          </w:p>
        </w:tc>
        <w:tc>
          <w:tcPr/>
          <w:p>
            <w:pPr>
              <w:pStyle w:val="Compact"/>
              <w:jc w:val="left"/>
            </w:pPr>
            <w:r>
              <w:t xml:space="preserve">191 acides aminés</w:t>
            </w:r>
          </w:p>
        </w:tc>
        <w:tc>
          <w:tcPr/>
          <w:p>
            <w:pPr>
              <w:pStyle w:val="Compact"/>
              <w:jc w:val="left"/>
            </w:pPr>
            <w:r>
              <w:t xml:space="preserve">protéine</w:t>
            </w:r>
          </w:p>
        </w:tc>
      </w:tr>
    </w:tbl>
    <w:p>
      <w:pPr>
        <w:pStyle w:val="BodyText"/>
      </w:pPr>
      <w:r>
        <w:t xml:space="preserve">La longueur de l’exendine-4 est indiquée dans sa première description</w:t>
      </w:r>
      <w:r>
        <w:rPr>
          <w:rStyle w:val="FootnoteReference"/>
        </w:rPr>
        <w:footnoteReference w:id="41"/>
      </w:r>
      <w:r>
        <w:t xml:space="preserve"> </w:t>
      </w:r>
      <w:r>
        <w:t xml:space="preserve">; les autres données correspondent aux connaissances des manuels.</w:t>
      </w:r>
    </w:p>
    <w:p>
      <w:pPr>
        <w:pStyle w:val="BodyText"/>
      </w:pPr>
      <w:r>
        <w:t xml:space="preserve">En pratique, la longueur importe pour plusieurs raisons. Les peptides courts sont plus simples et moins chers à fabriquer chimiquement. Les longues chaînes se replient en formes complexes qui peuvent être indispensables à leur action. Et plus une molécule est grande, plus elle a du mal à traverser la peau ou la paroi intestinale – nous y reviendrons dans le chapitre sur les formes galéniques.</w:t>
      </w:r>
    </w:p>
    <w:bookmarkEnd w:id="42"/>
    <w:bookmarkStart w:id="44" w:name="Xbb47c10b08af7de11ab08054a050e9b290a0044"/>
    <w:p>
      <w:pPr>
        <w:pStyle w:val="Heading3"/>
      </w:pPr>
      <w:r>
        <w:t xml:space="preserve">Comment les peptides agissent dans l’organisme</w:t>
      </w:r>
    </w:p>
    <w:p>
      <w:pPr>
        <w:pStyle w:val="FirstParagraph"/>
      </w:pPr>
      <w:r>
        <w:t xml:space="preserve">Le corps humain utilise les peptides avant tout comme messagers. Une hormone peptidique est produite dans une cellule, libérée dans le sang ou dans les tissus, puis se fixe sur une autre cellule à un récepteur adapté. Les récepteurs sont des molécules protéiques de la membrane cellulaire qui fonctionnent comme une serrure : seule la bonne clé déclenche un signal à l’intérieur de la cellule.</w:t>
      </w:r>
    </w:p>
    <w:p>
      <w:pPr>
        <w:pStyle w:val="BodyText"/>
      </w:pPr>
      <w:r>
        <w:t xml:space="preserve">Comme les peptides sont le plus souvent trop grands et trop hydrosolubles pour traverser la membrane cellulaire grasse, la plupart agissent par l’intermédiaire de récepteurs situés à la surface des cellules. Beaucoup d’entre eux appartiennent à la grande famille des récepteurs couplés aux protéines G. Le récepteur du GLP-1, par lequel agissent le sémaglutide ou le liraglutide, est l’un de ces récepteurs. On le trouve non seulement dans le pancréas, mais aussi dans le tube digestif, le cœur, les poumons, les reins et le cerveau</w:t>
      </w:r>
      <w:r>
        <w:rPr>
          <w:rStyle w:val="FootnoteReference"/>
        </w:rPr>
        <w:footnoteReference w:id="43"/>
      </w:r>
      <w:r>
        <w:t xml:space="preserve"> </w:t>
      </w:r>
      <w:r>
        <w:t xml:space="preserve">– ce qui explique pourquoi ces substances ont des effets si variés.</w:t>
      </w:r>
    </w:p>
    <w:p>
      <w:pPr>
        <w:pStyle w:val="BodyText"/>
      </w:pPr>
      <w:r>
        <w:t xml:space="preserve">Les peptides remplissent des fonctions très diverses dans l’organisme :</w:t>
      </w:r>
    </w:p>
    <w:p>
      <w:pPr>
        <w:numPr>
          <w:ilvl w:val="0"/>
          <w:numId w:val="1005"/>
        </w:numPr>
        <w:pStyle w:val="Compact"/>
      </w:pPr>
      <w:r>
        <w:t xml:space="preserve">Les</w:t>
      </w:r>
      <w:r>
        <w:t xml:space="preserve"> </w:t>
      </w:r>
      <w:r>
        <w:rPr>
          <w:bCs/>
          <w:b/>
        </w:rPr>
        <w:t xml:space="preserve">hormones</w:t>
      </w:r>
      <w:r>
        <w:t xml:space="preserve"> </w:t>
      </w:r>
      <w:r>
        <w:t xml:space="preserve">comme l’insuline, le glucagon, le GLP-1, l’ocytocine ou la vasopressine régulent le métabolisme, l’équilibre hydrique et la reproduction.</w:t>
      </w:r>
    </w:p>
    <w:p>
      <w:pPr>
        <w:numPr>
          <w:ilvl w:val="0"/>
          <w:numId w:val="1005"/>
        </w:numPr>
        <w:pStyle w:val="Compact"/>
      </w:pPr>
      <w:r>
        <w:t xml:space="preserve">Les</w:t>
      </w:r>
      <w:r>
        <w:t xml:space="preserve"> </w:t>
      </w:r>
      <w:r>
        <w:rPr>
          <w:bCs/>
          <w:b/>
        </w:rPr>
        <w:t xml:space="preserve">facteurs de libération</w:t>
      </w:r>
      <w:r>
        <w:t xml:space="preserve"> </w:t>
      </w:r>
      <w:r>
        <w:t xml:space="preserve">de l’hypothalamus, comme la gonadolibérine (GnRH), donnent des ordres à l’hypophyse.</w:t>
      </w:r>
    </w:p>
    <w:p>
      <w:pPr>
        <w:numPr>
          <w:ilvl w:val="0"/>
          <w:numId w:val="1005"/>
        </w:numPr>
        <w:pStyle w:val="Compact"/>
      </w:pPr>
      <w:r>
        <w:t xml:space="preserve">Les</w:t>
      </w:r>
      <w:r>
        <w:t xml:space="preserve"> </w:t>
      </w:r>
      <w:r>
        <w:rPr>
          <w:bCs/>
          <w:b/>
        </w:rPr>
        <w:t xml:space="preserve">neuropeptides</w:t>
      </w:r>
      <w:r>
        <w:t xml:space="preserve"> </w:t>
      </w:r>
      <w:r>
        <w:t xml:space="preserve">comme les endorphines agissent comme substances de signalisation dans le système nerveux.</w:t>
      </w:r>
    </w:p>
    <w:p>
      <w:pPr>
        <w:numPr>
          <w:ilvl w:val="0"/>
          <w:numId w:val="1005"/>
        </w:numPr>
        <w:pStyle w:val="Compact"/>
      </w:pPr>
      <w:r>
        <w:t xml:space="preserve">Les</w:t>
      </w:r>
      <w:r>
        <w:t xml:space="preserve"> </w:t>
      </w:r>
      <w:r>
        <w:rPr>
          <w:bCs/>
          <w:b/>
        </w:rPr>
        <w:t xml:space="preserve">peptides antimicrobiens</w:t>
      </w:r>
      <w:r>
        <w:t xml:space="preserve"> </w:t>
      </w:r>
      <w:r>
        <w:t xml:space="preserve">comme LL-37 font partie de l’immunité innée.</w:t>
      </w:r>
    </w:p>
    <w:p>
      <w:pPr>
        <w:numPr>
          <w:ilvl w:val="0"/>
          <w:numId w:val="1005"/>
        </w:numPr>
        <w:pStyle w:val="Compact"/>
      </w:pPr>
      <w:r>
        <w:rPr>
          <w:bCs/>
          <w:b/>
        </w:rPr>
        <w:t xml:space="preserve">Éléments structurels et produits de dégradation</w:t>
      </w:r>
      <w:r>
        <w:t xml:space="preserve"> </w:t>
      </w:r>
      <w:r>
        <w:t xml:space="preserve">: lors de la digestion du collagène ou des protéines du lait, il se forme de courts peptides, dont certains sont détectables dans le sang.</w:t>
      </w:r>
    </w:p>
    <w:p>
      <w:pPr>
        <w:pStyle w:val="FirstParagraph"/>
      </w:pPr>
      <w:r>
        <w:t xml:space="preserve">Cette diversité explique pourquoi des substances si différentes sont regroupées sous le terme « peptide » : un médicament antidiabétique très puissant et soumis à prescription aussi bien qu’une poudre de collagène vendue au supermarché.</w:t>
      </w:r>
    </w:p>
    <w:bookmarkEnd w:id="44"/>
    <w:bookmarkStart w:id="48" w:name="X3c9ecce29a77ed1dc9f340e88537f0c53a1f1ef"/>
    <w:p>
      <w:pPr>
        <w:pStyle w:val="Heading3"/>
      </w:pPr>
      <w:r>
        <w:t xml:space="preserve">Une courte durée de vie : le problème fondamental des peptides naturels</w:t>
      </w:r>
    </w:p>
    <w:p>
      <w:pPr>
        <w:pStyle w:val="FirstParagraph"/>
      </w:pPr>
      <w:r>
        <w:t xml:space="preserve">Les peptides produits par l’organisme sont généralement conçus pour une action brève et précise. Le corps dispose d’une multitude d’enzymes qui coupent les liaisons peptidiques – les peptidases ou protéases. C’est logique : un signal hormonal doit apparaître après le repas, puis disparaître.</w:t>
      </w:r>
    </w:p>
    <w:p>
      <w:pPr>
        <w:pStyle w:val="BodyText"/>
      </w:pPr>
      <w:r>
        <w:t xml:space="preserve">Pour un médicament, cette courte durée de vie pose cependant problème. Le GLP-1 naturel est rapidement découpé par l’enzyme dipeptidyl peptidase-4 (DPP-4). Dans du plasma sanguin humain en éprouvette, la demi-vie était d’environ 20 minutes</w:t>
      </w:r>
      <w:r>
        <w:rPr>
          <w:rStyle w:val="FootnoteReference"/>
        </w:rPr>
        <w:footnoteReference w:id="45"/>
      </w:r>
      <w:r>
        <w:t xml:space="preserve"> </w:t>
      </w:r>
      <w:r>
        <w:t xml:space="preserve">; dans l’organisme, le GLP-1 est en outre rapidement éliminé de la circulation. Utilisé tel quel, le GLP-1 serait donc à peine exploitable comme médicament.</w:t>
      </w:r>
    </w:p>
    <w:p>
      <w:pPr>
        <w:pStyle w:val="BodyText"/>
      </w:pPr>
      <w:r>
        <w:t xml:space="preserve">La solution de la recherche pharmaceutique a consisté à modifier la molécule de façon ciblée. Dans le sémaglutide, deux acides aminés du GLP-1 naturel ont été remplacés – en position 8 se trouve l’acide aminé non naturel Aib, qui protège la molécule contre la DPP-4 – et un acide gras a été fixé à la chaîne par l’intermédiaire d’un bras de liaison. L’acide gras fait en sorte que le sémaglutide se lie de manière réversible dans le sang à l’albumine, une protéine de transport</w:t>
      </w:r>
      <w:r>
        <w:rPr>
          <w:rStyle w:val="FootnoteReference"/>
        </w:rPr>
        <w:footnoteReference w:id="46"/>
      </w:r>
      <w:r>
        <w:t xml:space="preserve">. Il se forme ainsi un dépôt à partir duquel la substance est libérée lentement. La demi-vie chez l’humain est d’environ une semaine</w:t>
      </w:r>
      <w:r>
        <w:rPr>
          <w:rStyle w:val="FootnoteReference"/>
        </w:rPr>
        <w:footnoteReference w:id="47"/>
      </w:r>
      <w:r>
        <w:t xml:space="preserve"> </w:t>
      </w:r>
      <w:r>
        <w:t xml:space="preserve">– c’est pourquoi une injection par semaine suffit.</w:t>
      </w:r>
    </w:p>
    <w:p>
      <w:pPr>
        <w:pStyle w:val="BodyText"/>
      </w:pPr>
      <w:r>
        <w:t xml:space="preserve">Ce principe – un modèle naturel, stabilisé de façon ciblée – traverse toute la médecine peptidique moderne. Mais il signifie aussi qu’un médicament peptidique n’est le plus souvent</w:t>
      </w:r>
      <w:r>
        <w:t xml:space="preserve"> </w:t>
      </w:r>
      <w:r>
        <w:rPr>
          <w:bCs/>
          <w:b/>
        </w:rPr>
        <w:t xml:space="preserve">pas</w:t>
      </w:r>
      <w:r>
        <w:t xml:space="preserve"> </w:t>
      </w:r>
      <w:r>
        <w:t xml:space="preserve">une substance « naturelle » au sens d’une substance de l’organisme non modifiée. C’est une molécule inspirée par la nature, mais optimisée en laboratoire.</w:t>
      </w:r>
    </w:p>
    <w:bookmarkEnd w:id="48"/>
    <w:bookmarkStart w:id="52" w:name="comment-les-peptides-sont-fabriqués"/>
    <w:p>
      <w:pPr>
        <w:pStyle w:val="Heading3"/>
      </w:pPr>
      <w:r>
        <w:t xml:space="preserve">Comment les peptides sont fabriqués</w:t>
      </w:r>
    </w:p>
    <w:p>
      <w:pPr>
        <w:pStyle w:val="FirstParagraph"/>
      </w:pPr>
      <w:r>
        <w:t xml:space="preserve">Il existe trois voies fondamentales pour obtenir des peptides :</w:t>
      </w:r>
    </w:p>
    <w:p>
      <w:pPr>
        <w:pStyle w:val="BodyText"/>
      </w:pPr>
      <w:r>
        <w:rPr>
          <w:bCs/>
          <w:b/>
        </w:rPr>
        <w:t xml:space="preserve">La synthèse chimique.</w:t>
      </w:r>
      <w:r>
        <w:t xml:space="preserve"> </w:t>
      </w:r>
      <w:r>
        <w:t xml:space="preserve">Depuis les années 1960, les peptides sont construits brique par brique sur un support solide. Ce procédé de synthèse peptidique en phase solide a été mis au point par Robert Bruce Merrifield</w:t>
      </w:r>
      <w:r>
        <w:rPr>
          <w:rStyle w:val="FootnoteReference"/>
        </w:rPr>
        <w:footnoteReference w:id="49"/>
      </w:r>
      <w:r>
        <w:t xml:space="preserve">, qui a reçu pour cela le prix Nobel de chimie en 1984. Aujourd’hui, ces synthèses sont largement automatisées. Elles sont à la base de presque tous les peptides courts, y compris ceux proposés sur le marché gris. Des erreurs peuvent toutefois survenir à chaque étape de couplage – par exemple des acides aminés manquants ou en double. Une étape de purification soigneuse est donc indispensable.</w:t>
      </w:r>
    </w:p>
    <w:p>
      <w:pPr>
        <w:pStyle w:val="BodyText"/>
      </w:pPr>
      <w:r>
        <w:rPr>
          <w:bCs/>
          <w:b/>
        </w:rPr>
        <w:t xml:space="preserve">La fabrication par génie génétique (recombinante).</w:t>
      </w:r>
      <w:r>
        <w:t xml:space="preserve"> </w:t>
      </w:r>
      <w:r>
        <w:t xml:space="preserve">On introduit le « plan de construction » du peptide dans des bactéries ou des levures, qui le produisent ensuite dans de grandes cuves. L’insuline humaine a été le premier médicament fabriqué de cette façon ; elle a été utilisée dans des études cliniques chez l’humain à partir de 1980</w:t>
      </w:r>
      <w:r>
        <w:rPr>
          <w:rStyle w:val="FootnoteReference"/>
        </w:rPr>
        <w:footnoteReference w:id="50"/>
      </w:r>
      <w:r>
        <w:t xml:space="preserve">. Les peptides de plus grande taille et les protéines sont aujourd’hui encore obtenus principalement de cette manière, parfois en combinaison avec des étapes de modification chimique.</w:t>
      </w:r>
    </w:p>
    <w:p>
      <w:pPr>
        <w:pStyle w:val="BodyText"/>
      </w:pPr>
      <w:r>
        <w:rPr>
          <w:bCs/>
          <w:b/>
        </w:rPr>
        <w:t xml:space="preserve">L’extraction à partir de sources naturelles.</w:t>
      </w:r>
      <w:r>
        <w:t xml:space="preserve"> </w:t>
      </w:r>
      <w:r>
        <w:t xml:space="preserve">Les premières insulines étaient extraites de pancréas de bœuf et de porc. Les peptides de collagène sont aujourd’hui obtenus en découpant à l’aide d’enzymes le collagène de la peau, des os ou des écailles de poisson en fragments plus petits (hydrolyse). Ces hydrolysats sont des mélanges de nombreux peptides différents – pas une substance active homogène.</w:t>
      </w:r>
    </w:p>
    <w:p>
      <w:pPr>
        <w:pStyle w:val="BodyText"/>
      </w:pPr>
      <w:r>
        <w:t xml:space="preserve">Le mode de fabrication est important pour la sécurité. Une étude a comparé des produits d’imitation du sémaglutide et du liraglutide aux préparations originales et a trouvé dans certaines substances d’imitation de nouvelles impuretés, notamment des protéines de poids moléculaire plus élevé, des traces de métaux et des résidus de solvants</w:t>
      </w:r>
      <w:r>
        <w:rPr>
          <w:rStyle w:val="FootnoteReference"/>
        </w:rPr>
        <w:footnoteReference w:id="51"/>
      </w:r>
      <w:r>
        <w:t xml:space="preserve">. La pertinence clinique de ces différences n’est pas établie – mais elles montrent que « la même substance active » ne signifie pas automatiquement « le même produit ». L’étude a d’ailleurs été réalisée par le fabricant des préparations originales, ce dont il faut tenir compte dans l’évaluation.</w:t>
      </w:r>
    </w:p>
    <w:bookmarkEnd w:id="52"/>
    <w:bookmarkStart w:id="55" w:name="X61d752e91c71bd87f732e02af09c4f871c07ecf"/>
    <w:p>
      <w:pPr>
        <w:pStyle w:val="Heading3"/>
      </w:pPr>
      <w:r>
        <w:t xml:space="preserve">Les peptides comme médicaments : un groupe en croissance</w:t>
      </w:r>
    </w:p>
    <w:p>
      <w:pPr>
        <w:pStyle w:val="FirstParagraph"/>
      </w:pPr>
      <w:r>
        <w:t xml:space="preserve">Les peptides occupent une niche entre les « petites molécules » classiques (comme l’aspirine ou la metformine) et les grands médicaments biologiques (comme les anticorps). Ils peuvent se lier de façon très ciblée à un récepteur, ce qui entraîne souvent peu d’effets indésirables ailleurs dans l’organisme. En même temps, ils sont plus difficiles à formuler en comprimés et souvent coûteux à fabriquer.</w:t>
      </w:r>
    </w:p>
    <w:p>
      <w:pPr>
        <w:pStyle w:val="BodyText"/>
      </w:pPr>
      <w:r>
        <w:t xml:space="preserve">Selon une revue, plus de 80 médicaments peptidiques ont atteint le marché depuis l’introduction de l’insuline, par exemple contre le diabète, le cancer, l’ostéoporose, la sclérose en plaques, l’infection par le VIH et les douleurs chroniques</w:t>
      </w:r>
      <w:r>
        <w:rPr>
          <w:rStyle w:val="FootnoteReference"/>
        </w:rPr>
        <w:footnoteReference w:id="53"/>
      </w:r>
      <w:r>
        <w:t xml:space="preserve">. Une autre analyse a recensé plus de 150 peptides en développement clinique actif</w:t>
      </w:r>
      <w:r>
        <w:rPr>
          <w:rStyle w:val="FootnoteReference"/>
        </w:rPr>
        <w:footnoteReference w:id="54"/>
      </w:r>
      <w:r>
        <w:t xml:space="preserve">. Les chiffres varient selon le mode de comptage, mais vont dans le même sens : les peptides sont une composante établie et croissante de la médecine.</w:t>
      </w:r>
    </w:p>
    <w:p>
      <w:pPr>
        <w:pStyle w:val="BodyText"/>
      </w:pPr>
      <w:r>
        <w:t xml:space="preserve">Tu connais peut-être de nombreux médicaments peptidiques sans les avoir perçus comme tels : l’insuline, le médicament contre l’ostéoporose tériparatide (un fragment de 34 acides aminés de la parathormone), des médicaments contre le cancer de la prostate qui agissent sur le système de la GnRH, l’ocytocine utilisée pour déclencher le travail ou l’antibiotique vancomycine, un glycopeptide.</w:t>
      </w:r>
    </w:p>
    <w:bookmarkEnd w:id="55"/>
    <w:bookmarkStart w:id="57" w:name="ce-que-les-peptides-ne-sont-pas"/>
    <w:p>
      <w:pPr>
        <w:pStyle w:val="Heading3"/>
      </w:pPr>
      <w:r>
        <w:t xml:space="preserve">Ce que les peptides ne sont pas</w:t>
      </w:r>
    </w:p>
    <w:p>
      <w:pPr>
        <w:pStyle w:val="FirstParagraph"/>
      </w:pPr>
      <w:r>
        <w:t xml:space="preserve">Précisément parce que le terme est devenu si populaire, il vaut la peine de s’arrêter sur quelques malentendus répandus.</w:t>
      </w:r>
    </w:p>
    <w:p>
      <w:pPr>
        <w:pStyle w:val="BodyText"/>
      </w:pPr>
      <w:r>
        <w:rPr>
          <w:bCs/>
          <w:b/>
        </w:rPr>
        <w:t xml:space="preserve">« Peptide » n’est pas un gage de qualité.</w:t>
      </w:r>
      <w:r>
        <w:t xml:space="preserve"> </w:t>
      </w:r>
      <w:r>
        <w:t xml:space="preserve">La construction chimique ne dit rien de l’utilité ou du risque. L’insuline sauve des vies chaque jour – en quantité inappropriée, elle peut être mortelle. Un peptide n’est pas automatiquement plus doux qu’un médicament « chimique ».</w:t>
      </w:r>
    </w:p>
    <w:p>
      <w:pPr>
        <w:pStyle w:val="BodyText"/>
      </w:pPr>
      <w:r>
        <w:rPr>
          <w:bCs/>
          <w:b/>
        </w:rPr>
        <w:t xml:space="preserve">« Produit par l’organisme » ne veut pas dire « inoffensif ».</w:t>
      </w:r>
      <w:r>
        <w:t xml:space="preserve"> </w:t>
      </w:r>
      <w:r>
        <w:t xml:space="preserve">De nombreux peptides du marché gris sont vantés comme « endogènes » ou « bio-identiques ». Mais même les substances produites par l’organisme peuvent nuire en quantité anormalement élevée, au mauvais endroit ou sur une longue durée. Le système de l’hormone de croissance en est un exemple : une carence rend malade, un excès permanent aussi. De plus, de nombreux peptides prétendument endogènes sont en réalité des variantes ou des fragments qui n’existent pas sous cette forme dans l’organisme. Le BPC-157, par exemple, est une séquence de 15 acides aminés</w:t>
      </w:r>
      <w:r>
        <w:rPr>
          <w:rStyle w:val="FootnoteReference"/>
        </w:rPr>
        <w:footnoteReference w:id="56"/>
      </w:r>
      <w:r>
        <w:t xml:space="preserve"> </w:t>
      </w:r>
      <w:r>
        <w:t xml:space="preserve">que ses découvreurs ont dérivée du suc gastrique ; il n’est pas établi en tant qu’hormone humaine à part entière.</w:t>
      </w:r>
    </w:p>
    <w:p>
      <w:pPr>
        <w:pStyle w:val="BodyText"/>
      </w:pPr>
      <w:r>
        <w:rPr>
          <w:bCs/>
          <w:b/>
        </w:rPr>
        <w:t xml:space="preserve">Les peptides ne sont pas des stéroïdes.</w:t>
      </w:r>
      <w:r>
        <w:t xml:space="preserve"> </w:t>
      </w:r>
      <w:r>
        <w:t xml:space="preserve">Les anabolisants comme la testostérone sont des hormones stéroïdes dotées d’une structure chimique totalement différente, faite de cycles carbonés. Ils agissent par l’intermédiaire de récepteurs situés à l’intérieur des cellules. Dans le milieu du fitness, on met parfois les deux groupes dans le même sac ; sur les plans chimique et pharmacologique, ils ont peu en commun.</w:t>
      </w:r>
    </w:p>
    <w:p>
      <w:pPr>
        <w:pStyle w:val="BodyText"/>
      </w:pPr>
      <w:r>
        <w:rPr>
          <w:bCs/>
          <w:b/>
        </w:rPr>
        <w:t xml:space="preserve">Tout ce qui agit de façon similaire n’est pas un peptide.</w:t>
      </w:r>
      <w:r>
        <w:t xml:space="preserve"> </w:t>
      </w:r>
      <w:r>
        <w:t xml:space="preserve">L’orforglipron, par exemple, active comme le sémaglutide le récepteur du GLP-1, mais c’est une petite molécule non peptidique. L’ibutamorène (MK-677) stimule la sécrétion d’hormone de croissance comme certains peptides, mais n’en est pas un lui-même. C’est pourquoi tous deux ne sont traités dans ce livre qu’à titre de comparaison.</w:t>
      </w:r>
    </w:p>
    <w:p>
      <w:pPr>
        <w:pStyle w:val="BodyText"/>
      </w:pPr>
      <w:r>
        <w:rPr>
          <w:bCs/>
          <w:b/>
        </w:rPr>
        <w:t xml:space="preserve">Un peptide dans une crème n’est pas la même chose qu’un peptide dans une seringue.</w:t>
      </w:r>
      <w:r>
        <w:t xml:space="preserve"> </w:t>
      </w:r>
      <w:r>
        <w:t xml:space="preserve">Les peptides cosmétiques comme le palmitoyl pentapeptide-4 sont spécialement conçus pour agir dans la couche la plus superficielle de la peau. Savoir s’ils pénètrent et jusqu’à quelle profondeur est une question à part. À l’inverse, un peptide injecté comme médicament ne traverse pas simplement la peau lorsqu’on l’applique dessus.</w:t>
      </w:r>
    </w:p>
    <w:p>
      <w:pPr>
        <w:pStyle w:val="BodyText"/>
      </w:pPr>
      <w:r>
        <w:rPr>
          <w:bCs/>
          <w:b/>
        </w:rPr>
        <w:t xml:space="preserve">Les peptides ingérés sont le plus souvent digérés.</w:t>
      </w:r>
      <w:r>
        <w:t xml:space="preserve"> </w:t>
      </w:r>
      <w:r>
        <w:t xml:space="preserve">Le tube digestif est conçu pour décomposer les protéines en acides aminés et en fragments très courts. Une hormone peptidique avalée est donc en règle générale dégradée avant de pouvoir agir. Les exceptions – par exemple de très petits peptides issus du collagène, détectables dans le sang, ou le comprimé de sémaglutide avec son excipient – sont expliquées dans le chapitre qui suit le prochain.</w:t>
      </w:r>
    </w:p>
    <w:bookmarkEnd w:id="57"/>
    <w:bookmarkStart w:id="58" w:name="naturel-identique-au-naturel-modifié"/>
    <w:p>
      <w:pPr>
        <w:pStyle w:val="Heading3"/>
      </w:pPr>
      <w:r>
        <w:t xml:space="preserve">Naturel, identique au naturel, modifié</w:t>
      </w:r>
    </w:p>
    <w:p>
      <w:pPr>
        <w:pStyle w:val="FirstParagraph"/>
      </w:pPr>
      <w:r>
        <w:t xml:space="preserve">Pour classer les peptides de la partie II, une distinction simple est utile :</w:t>
      </w:r>
    </w:p>
    <w:p>
      <w:pPr>
        <w:numPr>
          <w:ilvl w:val="0"/>
          <w:numId w:val="1006"/>
        </w:numPr>
        <w:pStyle w:val="Compact"/>
      </w:pPr>
      <w:r>
        <w:rPr>
          <w:bCs/>
          <w:b/>
        </w:rPr>
        <w:t xml:space="preserve">Les peptides identiques aux peptides naturels</w:t>
      </w:r>
      <w:r>
        <w:t xml:space="preserve"> </w:t>
      </w:r>
      <w:r>
        <w:t xml:space="preserve">correspondent exactement à une molécule produite par l’organisme, par exemple l’ocytocine ou le glutathion.</w:t>
      </w:r>
    </w:p>
    <w:p>
      <w:pPr>
        <w:numPr>
          <w:ilvl w:val="0"/>
          <w:numId w:val="1006"/>
        </w:numPr>
        <w:pStyle w:val="Compact"/>
      </w:pPr>
      <w:r>
        <w:rPr>
          <w:bCs/>
          <w:b/>
        </w:rPr>
        <w:t xml:space="preserve">Les analogues modifiés</w:t>
      </w:r>
      <w:r>
        <w:t xml:space="preserve"> </w:t>
      </w:r>
      <w:r>
        <w:t xml:space="preserve">sont dérivés du modèle naturel, mais modifiés de façon ciblée – par des acides aminés remplacés, des acides gras ajoutés ou des structures cycliques. Presque tous les médicaments peptidiques modernes en font partie.</w:t>
      </w:r>
    </w:p>
    <w:p>
      <w:pPr>
        <w:numPr>
          <w:ilvl w:val="0"/>
          <w:numId w:val="1006"/>
        </w:numPr>
        <w:pStyle w:val="Compact"/>
      </w:pPr>
      <w:r>
        <w:rPr>
          <w:bCs/>
          <w:b/>
        </w:rPr>
        <w:t xml:space="preserve">Les peptides étrangers ou de conception nouvelle</w:t>
      </w:r>
      <w:r>
        <w:t xml:space="preserve"> </w:t>
      </w:r>
      <w:r>
        <w:t xml:space="preserve">proviennent d’autres êtres vivants (comme l’exendine-4, issue de la salive du monstre de Gila) ou ont été conçus en laboratoire (comme les peptides cosmétiques ou les doubles et triples agonistes tirzépatide et rétatrutide).</w:t>
      </w:r>
    </w:p>
    <w:p>
      <w:pPr>
        <w:pStyle w:val="FirstParagraph"/>
      </w:pPr>
      <w:r>
        <w:t xml:space="preserve">Cette classification n’est pas à elle seule déterminante pour la sécurité. Elle aide cependant à comprendre pourquoi des études chez l’humain sont indispensables pour les trois groupes : même une molécule identique à la molécule naturelle se comporte différemment lorsqu’elle est apportée de l’extérieur en grande quantité.</w:t>
      </w:r>
    </w:p>
    <w:bookmarkEnd w:id="58"/>
    <w:bookmarkStart w:id="61" w:name="X5a59bcb1462986cd72a48f8bc5120cb45d33781"/>
    <w:p>
      <w:pPr>
        <w:pStyle w:val="Heading3"/>
      </w:pPr>
      <w:r>
        <w:t xml:space="preserve">Pourquoi les peptides attirent autant l’attention en ce moment</w:t>
      </w:r>
    </w:p>
    <w:p>
      <w:pPr>
        <w:pStyle w:val="FirstParagraph"/>
      </w:pPr>
      <w:r>
        <w:t xml:space="preserve">Trois évolutions expliquent l’engouement de ces dernières années :</w:t>
      </w:r>
    </w:p>
    <w:p>
      <w:pPr>
        <w:pStyle w:val="BodyText"/>
      </w:pPr>
      <w:r>
        <w:rPr>
          <w:bCs/>
          <w:b/>
        </w:rPr>
        <w:t xml:space="preserve">Premièrement, les médicaments GLP-1.</w:t>
      </w:r>
      <w:r>
        <w:t xml:space="preserve"> </w:t>
      </w:r>
      <w:r>
        <w:t xml:space="preserve">Les résultats de substances comme le sémaglutide et le tirzépatide dans l’excès de poids ont fait entrer les peptides dans les gros titres. Dans l’étude d’autorisation STEP 1, les participants sous sémaglutide ont perdu en moyenne 14,9 % de leur poids corporel, contre 2,4 % sous placebo</w:t>
      </w:r>
      <w:r>
        <w:rPr>
          <w:rStyle w:val="FootnoteReference"/>
        </w:rPr>
        <w:footnoteReference w:id="59"/>
      </w:r>
      <w:r>
        <w:t xml:space="preserve">. De tels chiffres n’avaient jamais été atteints auparavant avec des médicaments.</w:t>
      </w:r>
    </w:p>
    <w:p>
      <w:pPr>
        <w:pStyle w:val="BodyText"/>
      </w:pPr>
      <w:r>
        <w:rPr>
          <w:bCs/>
          <w:b/>
        </w:rPr>
        <w:t xml:space="preserve">Deuxièmement, la facilité d’accès.</w:t>
      </w:r>
      <w:r>
        <w:t xml:space="preserve"> </w:t>
      </w:r>
      <w:r>
        <w:t xml:space="preserve">Les peptides courts peuvent aujourd’hui être synthétisés à bas coût dans de nombreux pays et sont proposés dans le monde entier sur Internet – souvent avec l’étiquette « uniquement à des fins de recherche ». Ce que cela signifie est traité dans le chapitre sur le marché gris.</w:t>
      </w:r>
    </w:p>
    <w:p>
      <w:pPr>
        <w:pStyle w:val="BodyText"/>
      </w:pPr>
      <w:r>
        <w:rPr>
          <w:bCs/>
          <w:b/>
        </w:rPr>
        <w:t xml:space="preserve">Troisièmement, les réseaux sociaux.</w:t>
      </w:r>
      <w:r>
        <w:t xml:space="preserve"> </w:t>
      </w:r>
      <w:r>
        <w:t xml:space="preserve">Les témoignages, les photos avant-après et les recommandations d’influenceurs se diffusent plus vite que les données scientifiques. Une revue décrit comment la publicité numérique, l’accès au marché gris et l’auto-injection se conjuguent et banalisent des produits dont l’identité, la pureté et la sécurité sont incertaines</w:t>
      </w:r>
      <w:r>
        <w:rPr>
          <w:rStyle w:val="FootnoteReference"/>
        </w:rPr>
        <w:footnoteReference w:id="60"/>
      </w:r>
      <w:r>
        <w:t xml:space="preserve">.</w:t>
      </w:r>
    </w:p>
    <w:p>
      <w:pPr>
        <w:pStyle w:val="BodyText"/>
      </w:pPr>
      <w:r>
        <w:t xml:space="preserve">Ce livre veut offrir ici un contrepoids sobre : pour chaque peptide, il examine ce qui a réellement été étudié chez l’humain – et ce qui ne l’a pas été.</w:t>
      </w:r>
    </w:p>
    <w:bookmarkEnd w:id="61"/>
    <w:bookmarkStart w:id="62" w:name="lessentiel-en-bref"/>
    <w:p>
      <w:pPr>
        <w:pStyle w:val="Heading3"/>
      </w:pPr>
      <w:r>
        <w:t xml:space="preserve">L’essentiel en bref</w:t>
      </w:r>
    </w:p>
    <w:p>
      <w:pPr>
        <w:numPr>
          <w:ilvl w:val="0"/>
          <w:numId w:val="1007"/>
        </w:numPr>
        <w:pStyle w:val="Compact"/>
      </w:pPr>
      <w:r>
        <w:t xml:space="preserve">Les peptides sont des chaînes d’acides aminés reliés par des liaisons peptidiques. À partir d’environ 50 acides aminés, on parle généralement de protéines.</w:t>
      </w:r>
    </w:p>
    <w:p>
      <w:pPr>
        <w:numPr>
          <w:ilvl w:val="0"/>
          <w:numId w:val="1007"/>
        </w:numPr>
        <w:pStyle w:val="Compact"/>
      </w:pPr>
      <w:r>
        <w:t xml:space="preserve">Dans l’organisme, les peptides agissent surtout comme messagers, par l’intermédiaire de récepteurs situés à la surface des cellules.</w:t>
      </w:r>
    </w:p>
    <w:p>
      <w:pPr>
        <w:numPr>
          <w:ilvl w:val="0"/>
          <w:numId w:val="1007"/>
        </w:numPr>
        <w:pStyle w:val="Compact"/>
      </w:pPr>
      <w:r>
        <w:t xml:space="preserve">Les peptides naturels sont rapidement dégradés. C’est pourquoi les médicaments peptidiques modernes sont presque toujours des molécules modifiées de façon ciblée.</w:t>
      </w:r>
    </w:p>
    <w:p>
      <w:pPr>
        <w:numPr>
          <w:ilvl w:val="0"/>
          <w:numId w:val="1007"/>
        </w:numPr>
        <w:pStyle w:val="Compact"/>
      </w:pPr>
      <w:r>
        <w:t xml:space="preserve">Les peptides sont synthétisés chimiquement, fabriqués par génie génétique ou extraits de sources naturelles. Le mode de fabrication et la pureté influencent la sécurité.</w:t>
      </w:r>
    </w:p>
    <w:p>
      <w:pPr>
        <w:numPr>
          <w:ilvl w:val="0"/>
          <w:numId w:val="1007"/>
        </w:numPr>
        <w:pStyle w:val="Compact"/>
      </w:pPr>
      <w:r>
        <w:t xml:space="preserve">« Peptide » est une description chimique, pas un label de qualité. Seules de bonnes études peuvent montrer si un peptide donné est efficace et sûr chez l’humain.</w:t>
      </w:r>
    </w:p>
    <w:bookmarkEnd w:id="62"/>
    <w:bookmarkEnd w:id="63"/>
    <w:bookmarkStart w:id="100" w:name="Xf6acaf8b7cf066864e4e93feefc2edfdf4d3c80"/>
    <w:p>
      <w:pPr>
        <w:pStyle w:val="Heading2"/>
      </w:pPr>
      <w:r>
        <w:t xml:space="preserve">Brève histoire : de l’insuline aux médicaments GLP-1</w:t>
      </w:r>
    </w:p>
    <w:p>
      <w:pPr>
        <w:pStyle w:val="FirstParagraph"/>
      </w:pPr>
      <w:r>
        <w:t xml:space="preserve">L’histoire des médicaments peptidiques est une histoire de percées, de fausses pistes et de hasards étonnants. Elle commence par une expérience désespérée à Toronto, passe par le venin d’un lézard du désert américain et aboutit – provisoirement – à des piqûres amaigrissantes qui comptent parmi les médicaments les plus vendus au monde. Ce chapitre en retrace les principales étapes. Il doit t’aider à mettre en perspective l’effervescence actuelle autour des peptides : beaucoup de ce qui est présenté comme révolutionnaire repose sur cent ans de recherche laborieuse.</w:t>
      </w:r>
    </w:p>
    <w:bookmarkStart w:id="64" w:name="Xe99ee6439a0592399a30de55e58d6df9e3a83cc"/>
    <w:p>
      <w:pPr>
        <w:pStyle w:val="Heading3"/>
      </w:pPr>
      <w:r>
        <w:t xml:space="preserve">Avant 1922 : la découverte des messagers chimiques</w:t>
      </w:r>
    </w:p>
    <w:p>
      <w:pPr>
        <w:pStyle w:val="FirstParagraph"/>
      </w:pPr>
      <w:r>
        <w:t xml:space="preserve">Vers 1900, une idée nouvelle s’impose en physiologie : les organes ne communiquent pas seulement par les nerfs, mais aussi par des messagers chimiques circulant dans le sang. En 1902, les physiologistes britanniques William Bayliss et Ernest Starling décrivent la sécrétine, une substance de la paroi intestinale qui stimule la production de suc par le pancréas. Peu après, Starling forge pour ces messagers le terme d’« hormone ». La sécrétine est – on le sait aujourd’hui – un peptide. Un peptide se trouve ainsi à l’origine de toute la recherche sur les hormones.</w:t>
      </w:r>
    </w:p>
    <w:p>
      <w:pPr>
        <w:pStyle w:val="BodyText"/>
      </w:pPr>
      <w:r>
        <w:t xml:space="preserve">À la même époque, on savait que le diabète sucré (diabetes mellitus) était lié au pancréas. Les chiens auxquels on retirait cet organe développaient un diabète mortel. De nombreux groupes de recherche tentaient d’extraire de la glande la substance hypoglycémiante présumée. Les extraits étaient cependant soit inefficaces, soit si impurs qu’ils provoquaient des réactions graves.</w:t>
      </w:r>
    </w:p>
    <w:bookmarkEnd w:id="64"/>
    <w:bookmarkStart w:id="68" w:name="X43b0ad044a1605b549f4337f01599b9033e9ffb"/>
    <w:p>
      <w:pPr>
        <w:pStyle w:val="Heading3"/>
      </w:pPr>
      <w:r>
        <w:t xml:space="preserve">1922 : l’insuline – le premier médicament peptidique</w:t>
      </w:r>
    </w:p>
    <w:p>
      <w:pPr>
        <w:pStyle w:val="FirstParagraph"/>
      </w:pPr>
      <w:r>
        <w:t xml:space="preserve">À l’été 1921, un groupe de l’université de Toronto franchit l’étape décisive. Frederick Banting et Charles Best, sous la direction de John Macleod, obtiennent un extrait qui fait baisser la glycémie chez des chiens privés de pancréas. Le biochimiste James Collip améliore la purification au point que l’extrait peut être testé chez l’humain. En janvier 1922, un garçon de 14 ans atteint d’un diabète sévère reçoit les premières injections à Toronto. La même année, le groupe publie ses expériences chez des patients</w:t>
      </w:r>
      <w:r>
        <w:rPr>
          <w:rStyle w:val="FootnoteReference"/>
        </w:rPr>
        <w:footnoteReference w:id="65"/>
      </w:r>
      <w:r>
        <w:t xml:space="preserve">.</w:t>
      </w:r>
    </w:p>
    <w:p>
      <w:pPr>
        <w:pStyle w:val="BodyText"/>
      </w:pPr>
      <w:r>
        <w:t xml:space="preserve">L’effet est spectaculaire : le diabète de type 1, jusque-là mortel en peu de temps, devient une maladie chronique traitable. Une revue publiée pour le centenaire décrit précisément cette transformation comme le cœur de la découverte</w:t>
      </w:r>
      <w:r>
        <w:rPr>
          <w:rStyle w:val="FootnoteReference"/>
        </w:rPr>
        <w:footnoteReference w:id="66"/>
      </w:r>
      <w:r>
        <w:t xml:space="preserve">. Banting et Macleod reçoivent en 1923 le prix Nobel de médecine.</w:t>
      </w:r>
    </w:p>
    <w:p>
      <w:pPr>
        <w:pStyle w:val="BodyText"/>
      </w:pPr>
      <w:r>
        <w:t xml:space="preserve">Les décennies suivantes, comme le résume une revue historique, tournent autour de questions très concrètes : produire suffisamment d’insuline, la rendre plus pure pour éviter les réactions allergiques, établir des normes et prolonger la durée d’action afin de réduire le nombre d’injections</w:t>
      </w:r>
      <w:r>
        <w:rPr>
          <w:rStyle w:val="FootnoteReference"/>
        </w:rPr>
        <w:footnoteReference w:id="67"/>
      </w:r>
      <w:r>
        <w:t xml:space="preserve">. Ces mêmes thèmes – fabrication, pureté, durée d’action, administration – accompagnent la médecine peptidique jusqu’à aujourd’hui.</w:t>
      </w:r>
    </w:p>
    <w:bookmarkEnd w:id="68"/>
    <w:bookmarkStart w:id="71" w:name="X2153ccff799fbfc197994541c64f3007267d05d"/>
    <w:p>
      <w:pPr>
        <w:pStyle w:val="Heading3"/>
      </w:pPr>
      <w:r>
        <w:t xml:space="preserve">Années 1950 : les peptides deviennent lisibles et fabricables</w:t>
      </w:r>
    </w:p>
    <w:p>
      <w:pPr>
        <w:pStyle w:val="FirstParagraph"/>
      </w:pPr>
      <w:r>
        <w:t xml:space="preserve">Pendant longtemps, la structure chimique de l’insuline est restée inconnue. Au début des années 1950, le biochimiste britannique Frederick Sanger décrypte étape par étape l’ordre des acides aminés dans les deux chaînes de l’insuline</w:t>
      </w:r>
      <w:r>
        <w:rPr>
          <w:rStyle w:val="FootnoteReference"/>
        </w:rPr>
        <w:footnoteReference w:id="69"/>
      </w:r>
      <w:r>
        <w:t xml:space="preserve">. L’insuline devient ainsi la première protéine dont la séquence complète est connue. Sanger reçoit pour cela le prix Nobel de chimie en 1958. La découverte que les protéines possèdent un ordre fixe et précisément défini de briques élémentaires est fondamentale pour toute la biologie moléculaire.</w:t>
      </w:r>
    </w:p>
    <w:p>
      <w:pPr>
        <w:pStyle w:val="BodyText"/>
      </w:pPr>
      <w:r>
        <w:t xml:space="preserve">Presque au même moment, le chimiste américain Vincent du Vigneaud réalise la première synthèse chimique d’une hormone peptidique : l’ocytocine, une hormone de neuf acides aminés qui déclenche les contractions de l’accouchement et l’éjection du lait. Il reçoit pour cela le prix Nobel de chimie en 1955. Pour la première fois, une hormone de l’organisme avait été « reproduite » en laboratoire – l’ocytocine de synthèse est encore utilisée aujourd’hui en obstétrique.</w:t>
      </w:r>
    </w:p>
    <w:p>
      <w:pPr>
        <w:pStyle w:val="BodyText"/>
      </w:pPr>
      <w:r>
        <w:t xml:space="preserve">Dans les années 1960, Robert Bruce Merrifield met au point la synthèse en phase solide, dans laquelle une chaîne peptidique est allongée brique par brique sur un support solide</w:t>
      </w:r>
      <w:r>
        <w:rPr>
          <w:rStyle w:val="FootnoteReference"/>
        </w:rPr>
        <w:footnoteReference w:id="70"/>
      </w:r>
      <w:r>
        <w:t xml:space="preserve">. Le procédé peut être automatisé et rend enfin praticable la fabrication de n’importe quel peptide court. Merrifield reçoit le prix Nobel de chimie en 1984. Sans cette technique, il n’existerait ni la plupart des médicaments peptidiques modernes ni le marché gris actuel.</w:t>
      </w:r>
    </w:p>
    <w:bookmarkEnd w:id="71"/>
    <w:bookmarkStart w:id="73" w:name="années-1960-et-1970-mesurer-et-réguler"/>
    <w:p>
      <w:pPr>
        <w:pStyle w:val="Heading3"/>
      </w:pPr>
      <w:r>
        <w:t xml:space="preserve">Années 1960 et 1970 : mesurer et réguler</w:t>
      </w:r>
    </w:p>
    <w:p>
      <w:pPr>
        <w:pStyle w:val="FirstParagraph"/>
      </w:pPr>
      <w:r>
        <w:t xml:space="preserve">Un autre obstacle était la mesure. Les hormones peptidiques sont présentes dans le sang en quantités infimes. Rosalyn Yalow et Solomon Berson mettent au point une méthode de mesure utilisant des anticorps et des molécules marquées par radioactivité, le dosage radio-immunologique, et dosent ainsi pour la première fois l’insuline dans le sang humain</w:t>
      </w:r>
      <w:r>
        <w:rPr>
          <w:rStyle w:val="FootnoteReference"/>
        </w:rPr>
        <w:footnoteReference w:id="72"/>
      </w:r>
      <w:r>
        <w:t xml:space="preserve">. Yalow reçoit le prix Nobel en 1977. Il devient soudain possible de suivre à quel moment l’organisme sécrète telle ou telle hormone peptidique.</w:t>
      </w:r>
    </w:p>
    <w:p>
      <w:pPr>
        <w:pStyle w:val="BodyText"/>
      </w:pPr>
      <w:r>
        <w:t xml:space="preserve">La même année, Roger Guillemin et Andrew Schally sont récompensés. Ils avaient décrypté les messagers peptidiques de l’hypothalamus – la région du cerveau qui donne des ordres à l’hypophyse. De ces découvertes sont issues des classes entières de médicaments : des dérivés de la gonadolibérine (GnRH) sont par exemple utilisés dans le cancer de la prostate, l’endométriose et le traitement de l’infertilité. L’hormone somatostatine a servi de modèle à l’octréotide, utilisé dans les tumeurs sécrétant des hormones et l’acromégalie. Les peptides libérateurs de l’hormone de croissance, traités en détail dans la partie II, ont eux aussi leurs racines ici.</w:t>
      </w:r>
    </w:p>
    <w:bookmarkEnd w:id="73"/>
    <w:bookmarkStart w:id="77" w:name="Xd93b6794312d7abe3f5cde98dd6f754d7e4c165"/>
    <w:p>
      <w:pPr>
        <w:pStyle w:val="Heading3"/>
      </w:pPr>
      <w:r>
        <w:t xml:space="preserve">Années 1980 : le génie génétique change tout</w:t>
      </w:r>
    </w:p>
    <w:p>
      <w:pPr>
        <w:pStyle w:val="FirstParagraph"/>
      </w:pPr>
      <w:r>
        <w:t xml:space="preserve">Jusque dans les années 1980, l’insuline provenait de pancréas d’animaux d’abattoir. L’hormone de croissance humaine était extraite d’hypophyses de personnes décédées ; cette période s’est étendue de 1958 à 1985</w:t>
      </w:r>
      <w:r>
        <w:rPr>
          <w:rStyle w:val="FootnoteReference"/>
        </w:rPr>
        <w:footnoteReference w:id="74"/>
      </w:r>
      <w:r>
        <w:t xml:space="preserve">. Ce mode d’obtention avait un revers tragique : certains enfants ayant reçu cette hormone ont développé des années plus tard la maladie de Creutzfeldt-Jakob, transmise par des préparations contaminées. Cet épisode reste aujourd’hui un rappel de l’importance de la pureté et de l’origine des substances actives biologiques.</w:t>
      </w:r>
    </w:p>
    <w:p>
      <w:pPr>
        <w:pStyle w:val="BodyText"/>
      </w:pPr>
      <w:r>
        <w:t xml:space="preserve">Le génie génétique a offert une issue. L’insuline humaine, produite dans des bactéries, a été utilisée dans des études cliniques chez l’humain à partir de 1980 et a été le premier médicament issu de la technologie de l’ADN recombinant</w:t>
      </w:r>
      <w:r>
        <w:rPr>
          <w:rStyle w:val="FootnoteReference"/>
        </w:rPr>
        <w:footnoteReference w:id="75"/>
      </w:r>
      <w:r>
        <w:t xml:space="preserve">. Quelques années plus tard a suivi l’hormone de croissance recombinante. Pour la première fois, des peptides et protéines humains étaient disponibles en quantité pratiquement illimitée.</w:t>
      </w:r>
    </w:p>
    <w:p>
      <w:pPr>
        <w:pStyle w:val="BodyText"/>
      </w:pPr>
      <w:r>
        <w:t xml:space="preserve">Dans les années 1990, les fabricants sont allés plus loin : ils ont modifié les molécules d’insuline de façon ciblée pour les faire agir plus vite ou plus lentement. Ces « analogues de l’insuline » préfiguraient le principe qui fera plus tard le succès des médicaments GLP-1 : un modèle naturel, optimisé en laboratoire pour l’usage thérapeutique.</w:t>
      </w:r>
    </w:p>
    <w:p>
      <w:pPr>
        <w:pStyle w:val="BodyText"/>
      </w:pPr>
      <w:r>
        <w:t xml:space="preserve">D’autres médicaments peptidiques se sont également imposés. Un exemple est le tériparatide, un fragment de la parathormone. Dans une grande étude portant sur 1 637 femmes ménopausées atteintes d’ostéoporose, de nouvelles fractures vertébrales sont survenues chez 14 % des femmes sous placebo, mais seulement chez 5 % et 4 % respectivement dans les deux groupes tériparatide</w:t>
      </w:r>
      <w:r>
        <w:rPr>
          <w:rStyle w:val="FootnoteReference"/>
        </w:rPr>
        <w:footnoteReference w:id="76"/>
      </w:r>
      <w:r>
        <w:t xml:space="preserve">. De telles études avec des critères d’évaluation « durs » comme les fractures ont fixé la référence à laquelle les nouveaux peptides doivent eux aussi se mesurer.</w:t>
      </w:r>
    </w:p>
    <w:bookmarkEnd w:id="77"/>
    <w:bookmarkStart w:id="80" w:name="X170dafab958c36fbf031772d40b704b89e1433c"/>
    <w:p>
      <w:pPr>
        <w:pStyle w:val="Heading3"/>
      </w:pPr>
      <w:r>
        <w:t xml:space="preserve">Les incrétines : de l’intestin au médicament</w:t>
      </w:r>
    </w:p>
    <w:p>
      <w:pPr>
        <w:pStyle w:val="FirstParagraph"/>
      </w:pPr>
      <w:r>
        <w:t xml:space="preserve">L’histoire des médicaments GLP-1 commence par une observation des années 1960 : le sucre avalé déclenche une sécrétion d’insuline beaucoup plus forte que la même quantité de sucre injectée directement dans le sang. L’intestin doit donc envoyer des signaux au pancréas pendant le repas. On a appelé ces substances de signalisation des incrétines.</w:t>
      </w:r>
    </w:p>
    <w:p>
      <w:pPr>
        <w:pStyle w:val="BodyText"/>
      </w:pPr>
      <w:r>
        <w:t xml:space="preserve">La première incrétine connue était le GIP (polypeptide insulinotrope dépendant du glucose). Dans les années 1980, on en a découvert une seconde : le glucagon-like peptide-1, ou GLP-1. Un groupe britannique a montré en 1987 que le GLP-1 augmente dans le sang chez l’humain après un repas, qu’il augmente la sécrétion d’insuline et abaisse la glycémie chez sept volontaires lorsqu’il est perfusé à des niveaux comparables à ceux observés après un repas, et qu’il est alors plus efficace que le GIP</w:t>
      </w:r>
      <w:r>
        <w:rPr>
          <w:rStyle w:val="FootnoteReference"/>
        </w:rPr>
        <w:footnoteReference w:id="78"/>
      </w:r>
      <w:r>
        <w:t xml:space="preserve">.</w:t>
      </w:r>
    </w:p>
    <w:p>
      <w:pPr>
        <w:pStyle w:val="BodyText"/>
      </w:pPr>
      <w:r>
        <w:t xml:space="preserve">Le problème : le GLP-1 naturel est dégradé dans le sang en quelques minutes par l’enzyme DPP-4</w:t>
      </w:r>
      <w:r>
        <w:rPr>
          <w:rStyle w:val="FootnoteReference"/>
        </w:rPr>
        <w:footnoteReference w:id="79"/>
      </w:r>
      <w:r>
        <w:t xml:space="preserve">. Sous cette forme, il était à peine utilisable comme médicament. Deux pistes ont été suivies : des inhibiteurs de l’enzyme de dégradation (les gliptines, autorisées sous forme de comprimés et qui ne sont pas des peptides) et des imitations stables du GLP-1 lui-même.</w:t>
      </w:r>
    </w:p>
    <w:bookmarkEnd w:id="80"/>
    <w:bookmarkStart w:id="83" w:name="le-venin-de-lézard-lexénatide"/>
    <w:p>
      <w:pPr>
        <w:pStyle w:val="Heading3"/>
      </w:pPr>
      <w:r>
        <w:t xml:space="preserve">Le venin de lézard : l’exénatide</w:t>
      </w:r>
    </w:p>
    <w:p>
      <w:pPr>
        <w:pStyle w:val="FirstParagraph"/>
      </w:pPr>
      <w:r>
        <w:t xml:space="preserve">La première imitation stable est venue d’une direction inattendue. Au début des années 1990, l’endocrinologue américain John Eng étudie le venin du monstre de Gila (Heloderma suspectum), un reptile venimeux du sud-ouest des États-Unis. Il en isole un peptide de 39 acides aminés qu’il baptise exendine-4</w:t>
      </w:r>
      <w:r>
        <w:rPr>
          <w:rStyle w:val="FootnoteReference"/>
        </w:rPr>
        <w:footnoteReference w:id="81"/>
      </w:r>
      <w:r>
        <w:t xml:space="preserve">. L’exendine-4 ressemble au GLP-1 humain, active le même récepteur, mais n’est presque pas attaquée par la DPP-4.</w:t>
      </w:r>
    </w:p>
    <w:p>
      <w:pPr>
        <w:pStyle w:val="BodyText"/>
      </w:pPr>
      <w:r>
        <w:t xml:space="preserve">L’exendine-4 de synthèse a reçu le nom d’exénatide et a été autorisée en 2005 aux États-Unis comme premier médicament de cette classe. Dans l’une des études d’autorisation portant sur 336 personnes atteintes de diabète de type 2 qui prenaient déjà de la metformine, la valeur de la glycémie à long terme HbA1c a diminué après 30 semaines de 0,78 point de pourcentage dans le groupe à dose plus élevée, tandis qu’elle augmentait légèrement de 0,08 point sous placebo. Dans le même temps, les participants sous exénatide ont perdu du poids, 2,8 kg avec la dose plus élevée</w:t>
      </w:r>
      <w:r>
        <w:rPr>
          <w:rStyle w:val="FootnoteReference"/>
        </w:rPr>
        <w:footnoteReference w:id="82"/>
      </w:r>
      <w:r>
        <w:t xml:space="preserve">. Au départ, l’exénatide devait être injecté deux fois par jour.</w:t>
      </w:r>
    </w:p>
    <w:p>
      <w:pPr>
        <w:pStyle w:val="BodyText"/>
      </w:pPr>
      <w:r>
        <w:t xml:space="preserve">La perte de poids était alors considérée comme un effet secondaire bienvenu. Que ce soit précisément cet effet qui rendrait toute la classe célèbre deux décennies plus tard, bien peu de gens s’en doutaient probablement à l’époque.</w:t>
      </w:r>
    </w:p>
    <w:bookmarkEnd w:id="83"/>
    <w:bookmarkStart w:id="88" w:name="X91b78c56cf1d315a64b30412d9f1a5b74b253ac"/>
    <w:p>
      <w:pPr>
        <w:pStyle w:val="Heading3"/>
      </w:pPr>
      <w:r>
        <w:t xml:space="preserve">Une action plus longue : le liraglutide et le sémaglutide</w:t>
      </w:r>
    </w:p>
    <w:p>
      <w:pPr>
        <w:pStyle w:val="FirstParagraph"/>
      </w:pPr>
      <w:r>
        <w:t xml:space="preserve">Le fabricant danois Novo Nordisk a pris une autre voie. Au lieu d’utiliser un peptide étranger, il a modifié le GLP-1 humain de sorte qu’il se lie dans le sang à l’albumine, une protéine de transport, et soit ainsi dégradé plus lentement. Le résultat a été le liraglutide, injecté une fois par jour et autorisé dans l’UE en 2009. Une revue rédigée par ses concepteurs décrit comment des combinaisons appropriées d’acide gras et de bras de liaison ont été recherchées pour maximiser la liaison à l’albumine sans perdre l’action sur le récepteur</w:t>
      </w:r>
      <w:r>
        <w:rPr>
          <w:rStyle w:val="FootnoteReference"/>
        </w:rPr>
        <w:footnoteReference w:id="84"/>
      </w:r>
      <w:r>
        <w:t xml:space="preserve">.</w:t>
      </w:r>
    </w:p>
    <w:p>
      <w:pPr>
        <w:pStyle w:val="BodyText"/>
      </w:pPr>
      <w:r>
        <w:t xml:space="preserve">Le liraglutide a ensuite été testé à dose plus élevée pour le traitement du poids. Dans l’étude SCALE portant sur 3 731 participants sans diabète, les personnes sous liraglutide ont perdu en moyenne 8,4 kg en 56 semaines, contre 2,8 kg sous placebo</w:t>
      </w:r>
      <w:r>
        <w:rPr>
          <w:rStyle w:val="FootnoteReference"/>
        </w:rPr>
        <w:footnoteReference w:id="85"/>
      </w:r>
      <w:r>
        <w:t xml:space="preserve">.</w:t>
      </w:r>
    </w:p>
    <w:p>
      <w:pPr>
        <w:pStyle w:val="BodyText"/>
      </w:pPr>
      <w:r>
        <w:t xml:space="preserve">L’étape suivante a été le sémaglutide : une molécule encore plus fortement liée à l’albumine, qui ne doit être injectée qu’une fois par semaine</w:t>
      </w:r>
      <w:r>
        <w:rPr>
          <w:rStyle w:val="FootnoteReference"/>
        </w:rPr>
        <w:footnoteReference w:id="86"/>
      </w:r>
      <w:r>
        <w:t xml:space="preserve">. Dans l’étude d’autorisation STEP 1 portant sur 1 961 adultes en surpoids ou obèses, le poids corporel a diminué en moyenne de 14,9 % sur 68 semaines, contre 2,4 % sous placebo</w:t>
      </w:r>
      <w:r>
        <w:rPr>
          <w:rStyle w:val="FootnoteReference"/>
        </w:rPr>
        <w:footnoteReference w:id="87"/>
      </w:r>
      <w:r>
        <w:t xml:space="preserve">. Cet ordre de grandeur dépassait nettement tout ce qu’avaient obtenu les médicaments amaigrissants antérieurs.</w:t>
      </w:r>
    </w:p>
    <w:bookmarkEnd w:id="88"/>
    <w:bookmarkStart w:id="92" w:name="de-la-glycémie-au-cœur"/>
    <w:p>
      <w:pPr>
        <w:pStyle w:val="Heading3"/>
      </w:pPr>
      <w:r>
        <w:t xml:space="preserve">De la glycémie au cœur</w:t>
      </w:r>
    </w:p>
    <w:p>
      <w:pPr>
        <w:pStyle w:val="FirstParagraph"/>
      </w:pPr>
      <w:r>
        <w:t xml:space="preserve">Un tournant est survenu lorsque, à partir de 2008, après des problèmes avec un autre antidiabétique, les autorités ont exigé des nouveaux médicaments contre le diabète qu’ils démontrent leur sécurité cardiovasculaire dans de grandes études. Ces études devaient en principe seulement montrer que les médicaments ne mettaient pas le cœur en danger. Pour les médicaments GLP-1, elles ont montré davantage.</w:t>
      </w:r>
    </w:p>
    <w:p>
      <w:pPr>
        <w:pStyle w:val="BodyText"/>
      </w:pPr>
      <w:r>
        <w:t xml:space="preserve">Dans l’étude LEADER portant sur 9 340 personnes atteintes de diabète de type 2 et à haut risque cardiovasculaire, l’événement combiné associant décès cardiovasculaire, infarctus du myocarde non mortel ou accident vasculaire cérébral est survenu chez 13,0 % des participants sous liraglutide, contre 14,9 % sous placebo</w:t>
      </w:r>
      <w:r>
        <w:rPr>
          <w:rStyle w:val="FootnoteReference"/>
        </w:rPr>
        <w:footnoteReference w:id="89"/>
      </w:r>
      <w:r>
        <w:t xml:space="preserve">. Dans l’étude SUSTAIN-6 portant sur 3 297 participants, ces chiffres étaient de 6,6 % sous sémaglutide et de 8,9 % sous placebo ; toutefois, des complications rétiniennes sont survenues plus fréquemment sous sémaglutide</w:t>
      </w:r>
      <w:r>
        <w:rPr>
          <w:rStyle w:val="FootnoteReference"/>
        </w:rPr>
        <w:footnoteReference w:id="90"/>
      </w:r>
      <w:r>
        <w:t xml:space="preserve">.</w:t>
      </w:r>
    </w:p>
    <w:p>
      <w:pPr>
        <w:pStyle w:val="BodyText"/>
      </w:pPr>
      <w:r>
        <w:t xml:space="preserve">En 2023 a suivi l’étude SELECT, qui a pour la première fois examiné des personnes en surpoids atteintes d’une maladie cardiovasculaire, mais sans diabète. Chez 17 604 participants, l’événement cardiovasculaire combiné est survenu, sur une durée moyenne de 39,8 mois, chez 6,5 % des participants sous sémaglutide, contre 8,0 % sous placebo</w:t>
      </w:r>
      <w:r>
        <w:rPr>
          <w:rStyle w:val="FootnoteReference"/>
        </w:rPr>
        <w:footnoteReference w:id="91"/>
      </w:r>
      <w:r>
        <w:t xml:space="preserve">. Il était ainsi démontré qu’un médicament peptidique peut, dans l’obésité, influencer non seulement le poids, mais aussi des événements durs comme les infarctus. Ce que signifient ces pourcentages – et pourquoi il faut distinguer les différences relatives et absolues – est expliqué dans le chapitre « Bien lire les études ».</w:t>
      </w:r>
    </w:p>
    <w:bookmarkEnd w:id="92"/>
    <w:bookmarkStart w:id="96" w:name="le-comprimé-et-les-agonistes-multiples"/>
    <w:p>
      <w:pPr>
        <w:pStyle w:val="Heading3"/>
      </w:pPr>
      <w:r>
        <w:t xml:space="preserve">Le comprimé et les agonistes multiples</w:t>
      </w:r>
    </w:p>
    <w:p>
      <w:pPr>
        <w:pStyle w:val="FirstParagraph"/>
      </w:pPr>
      <w:r>
        <w:t xml:space="preserve">Deux autres évolutions ont marqué les dernières années.</w:t>
      </w:r>
    </w:p>
    <w:p>
      <w:pPr>
        <w:pStyle w:val="BodyText"/>
      </w:pPr>
      <w:r>
        <w:rPr>
          <w:bCs/>
          <w:b/>
        </w:rPr>
        <w:t xml:space="preserve">Le premier comprimé peptidique de cette classe.</w:t>
      </w:r>
      <w:r>
        <w:t xml:space="preserve"> </w:t>
      </w:r>
      <w:r>
        <w:t xml:space="preserve">Grâce à un excipient spécial, il a été possible de rendre le sémaglutide disponible sous forme de comprimé. Dans l’étude PIONEER 1, le sémaglutide oral a abaissé la valeur de l’HbA1c chez les personnes atteintes de diabète de type 2 nettement plus que le placebo</w:t>
      </w:r>
      <w:r>
        <w:rPr>
          <w:rStyle w:val="FootnoteReference"/>
        </w:rPr>
        <w:footnoteReference w:id="93"/>
      </w:r>
      <w:r>
        <w:t xml:space="preserve">. Le chapitre suivant explique comment cela fonctionne techniquement.</w:t>
      </w:r>
    </w:p>
    <w:p>
      <w:pPr>
        <w:pStyle w:val="BodyText"/>
      </w:pPr>
      <w:r>
        <w:rPr>
          <w:bCs/>
          <w:b/>
        </w:rPr>
        <w:t xml:space="preserve">Les substances combinées.</w:t>
      </w:r>
      <w:r>
        <w:t xml:space="preserve"> </w:t>
      </w:r>
      <w:r>
        <w:t xml:space="preserve">Le tirzépatide active simultanément les récepteurs du GLP-1 et du GIP. Dans l’étude SURMOUNT-1 portant sur 2 539 adultes obèses, la perte de poids moyenne après 72 semaines était de 15,0 % à 20,9 % selon la dose, contre 3,1 % sous placebo</w:t>
      </w:r>
      <w:r>
        <w:rPr>
          <w:rStyle w:val="FootnoteReference"/>
        </w:rPr>
        <w:footnoteReference w:id="94"/>
      </w:r>
      <w:r>
        <w:t xml:space="preserve">. Des triples agonistes comme le rétatrutide ainsi que des associations avec l’hormone amyline sont désormais évalués dans de grandes études. La partie II les présente un par un, la partie V jette un regard sur les produits en développement.</w:t>
      </w:r>
    </w:p>
    <w:p>
      <w:pPr>
        <w:pStyle w:val="BodyText"/>
      </w:pPr>
      <w:r>
        <w:t xml:space="preserve">Il est remarquable que l’incrétine GIP, considérée dans les années 1980 comme plus faible que le GLP-1</w:t>
      </w:r>
      <w:r>
        <w:rPr>
          <w:rStyle w:val="FootnoteReference"/>
        </w:rPr>
        <w:footnoteReference w:id="95"/>
      </w:r>
      <w:r>
        <w:t xml:space="preserve">, joue à nouveau un rôle en association. La recherche suit rarement une ligne droite.</w:t>
      </w:r>
    </w:p>
    <w:bookmarkEnd w:id="96"/>
    <w:bookmarkStart w:id="97" w:name="le-revers-du-succès"/>
    <w:p>
      <w:pPr>
        <w:pStyle w:val="Heading3"/>
      </w:pPr>
      <w:r>
        <w:t xml:space="preserve">Le revers du succès</w:t>
      </w:r>
    </w:p>
    <w:p>
      <w:pPr>
        <w:pStyle w:val="FirstParagraph"/>
      </w:pPr>
      <w:r>
        <w:t xml:space="preserve">L’énorme succès des médicaments GLP-1 a eu des effets secondaires qui dépassent la pharmacologie. À partir de 2022, des pénuries ont fait que des personnes diabétiques n’ont temporairement pas pu obtenir leurs médicaments. Aux États-Unis, des pharmacies ont utilisé une règle d’exception pour fabriquer des préparations d’imitation. Partout dans le monde sont apparues des contrefaçons qui, dans certains cas, contenaient de l’insuline au lieu du sémaglutide. Et l’intérêt croissant pour les « peptides » en général a ouvert un marché pour des substances qui n’ont jamais été correctement étudiées chez l’humain. Le chapitre sur le marché gris y revient en détail.</w:t>
      </w:r>
    </w:p>
    <w:bookmarkEnd w:id="97"/>
    <w:bookmarkStart w:id="98" w:name="ce-que-lhistoire-enseigne"/>
    <w:p>
      <w:pPr>
        <w:pStyle w:val="Heading3"/>
      </w:pPr>
      <w:r>
        <w:t xml:space="preserve">Ce que l’histoire enseigne</w:t>
      </w:r>
    </w:p>
    <w:p>
      <w:pPr>
        <w:pStyle w:val="FirstParagraph"/>
      </w:pPr>
      <w:r>
        <w:t xml:space="preserve">Cent ans de médecine peptidique permettent de tirer quelques leçons utiles pour évaluer les substances présentées dans ce livre :</w:t>
      </w:r>
    </w:p>
    <w:p>
      <w:pPr>
        <w:numPr>
          <w:ilvl w:val="0"/>
          <w:numId w:val="1008"/>
        </w:numPr>
        <w:pStyle w:val="Compact"/>
      </w:pPr>
      <w:r>
        <w:rPr>
          <w:bCs/>
          <w:b/>
        </w:rPr>
        <w:t xml:space="preserve">La pureté n’est pas un détail.</w:t>
      </w:r>
      <w:r>
        <w:t xml:space="preserve"> </w:t>
      </w:r>
      <w:r>
        <w:t xml:space="preserve">Des extraits d’insuline contaminés des débuts à l’hormone de croissance tirée d’hypophyses de cadavres, l’histoire montre que la qualité de fabrication peut être une question de vie ou de mort.</w:t>
      </w:r>
    </w:p>
    <w:p>
      <w:pPr>
        <w:numPr>
          <w:ilvl w:val="0"/>
          <w:numId w:val="1008"/>
        </w:numPr>
        <w:pStyle w:val="Compact"/>
      </w:pPr>
      <w:r>
        <w:rPr>
          <w:bCs/>
          <w:b/>
        </w:rPr>
        <w:t xml:space="preserve">Mécanisme d’action ne veut pas dire bénéfice.</w:t>
      </w:r>
      <w:r>
        <w:t xml:space="preserve"> </w:t>
      </w:r>
      <w:r>
        <w:t xml:space="preserve">Qu’un peptide agisse sur un récepteur ne signifie pas encore qu’il soit utile aux personnes. Pour les médicaments GLP-1, il a fallu de grandes études avec des milliers de participants et un suivi de plusieurs années.</w:t>
      </w:r>
    </w:p>
    <w:p>
      <w:pPr>
        <w:numPr>
          <w:ilvl w:val="0"/>
          <w:numId w:val="1008"/>
        </w:numPr>
        <w:pStyle w:val="Compact"/>
      </w:pPr>
      <w:r>
        <w:rPr>
          <w:bCs/>
          <w:b/>
        </w:rPr>
        <w:t xml:space="preserve">Les surprises vont dans les deux sens.</w:t>
      </w:r>
      <w:r>
        <w:t xml:space="preserve"> </w:t>
      </w:r>
      <w:r>
        <w:t xml:space="preserve">La perte de poids due à l’exénatide n’était d’abord qu’une remarque en marge, les effets protecteurs cardiaques ont été découverts dans des études de sécurité. À l’inverse, de grandes études ont aussi révélé des risques inattendus, comme les complications rétiniennes dans SUSTAIN-6.</w:t>
      </w:r>
    </w:p>
    <w:p>
      <w:pPr>
        <w:numPr>
          <w:ilvl w:val="0"/>
          <w:numId w:val="1008"/>
        </w:numPr>
        <w:pStyle w:val="Compact"/>
      </w:pPr>
      <w:r>
        <w:rPr>
          <w:bCs/>
          <w:b/>
        </w:rPr>
        <w:t xml:space="preserve">Les bonnes idées ont besoin de temps.</w:t>
      </w:r>
      <w:r>
        <w:t xml:space="preserve"> </w:t>
      </w:r>
      <w:r>
        <w:t xml:space="preserve">Entre la description du GLP-1 chez l’humain en 1987 et l’autorisation du sémaglutide pour le traitement du poids, plus de trois décennies se sont écoulées. Les peptides vantés aujourd’hui sur Internet comme une « percée » sans qu’il existe une seule étude contrôlée chez l’humain se trouvent, au mieux, au début d’un tel parcours.</w:t>
      </w:r>
    </w:p>
    <w:bookmarkEnd w:id="98"/>
    <w:bookmarkStart w:id="99" w:name="chronologie"/>
    <w:p>
      <w:pPr>
        <w:pStyle w:val="Heading3"/>
      </w:pPr>
      <w:r>
        <w:t xml:space="preserve">Chronologie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Année</w:t>
            </w:r>
          </w:p>
        </w:tc>
        <w:tc>
          <w:tcPr/>
          <w:p>
            <w:pPr>
              <w:pStyle w:val="Compact"/>
              <w:jc w:val="left"/>
            </w:pPr>
            <w:r>
              <w:t xml:space="preserve">Événement</w:t>
            </w:r>
          </w:p>
        </w:tc>
      </w:tr>
      <w:tr>
        <w:tc>
          <w:tcPr/>
          <w:p>
            <w:pPr>
              <w:pStyle w:val="Compact"/>
              <w:jc w:val="left"/>
            </w:pPr>
            <w:r>
              <w:t xml:space="preserve">1902</w:t>
            </w:r>
          </w:p>
        </w:tc>
        <w:tc>
          <w:tcPr/>
          <w:p>
            <w:pPr>
              <w:pStyle w:val="Compact"/>
              <w:jc w:val="left"/>
            </w:pPr>
            <w:r>
              <w:t xml:space="preserve">Description de la sécrétine, première hormone (un peptide)</w:t>
            </w:r>
          </w:p>
        </w:tc>
      </w:tr>
      <w:tr>
        <w:tc>
          <w:tcPr/>
          <w:p>
            <w:pPr>
              <w:pStyle w:val="Compact"/>
              <w:jc w:val="left"/>
            </w:pPr>
            <w:r>
              <w:t xml:space="preserve">1922</w:t>
            </w:r>
          </w:p>
        </w:tc>
        <w:tc>
          <w:tcPr/>
          <w:p>
            <w:pPr>
              <w:pStyle w:val="Compact"/>
              <w:jc w:val="left"/>
            </w:pPr>
            <w:r>
              <w:t xml:space="preserve">Premier traitement d’un être humain par l’insuline à Toronto</w:t>
            </w:r>
          </w:p>
        </w:tc>
      </w:tr>
      <w:tr>
        <w:tc>
          <w:tcPr/>
          <w:p>
            <w:pPr>
              <w:pStyle w:val="Compact"/>
              <w:jc w:val="left"/>
            </w:pPr>
            <w:r>
              <w:t xml:space="preserve">1951–1955</w:t>
            </w:r>
          </w:p>
        </w:tc>
        <w:tc>
          <w:tcPr/>
          <w:p>
            <w:pPr>
              <w:pStyle w:val="Compact"/>
              <w:jc w:val="left"/>
            </w:pPr>
            <w:r>
              <w:t xml:space="preserve">Sanger décrypte la séquence de l’insuline</w:t>
            </w:r>
          </w:p>
        </w:tc>
      </w:tr>
      <w:tr>
        <w:tc>
          <w:tcPr/>
          <w:p>
            <w:pPr>
              <w:pStyle w:val="Compact"/>
              <w:jc w:val="left"/>
            </w:pPr>
            <w:r>
              <w:t xml:space="preserve">1953</w:t>
            </w:r>
          </w:p>
        </w:tc>
        <w:tc>
          <w:tcPr/>
          <w:p>
            <w:pPr>
              <w:pStyle w:val="Compact"/>
              <w:jc w:val="left"/>
            </w:pPr>
            <w:r>
              <w:t xml:space="preserve">Première synthèse chimique d’une hormone peptidique (ocytocine)</w:t>
            </w:r>
          </w:p>
        </w:tc>
      </w:tr>
      <w:tr>
        <w:tc>
          <w:tcPr/>
          <w:p>
            <w:pPr>
              <w:pStyle w:val="Compact"/>
              <w:jc w:val="left"/>
            </w:pPr>
            <w:r>
              <w:t xml:space="preserve">Années 1960</w:t>
            </w:r>
          </w:p>
        </w:tc>
        <w:tc>
          <w:tcPr/>
          <w:p>
            <w:pPr>
              <w:pStyle w:val="Compact"/>
              <w:jc w:val="left"/>
            </w:pPr>
            <w:r>
              <w:t xml:space="preserve">Synthèse en phase solide (Merrifield), dosage radio-immunologique</w:t>
            </w:r>
          </w:p>
        </w:tc>
      </w:tr>
      <w:tr>
        <w:tc>
          <w:tcPr/>
          <w:p>
            <w:pPr>
              <w:pStyle w:val="Compact"/>
              <w:jc w:val="left"/>
            </w:pPr>
            <w:r>
              <w:t xml:space="preserve">1980</w:t>
            </w:r>
          </w:p>
        </w:tc>
        <w:tc>
          <w:tcPr/>
          <w:p>
            <w:pPr>
              <w:pStyle w:val="Compact"/>
              <w:jc w:val="left"/>
            </w:pPr>
            <w:r>
              <w:t xml:space="preserve">Insuline humaine issue du génie génétique dans des études cliniques</w:t>
            </w:r>
          </w:p>
        </w:tc>
      </w:tr>
      <w:tr>
        <w:tc>
          <w:tcPr/>
          <w:p>
            <w:pPr>
              <w:pStyle w:val="Compact"/>
              <w:jc w:val="left"/>
            </w:pPr>
            <w:r>
              <w:t xml:space="preserve">1985</w:t>
            </w:r>
          </w:p>
        </w:tc>
        <w:tc>
          <w:tcPr/>
          <w:p>
            <w:pPr>
              <w:pStyle w:val="Compact"/>
              <w:jc w:val="left"/>
            </w:pPr>
            <w:r>
              <w:t xml:space="preserve">Fin de l’extraction de l’hormone de croissance à partir d’hypophyses</w:t>
            </w:r>
          </w:p>
        </w:tc>
      </w:tr>
      <w:tr>
        <w:tc>
          <w:tcPr/>
          <w:p>
            <w:pPr>
              <w:pStyle w:val="Compact"/>
              <w:jc w:val="left"/>
            </w:pPr>
            <w:r>
              <w:t xml:space="preserve">1987</w:t>
            </w:r>
          </w:p>
        </w:tc>
        <w:tc>
          <w:tcPr/>
          <w:p>
            <w:pPr>
              <w:pStyle w:val="Compact"/>
              <w:jc w:val="left"/>
            </w:pPr>
            <w:r>
              <w:t xml:space="preserve">Description du GLP-1 comme incrétine chez l’humain</w:t>
            </w:r>
          </w:p>
        </w:tc>
      </w:tr>
      <w:tr>
        <w:tc>
          <w:tcPr/>
          <w:p>
            <w:pPr>
              <w:pStyle w:val="Compact"/>
              <w:jc w:val="left"/>
            </w:pPr>
            <w:r>
              <w:t xml:space="preserve">1992</w:t>
            </w:r>
          </w:p>
        </w:tc>
        <w:tc>
          <w:tcPr/>
          <w:p>
            <w:pPr>
              <w:pStyle w:val="Compact"/>
              <w:jc w:val="left"/>
            </w:pPr>
            <w:r>
              <w:t xml:space="preserve">Découverte de l’exendine-4 dans le venin de lézard</w:t>
            </w:r>
          </w:p>
        </w:tc>
      </w:tr>
      <w:tr>
        <w:tc>
          <w:tcPr/>
          <w:p>
            <w:pPr>
              <w:pStyle w:val="Compact"/>
              <w:jc w:val="left"/>
            </w:pPr>
            <w:r>
              <w:t xml:space="preserve">2005</w:t>
            </w:r>
          </w:p>
        </w:tc>
        <w:tc>
          <w:tcPr/>
          <w:p>
            <w:pPr>
              <w:pStyle w:val="Compact"/>
              <w:jc w:val="left"/>
            </w:pPr>
            <w:r>
              <w:t xml:space="preserve">Autorisation de l’exénatide aux États-Unis</w:t>
            </w:r>
          </w:p>
        </w:tc>
      </w:tr>
      <w:tr>
        <w:tc>
          <w:tcPr/>
          <w:p>
            <w:pPr>
              <w:pStyle w:val="Compact"/>
              <w:jc w:val="left"/>
            </w:pPr>
            <w:r>
              <w:t xml:space="preserve">2009</w:t>
            </w:r>
          </w:p>
        </w:tc>
        <w:tc>
          <w:tcPr/>
          <w:p>
            <w:pPr>
              <w:pStyle w:val="Compact"/>
              <w:jc w:val="left"/>
            </w:pPr>
            <w:r>
              <w:t xml:space="preserve">Autorisation du liraglutide dans l’UE</w:t>
            </w:r>
          </w:p>
        </w:tc>
      </w:tr>
      <w:tr>
        <w:tc>
          <w:tcPr/>
          <w:p>
            <w:pPr>
              <w:pStyle w:val="Compact"/>
              <w:jc w:val="left"/>
            </w:pPr>
            <w:r>
              <w:t xml:space="preserve">2016</w:t>
            </w:r>
          </w:p>
        </w:tc>
        <w:tc>
          <w:tcPr/>
          <w:p>
            <w:pPr>
              <w:pStyle w:val="Compact"/>
              <w:jc w:val="left"/>
            </w:pPr>
            <w:r>
              <w:t xml:space="preserve">LEADER et SUSTAIN-6 : moins d’événements cardiovasculaires</w:t>
            </w:r>
          </w:p>
        </w:tc>
      </w:tr>
      <w:tr>
        <w:tc>
          <w:tcPr/>
          <w:p>
            <w:pPr>
              <w:pStyle w:val="Compact"/>
              <w:jc w:val="left"/>
            </w:pPr>
            <w:r>
              <w:t xml:space="preserve">2019</w:t>
            </w:r>
          </w:p>
        </w:tc>
        <w:tc>
          <w:tcPr/>
          <w:p>
            <w:pPr>
              <w:pStyle w:val="Compact"/>
              <w:jc w:val="left"/>
            </w:pPr>
            <w:r>
              <w:t xml:space="preserve">Premier comprimé GLP-1 (sémaglutide oral)</w:t>
            </w:r>
          </w:p>
        </w:tc>
      </w:tr>
      <w:tr>
        <w:tc>
          <w:tcPr/>
          <w:p>
            <w:pPr>
              <w:pStyle w:val="Compact"/>
              <w:jc w:val="left"/>
            </w:pPr>
            <w:r>
              <w:t xml:space="preserve">2021</w:t>
            </w:r>
          </w:p>
        </w:tc>
        <w:tc>
          <w:tcPr/>
          <w:p>
            <w:pPr>
              <w:pStyle w:val="Compact"/>
              <w:jc w:val="left"/>
            </w:pPr>
            <w:r>
              <w:t xml:space="preserve">Sémaglutide pour le traitement du poids (programme STEP)</w:t>
            </w:r>
          </w:p>
        </w:tc>
      </w:tr>
      <w:tr>
        <w:tc>
          <w:tcPr/>
          <w:p>
            <w:pPr>
              <w:pStyle w:val="Compact"/>
              <w:jc w:val="left"/>
            </w:pPr>
            <w:r>
              <w:t xml:space="preserve">2022</w:t>
            </w:r>
          </w:p>
        </w:tc>
        <w:tc>
          <w:tcPr/>
          <w:p>
            <w:pPr>
              <w:pStyle w:val="Compact"/>
              <w:jc w:val="left"/>
            </w:pPr>
            <w:r>
              <w:t xml:space="preserve">Tirzépatide : premier double agoniste GIP/GLP-1</w:t>
            </w:r>
          </w:p>
        </w:tc>
      </w:tr>
      <w:tr>
        <w:tc>
          <w:tcPr/>
          <w:p>
            <w:pPr>
              <w:pStyle w:val="Compact"/>
              <w:jc w:val="left"/>
            </w:pPr>
            <w:r>
              <w:t xml:space="preserve">2023</w:t>
            </w:r>
          </w:p>
        </w:tc>
        <w:tc>
          <w:tcPr/>
          <w:p>
            <w:pPr>
              <w:pStyle w:val="Compact"/>
              <w:jc w:val="left"/>
            </w:pPr>
            <w:r>
              <w:t xml:space="preserve">SELECT : protection cardiaque dans l’obésité sans diabète</w:t>
            </w:r>
          </w:p>
        </w:tc>
      </w:tr>
    </w:tbl>
    <w:p>
      <w:pPr>
        <w:pStyle w:val="BodyText"/>
      </w:pPr>
      <w:r>
        <w:t xml:space="preserve">Les années d’autorisation se rapportent à chaque fois à la première autorisation ; dans d’autres pays et pour d’autres indications, les dates peuvent différer. État 2026, à vérifier si nécessaire.</w:t>
      </w:r>
    </w:p>
    <w:bookmarkEnd w:id="99"/>
    <w:bookmarkEnd w:id="100"/>
    <w:bookmarkStart w:id="135" w:name="X0278cb4a6bf0b720e163bc506b70a4eb2558b74"/>
    <w:p>
      <w:pPr>
        <w:pStyle w:val="Heading2"/>
      </w:pPr>
      <w:r>
        <w:t xml:space="preserve">Comment les peptides pénètrent dans l’organisme – et pourquoi c’est difficile</w:t>
      </w:r>
    </w:p>
    <w:p>
      <w:pPr>
        <w:pStyle w:val="FirstParagraph"/>
      </w:pPr>
      <w:r>
        <w:t xml:space="preserve">Presque tous les médicaments peptidiques que tu connais sont injectés : l’insuline, le sémaglutide, le tirzépatide, le tériparatide. Ce n’est ni un hasard ni une préférence de l’industrie pharmaceutique, mais une conséquence de la biologie. Le corps humain excelle à décomposer les protéines et les peptides – il vit après tout de la dégradation des protéines alimentaires en leurs briques élémentaires. Ce chapitre explique quels obstacles un peptide doit surmonter pour atteindre son site d’action, quelles voies la médecine a trouvées et pourquoi de nombreuses promesses concernant des gouttes, des gélules et des crèmes sont à considérer avec prudence.</w:t>
      </w:r>
    </w:p>
    <w:bookmarkStart w:id="102" w:name="X2057e47aac0ea1aa07573d85a9bda9bba893e8c"/>
    <w:p>
      <w:pPr>
        <w:pStyle w:val="Heading3"/>
      </w:pPr>
      <w:r>
        <w:t xml:space="preserve">Le problème fondamental : la biodisponibilité</w:t>
      </w:r>
    </w:p>
    <w:p>
      <w:pPr>
        <w:pStyle w:val="FirstParagraph"/>
      </w:pPr>
      <w:r>
        <w:t xml:space="preserve">Une notion centrale de ce chapitre est la</w:t>
      </w:r>
      <w:r>
        <w:t xml:space="preserve"> </w:t>
      </w:r>
      <w:r>
        <w:rPr>
          <w:bCs/>
          <w:b/>
        </w:rPr>
        <w:t xml:space="preserve">biodisponibilité</w:t>
      </w:r>
      <w:r>
        <w:t xml:space="preserve">. Elle indique quelle fraction d’une quantité administrée parvient réellement sous forme inchangée dans la circulation sanguine. Pour une perfusion directement dans une veine, elle est par définition de 100 %. Pour toutes les autres voies, une partie se perd – par dégradation, à cause de barrières ou parce que la substance est tout simplement éliminée.</w:t>
      </w:r>
    </w:p>
    <w:p>
      <w:pPr>
        <w:pStyle w:val="BodyText"/>
      </w:pPr>
      <w:r>
        <w:t xml:space="preserve">Pour les peptides, la biodisponibilité est particulièrement critique, car trois propriétés se combinent :</w:t>
      </w:r>
    </w:p>
    <w:p>
      <w:pPr>
        <w:numPr>
          <w:ilvl w:val="0"/>
          <w:numId w:val="1009"/>
        </w:numPr>
        <w:pStyle w:val="Compact"/>
      </w:pPr>
      <w:r>
        <w:rPr>
          <w:bCs/>
          <w:b/>
        </w:rPr>
        <w:t xml:space="preserve">Ils sont sensibles aux enzymes.</w:t>
      </w:r>
      <w:r>
        <w:t xml:space="preserve"> </w:t>
      </w:r>
      <w:r>
        <w:t xml:space="preserve">Les liaisons peptidiques sont coupées de manière ciblée par des enzymes digestives comme la pepsine dans l’estomac ou la trypsine dans l’intestin grêle, ainsi que par de nombreuses enzymes du sang et des tissus.</w:t>
      </w:r>
    </w:p>
    <w:p>
      <w:pPr>
        <w:numPr>
          <w:ilvl w:val="0"/>
          <w:numId w:val="1009"/>
        </w:numPr>
        <w:pStyle w:val="Compact"/>
      </w:pPr>
      <w:r>
        <w:rPr>
          <w:bCs/>
          <w:b/>
        </w:rPr>
        <w:t xml:space="preserve">Ils sont grands.</w:t>
      </w:r>
      <w:r>
        <w:t xml:space="preserve"> </w:t>
      </w:r>
      <w:r>
        <w:t xml:space="preserve">Comparés aux substances médicamenteuses classiques comme l’ibuprofène, la plupart des peptides sont énormes. Un peptide de dix acides aminés pèse déjà plus de 1 000 daltons.</w:t>
      </w:r>
    </w:p>
    <w:p>
      <w:pPr>
        <w:numPr>
          <w:ilvl w:val="0"/>
          <w:numId w:val="1009"/>
        </w:numPr>
        <w:pStyle w:val="Compact"/>
      </w:pPr>
      <w:r>
        <w:rPr>
          <w:bCs/>
          <w:b/>
        </w:rPr>
        <w:t xml:space="preserve">Ils sont le plus souvent hydrosolubles et fréquemment chargés électriquement.</w:t>
      </w:r>
      <w:r>
        <w:t xml:space="preserve"> </w:t>
      </w:r>
      <w:r>
        <w:t xml:space="preserve">Ils ont donc du mal à traverser les membranes grasses des cellules.</w:t>
      </w:r>
    </w:p>
    <w:p>
      <w:pPr>
        <w:pStyle w:val="FirstParagraph"/>
      </w:pPr>
      <w:r>
        <w:t xml:space="preserve">Chaque voie d’administration est une tentative de contourner ces obstacles. Une revue consacrée aux peptides oraux résume que les substances actives protéiques et peptidiques doivent en règle générale être administrées en contournant le tube digestif, ce qui peut nuire à l’observance du traitement</w:t>
      </w:r>
      <w:r>
        <w:rPr>
          <w:rStyle w:val="FootnoteReference"/>
        </w:rPr>
        <w:footnoteReference w:id="101"/>
      </w:r>
      <w:r>
        <w:t xml:space="preserve">.</w:t>
      </w:r>
    </w:p>
    <w:bookmarkEnd w:id="102"/>
    <w:bookmarkStart w:id="106" w:name="Xbcf804e31b6540dbf7b6aaf73233df89a1e1d17"/>
    <w:p>
      <w:pPr>
        <w:pStyle w:val="Heading3"/>
      </w:pPr>
      <w:r>
        <w:t xml:space="preserve">L’injection : voie standard avec des inconvénients</w:t>
      </w:r>
    </w:p>
    <w:p>
      <w:pPr>
        <w:pStyle w:val="FirstParagraph"/>
      </w:pPr>
      <w:r>
        <w:t xml:space="preserve">La plupart des médicaments peptidiques sont injectés par voie</w:t>
      </w:r>
      <w:r>
        <w:t xml:space="preserve"> </w:t>
      </w:r>
      <w:r>
        <w:rPr>
          <w:bCs/>
          <w:b/>
        </w:rPr>
        <w:t xml:space="preserve">sous-cutanée</w:t>
      </w:r>
      <w:r>
        <w:t xml:space="preserve">, c’est-à-dire dans le tissu adipeux sous la peau – typiquement au niveau du ventre, de la cuisse ou du haut du bras. De là, la substance passe dans la circulation par de petits vaisseaux sanguins et les vaisseaux lymphatiques. La biodisponibilité est élevée, et les patientes et patients peuvent faire l’injection eux-mêmes après une formation. Plus rarement, les peptides sont administrés dans le muscle (voie</w:t>
      </w:r>
      <w:r>
        <w:t xml:space="preserve"> </w:t>
      </w:r>
      <w:r>
        <w:rPr>
          <w:bCs/>
          <w:b/>
        </w:rPr>
        <w:t xml:space="preserve">intramusculaire</w:t>
      </w:r>
      <w:r>
        <w:t xml:space="preserve">) ou directement dans une veine (voie</w:t>
      </w:r>
      <w:r>
        <w:t xml:space="preserve"> </w:t>
      </w:r>
      <w:r>
        <w:rPr>
          <w:bCs/>
          <w:b/>
        </w:rPr>
        <w:t xml:space="preserve">intraveineuse</w:t>
      </w:r>
      <w:r>
        <w:t xml:space="preserve">), par exemple à l’hôpital.</w:t>
      </w:r>
    </w:p>
    <w:p>
      <w:pPr>
        <w:pStyle w:val="BodyText"/>
      </w:pPr>
      <w:r>
        <w:t xml:space="preserve">L’injection contourne certes le tube digestif, mais pas les enzymes du sang. C’est pourquoi la recherche pharmaceutique a consacré beaucoup d’efforts à prolonger la durée de vie des peptides :</w:t>
      </w:r>
    </w:p>
    <w:p>
      <w:pPr>
        <w:numPr>
          <w:ilvl w:val="0"/>
          <w:numId w:val="1010"/>
        </w:numPr>
        <w:pStyle w:val="Compact"/>
      </w:pPr>
      <w:r>
        <w:rPr>
          <w:bCs/>
          <w:b/>
        </w:rPr>
        <w:t xml:space="preserve">Remplacement d’acides aminés</w:t>
      </w:r>
      <w:r>
        <w:t xml:space="preserve"> </w:t>
      </w:r>
      <w:r>
        <w:t xml:space="preserve">aux endroits où les enzymes attaquent.</w:t>
      </w:r>
    </w:p>
    <w:p>
      <w:pPr>
        <w:numPr>
          <w:ilvl w:val="0"/>
          <w:numId w:val="1010"/>
        </w:numPr>
        <w:pStyle w:val="Compact"/>
      </w:pPr>
      <w:r>
        <w:rPr>
          <w:bCs/>
          <w:b/>
        </w:rPr>
        <w:t xml:space="preserve">Fixation d’acides gras</w:t>
      </w:r>
      <w:r>
        <w:t xml:space="preserve">, pour que le peptide se lie à l’albumine, une protéine du sang. Le liraglutide et le sémaglutide utilisent ce principe</w:t>
      </w:r>
      <w:r>
        <w:rPr>
          <w:rStyle w:val="FootnoteReference"/>
        </w:rPr>
        <w:footnoteReference w:id="103"/>
      </w:r>
      <w:r>
        <w:t xml:space="preserve">. Pour le sémaglutide, il en résulte une demi-vie d’environ une semaine</w:t>
      </w:r>
      <w:r>
        <w:rPr>
          <w:rStyle w:val="FootnoteReference"/>
        </w:rPr>
        <w:footnoteReference w:id="104"/>
      </w:r>
      <w:r>
        <w:t xml:space="preserve">.</w:t>
      </w:r>
    </w:p>
    <w:p>
      <w:pPr>
        <w:numPr>
          <w:ilvl w:val="0"/>
          <w:numId w:val="1010"/>
        </w:numPr>
        <w:pStyle w:val="Compact"/>
      </w:pPr>
      <w:r>
        <w:rPr>
          <w:bCs/>
          <w:b/>
        </w:rPr>
        <w:t xml:space="preserve">Couplage à des molécules plus grandes</w:t>
      </w:r>
      <w:r>
        <w:t xml:space="preserve">, par exemple à des fragments d’anticorps ou à des polymères comme le polyéthylène glycol. Le dulaglutide est un exemple de molécule GLP-1 liée à un fragment d’anticorps.</w:t>
      </w:r>
    </w:p>
    <w:p>
      <w:pPr>
        <w:numPr>
          <w:ilvl w:val="0"/>
          <w:numId w:val="1010"/>
        </w:numPr>
        <w:pStyle w:val="Compact"/>
      </w:pPr>
      <w:r>
        <w:rPr>
          <w:bCs/>
          <w:b/>
        </w:rPr>
        <w:t xml:space="preserve">Formes retard</w:t>
      </w:r>
      <w:r>
        <w:t xml:space="preserve">, dans lesquelles la substance est incorporée dans de minuscules microsphères ou des gels à partir desquels elle est libérée lentement.</w:t>
      </w:r>
    </w:p>
    <w:p>
      <w:pPr>
        <w:pStyle w:val="FirstParagraph"/>
      </w:pPr>
      <w:r>
        <w:t xml:space="preserve">Pour les utilisatrices et utilisateurs, l’injection implique aussi des obligations : le produit doit être stérile, l’aiguille ne doit être utilisée qu’une seule fois, et de nombreuses préparations doivent être conservées au réfrigérateur. Les stylos préremplis avec des paliers de dose prédéfinis réduisent nettement le risque d’erreurs. Une série de cas d’un centre antipoison américain montre à quel point c’est important : avec du sémaglutide délivré en pharmacie sous forme de flacons avec des seringues, des surdosages d’un facteur dix sont survenus, entre autres parce que millilitres, « unités » et milligrammes avaient été confondus</w:t>
      </w:r>
      <w:r>
        <w:rPr>
          <w:rStyle w:val="FootnoteReference"/>
        </w:rPr>
        <w:footnoteReference w:id="105"/>
      </w:r>
      <w:r>
        <w:t xml:space="preserve">. Pour en savoir plus, voir le chapitre sur le marché gris.</w:t>
      </w:r>
    </w:p>
    <w:bookmarkEnd w:id="106"/>
    <w:bookmarkStart w:id="108" w:name="le-comprimé-la-voie-la-plus-difficile"/>
    <w:p>
      <w:pPr>
        <w:pStyle w:val="Heading3"/>
      </w:pPr>
      <w:r>
        <w:t xml:space="preserve">Le comprimé : la voie la plus difficile</w:t>
      </w:r>
    </w:p>
    <w:p>
      <w:pPr>
        <w:pStyle w:val="FirstParagraph"/>
      </w:pPr>
      <w:r>
        <w:t xml:space="preserve">Pour la plupart des gens, un comprimé serait la solution la plus pratique. Pour les peptides, c’est aussi la plus exigeante. Sur le chemin de la bouche au sang, plusieurs obstacles les attendent :</w:t>
      </w:r>
    </w:p>
    <w:p>
      <w:pPr>
        <w:numPr>
          <w:ilvl w:val="0"/>
          <w:numId w:val="1011"/>
        </w:numPr>
        <w:pStyle w:val="Compact"/>
      </w:pPr>
      <w:r>
        <w:t xml:space="preserve">L’</w:t>
      </w:r>
      <w:r>
        <w:rPr>
          <w:bCs/>
          <w:b/>
        </w:rPr>
        <w:t xml:space="preserve">acide gastrique</w:t>
      </w:r>
      <w:r>
        <w:t xml:space="preserve"> </w:t>
      </w:r>
      <w:r>
        <w:t xml:space="preserve">peut détruire la structure spatiale des peptides.</w:t>
      </w:r>
    </w:p>
    <w:p>
      <w:pPr>
        <w:numPr>
          <w:ilvl w:val="0"/>
          <w:numId w:val="1011"/>
        </w:numPr>
        <w:pStyle w:val="Compact"/>
      </w:pPr>
      <w:r>
        <w:t xml:space="preserve">La</w:t>
      </w:r>
      <w:r>
        <w:t xml:space="preserve"> </w:t>
      </w:r>
      <w:r>
        <w:rPr>
          <w:bCs/>
          <w:b/>
        </w:rPr>
        <w:t xml:space="preserve">pepsine</w:t>
      </w:r>
      <w:r>
        <w:t xml:space="preserve"> </w:t>
      </w:r>
      <w:r>
        <w:t xml:space="preserve">dans l’estomac et les</w:t>
      </w:r>
      <w:r>
        <w:t xml:space="preserve"> </w:t>
      </w:r>
      <w:r>
        <w:rPr>
          <w:bCs/>
          <w:b/>
        </w:rPr>
        <w:t xml:space="preserve">enzymes pancréatiques</w:t>
      </w:r>
      <w:r>
        <w:t xml:space="preserve"> </w:t>
      </w:r>
      <w:r>
        <w:t xml:space="preserve">dans l’intestin grêle découpent les peptides en petits fragments.</w:t>
      </w:r>
    </w:p>
    <w:p>
      <w:pPr>
        <w:numPr>
          <w:ilvl w:val="0"/>
          <w:numId w:val="1011"/>
        </w:numPr>
        <w:pStyle w:val="Compact"/>
      </w:pPr>
      <w:r>
        <w:t xml:space="preserve">Une</w:t>
      </w:r>
      <w:r>
        <w:t xml:space="preserve"> </w:t>
      </w:r>
      <w:r>
        <w:rPr>
          <w:bCs/>
          <w:b/>
        </w:rPr>
        <w:t xml:space="preserve">couche de mucus</w:t>
      </w:r>
      <w:r>
        <w:t xml:space="preserve"> </w:t>
      </w:r>
      <w:r>
        <w:t xml:space="preserve">recouvrant la muqueuse intestinale retient les grosses molécules.</w:t>
      </w:r>
    </w:p>
    <w:p>
      <w:pPr>
        <w:numPr>
          <w:ilvl w:val="0"/>
          <w:numId w:val="1011"/>
        </w:numPr>
        <w:pStyle w:val="Compact"/>
      </w:pPr>
      <w:r>
        <w:t xml:space="preserve">Les</w:t>
      </w:r>
      <w:r>
        <w:t xml:space="preserve"> </w:t>
      </w:r>
      <w:r>
        <w:rPr>
          <w:bCs/>
          <w:b/>
        </w:rPr>
        <w:t xml:space="preserve">cellules intestinales</w:t>
      </w:r>
      <w:r>
        <w:t xml:space="preserve"> </w:t>
      </w:r>
      <w:r>
        <w:t xml:space="preserve">elles-mêmes sont étroitement liées entre elles. Les grosses molécules hydrosolubles ne passent ni à travers les cellules ni entre elles.</w:t>
      </w:r>
    </w:p>
    <w:p>
      <w:pPr>
        <w:numPr>
          <w:ilvl w:val="0"/>
          <w:numId w:val="1011"/>
        </w:numPr>
        <w:pStyle w:val="Compact"/>
      </w:pPr>
      <w:r>
        <w:t xml:space="preserve">Ce qui parvient malgré tout dans le sang passe d’abord par le</w:t>
      </w:r>
      <w:r>
        <w:t xml:space="preserve"> </w:t>
      </w:r>
      <w:r>
        <w:rPr>
          <w:bCs/>
          <w:b/>
        </w:rPr>
        <w:t xml:space="preserve">foie</w:t>
      </w:r>
      <w:r>
        <w:t xml:space="preserve">, qui peut en dégrader une autre partie.</w:t>
      </w:r>
    </w:p>
    <w:p>
      <w:pPr>
        <w:pStyle w:val="FirstParagraph"/>
      </w:pPr>
      <w:r>
        <w:t xml:space="preserve">La revue de Drucker cite comme pistes de solution des substances qui augmentent la perméabilité, des inhibiteurs d’enzymes digestives ainsi que des peptides vecteurs capables de traverser le mucus et les cellules. Des formes orales d’insuline, de calcitonine, de parathormone et de vasopressine, entre autres, ont été testées dans des études cliniques</w:t>
      </w:r>
      <w:r>
        <w:rPr>
          <w:rStyle w:val="FootnoteReference"/>
        </w:rPr>
        <w:footnoteReference w:id="107"/>
      </w:r>
      <w:r>
        <w:t xml:space="preserve">. La percée pour une substance largement utilisée n’a cependant été obtenue qu’avec le comprimé de sémaglutide.</w:t>
      </w:r>
    </w:p>
    <w:bookmarkEnd w:id="108"/>
    <w:bookmarkStart w:id="118" w:name="X0800f6451a158221909ad04afda24a7440b8aeb"/>
    <w:p>
      <w:pPr>
        <w:pStyle w:val="Heading3"/>
      </w:pPr>
      <w:r>
        <w:t xml:space="preserve">La technologie SNAC : comment fonctionne le comprimé de sémaglutide</w:t>
      </w:r>
    </w:p>
    <w:p>
      <w:pPr>
        <w:pStyle w:val="FirstParagraph"/>
      </w:pPr>
      <w:r>
        <w:t xml:space="preserve">Outre la substance active, le comprimé de sémaglutide contient un excipient appelé</w:t>
      </w:r>
      <w:r>
        <w:t xml:space="preserve"> </w:t>
      </w:r>
      <w:r>
        <w:rPr>
          <w:bCs/>
          <w:b/>
        </w:rPr>
        <w:t xml:space="preserve">SNAC</w:t>
      </w:r>
      <w:r>
        <w:t xml:space="preserve"> </w:t>
      </w:r>
      <w:r>
        <w:t xml:space="preserve">(N-[8-(2-hydroxybenzoyl)amino]caprylate de sodium). Une étude combinant des données issues de recherches chez l’humain et chez le chien a éclairci ce qui se passe</w:t>
      </w:r>
      <w:r>
        <w:rPr>
          <w:rStyle w:val="FootnoteReference"/>
        </w:rPr>
        <w:footnoteReference w:id="109"/>
      </w:r>
      <w:r>
        <w:t xml:space="preserve"> </w:t>
      </w:r>
      <w:r>
        <w:t xml:space="preserve">:</w:t>
      </w:r>
    </w:p>
    <w:p>
      <w:pPr>
        <w:numPr>
          <w:ilvl w:val="0"/>
          <w:numId w:val="1012"/>
        </w:numPr>
        <w:pStyle w:val="Compact"/>
      </w:pPr>
      <w:r>
        <w:t xml:space="preserve">Étonnamment, l’absorption n’a pas lieu dans l’intestin, mais</w:t>
      </w:r>
      <w:r>
        <w:t xml:space="preserve"> </w:t>
      </w:r>
      <w:r>
        <w:rPr>
          <w:bCs/>
          <w:b/>
        </w:rPr>
        <w:t xml:space="preserve">dans l’estomac</w:t>
      </w:r>
      <w:r>
        <w:t xml:space="preserve">.</w:t>
      </w:r>
    </w:p>
    <w:p>
      <w:pPr>
        <w:numPr>
          <w:ilvl w:val="0"/>
          <w:numId w:val="1012"/>
        </w:numPr>
        <w:pStyle w:val="Compact"/>
      </w:pPr>
      <w:r>
        <w:t xml:space="preserve">Elle est limitée à une petite zone</w:t>
      </w:r>
      <w:r>
        <w:t xml:space="preserve"> </w:t>
      </w:r>
      <w:r>
        <w:rPr>
          <w:bCs/>
          <w:b/>
        </w:rPr>
        <w:t xml:space="preserve">directement à la surface du comprimé</w:t>
      </w:r>
      <w:r>
        <w:t xml:space="preserve">.</w:t>
      </w:r>
    </w:p>
    <w:p>
      <w:pPr>
        <w:numPr>
          <w:ilvl w:val="0"/>
          <w:numId w:val="1012"/>
        </w:numPr>
        <w:pStyle w:val="Compact"/>
      </w:pPr>
      <w:r>
        <w:t xml:space="preserve">Le SNAC y tamponne localement l’acide gastrique et</w:t>
      </w:r>
      <w:r>
        <w:t xml:space="preserve"> </w:t>
      </w:r>
      <w:r>
        <w:rPr>
          <w:bCs/>
          <w:b/>
        </w:rPr>
        <w:t xml:space="preserve">protège</w:t>
      </w:r>
      <w:r>
        <w:t xml:space="preserve"> </w:t>
      </w:r>
      <w:r>
        <w:t xml:space="preserve">ainsi le sémaglutide de la dégradation par les enzymes.</w:t>
      </w:r>
    </w:p>
    <w:p>
      <w:pPr>
        <w:numPr>
          <w:ilvl w:val="0"/>
          <w:numId w:val="1012"/>
        </w:numPr>
        <w:pStyle w:val="Compact"/>
      </w:pPr>
      <w:r>
        <w:t xml:space="preserve">Le SNAC n’augmente la perméabilité de la muqueuse gastrique que</w:t>
      </w:r>
      <w:r>
        <w:t xml:space="preserve"> </w:t>
      </w:r>
      <w:r>
        <w:rPr>
          <w:bCs/>
          <w:b/>
        </w:rPr>
        <w:t xml:space="preserve">brièvement</w:t>
      </w:r>
      <w:r>
        <w:t xml:space="preserve">.</w:t>
      </w:r>
    </w:p>
    <w:p>
      <w:pPr>
        <w:numPr>
          <w:ilvl w:val="0"/>
          <w:numId w:val="1012"/>
        </w:numPr>
        <w:pStyle w:val="Compact"/>
      </w:pPr>
      <w:r>
        <w:t xml:space="preserve">Le sémaglutide passe dans le sang</w:t>
      </w:r>
      <w:r>
        <w:t xml:space="preserve"> </w:t>
      </w:r>
      <w:r>
        <w:rPr>
          <w:bCs/>
          <w:b/>
        </w:rPr>
        <w:t xml:space="preserve">à travers les cellules</w:t>
      </w:r>
      <w:r>
        <w:t xml:space="preserve">, sans que les jonctions entre les cellules soient ouvertes.</w:t>
      </w:r>
    </w:p>
    <w:p>
      <w:pPr>
        <w:pStyle w:val="FirstParagraph"/>
      </w:pPr>
      <w:r>
        <w:t xml:space="preserve">Une revue plus récente ajoute que le SNAC élève le pH dans l’environnement immédiat, atténue l’activation de la pepsine et contribue à ce que le sémaglutide reste sous forme de molécules isolées au lieu de s’associer en agrégats plus grands, moins bien absorbés</w:t>
      </w:r>
      <w:r>
        <w:rPr>
          <w:rStyle w:val="FootnoteReference"/>
        </w:rPr>
        <w:footnoteReference w:id="110"/>
      </w:r>
      <w:r>
        <w:t xml:space="preserve">.</w:t>
      </w:r>
    </w:p>
    <w:p>
      <w:pPr>
        <w:pStyle w:val="BodyText"/>
      </w:pPr>
      <w:r>
        <w:t xml:space="preserve">Malgré cette technologie, le rendement est faible. La même revue indique une biodisponibilité absolue du sémaglutide oral de seulement 0,4 à 1 % environ – et cela dans des conditions optimisées : à jeun et avec peu d’eau. Après un repas, le sémaglutide n’est pratiquement pas détectable dans le sang</w:t>
      </w:r>
      <w:r>
        <w:rPr>
          <w:rStyle w:val="FootnoteReference"/>
        </w:rPr>
        <w:footnoteReference w:id="111"/>
      </w:r>
      <w:r>
        <w:t xml:space="preserve">. C’est pourquoi le comprimé est soumis à des règles de prise strictes, décrites dans le résumé des caractéristiques du produit et à discuter avec le médecin traitant.</w:t>
      </w:r>
    </w:p>
    <w:p>
      <w:pPr>
        <w:pStyle w:val="BodyText"/>
      </w:pPr>
      <w:r>
        <w:t xml:space="preserve">La faible biodisponibilité a une conséquence pratique : le comprimé nécessite une quantité de substance active bien plus importante. Dans l’étude SUSTAIN-6, les participants recevaient 0,5 ou 1,0 mg de sémaglutide une fois par semaine en injection</w:t>
      </w:r>
      <w:r>
        <w:rPr>
          <w:rStyle w:val="FootnoteReference"/>
        </w:rPr>
        <w:footnoteReference w:id="112"/>
      </w:r>
      <w:r>
        <w:t xml:space="preserve">. Dans l’étude PIONEER 1 portant sur le comprimé, ce sont en revanche des doses quotidiennes de 3, 7 ou 14 mg qui ont été étudiées</w:t>
      </w:r>
      <w:r>
        <w:rPr>
          <w:rStyle w:val="FootnoteReference"/>
        </w:rPr>
        <w:footnoteReference w:id="113"/>
      </w:r>
      <w:r>
        <w:t xml:space="preserve">. Si l’effet à long terme reste malgré tout régulier, c’est grâce à la longue demi-vie : les variations d’absorption d’un jour à l’autre s’équilibrent largement sur la semaine</w:t>
      </w:r>
      <w:r>
        <w:rPr>
          <w:rStyle w:val="FootnoteReference"/>
        </w:rPr>
        <w:footnoteReference w:id="114"/>
      </w:r>
      <w:r>
        <w:t xml:space="preserve">.</w:t>
      </w:r>
    </w:p>
    <w:p>
      <w:pPr>
        <w:pStyle w:val="BodyText"/>
      </w:pPr>
      <w:r>
        <w:t xml:space="preserve">Le comprimé est efficace, les études le montrent. Dans PIONEER 1, chez 703 personnes atteintes de diabète de type 2, la valeur de l’HbA1c a baissé après 26 semaines, à la dose la plus élevée, de 1,1 point de pourcentage de plus que sous placebo</w:t>
      </w:r>
      <w:r>
        <w:rPr>
          <w:rStyle w:val="FootnoteReference"/>
        </w:rPr>
        <w:footnoteReference w:id="115"/>
      </w:r>
      <w:r>
        <w:t xml:space="preserve">. Dans l’étude OASIS 1, une dose plus élevée de 50 mg par jour a été évaluée chez 667 adultes en surpoids ou obèses sans diabète. Après 68 semaines, la perte de poids moyenne était de 15,1 %, contre 2,4 % sous placebo</w:t>
      </w:r>
      <w:r>
        <w:rPr>
          <w:rStyle w:val="FootnoteReference"/>
        </w:rPr>
        <w:footnoteReference w:id="116"/>
      </w:r>
      <w:r>
        <w:t xml:space="preserve">. Des troubles gastro-intestinaux sont survenus chez 80 % des participants sous sémaglutide et chez 46 % sous placebo.</w:t>
      </w:r>
    </w:p>
    <w:p>
      <w:pPr>
        <w:pStyle w:val="BodyText"/>
      </w:pPr>
      <w:r>
        <w:t xml:space="preserve">Une remarque importante pour la pratique : la technologie SNAC est liée à la composition exacte du comprimé. Une analyse de produits d’imitation a trouvé, dans plusieurs préparations orales de sémaglutide, nettement moins de substance active qu’indiqué ainsi qu’un profil de libération différent du sémaglutide et du SNAC, ce qui pourrait réduire l’absorption</w:t>
      </w:r>
      <w:r>
        <w:rPr>
          <w:rStyle w:val="FootnoteReference"/>
        </w:rPr>
        <w:footnoteReference w:id="117"/>
      </w:r>
      <w:r>
        <w:t xml:space="preserve">. Un comprimé contenant du « sémaglutide » n’est donc pas automatiquement aussi efficace que la préparation autorisée.</w:t>
      </w:r>
    </w:p>
    <w:p>
      <w:pPr>
        <w:pStyle w:val="BodyText"/>
      </w:pPr>
      <w:r>
        <w:t xml:space="preserve">Parallèlement aux comprimés peptidiques, on développe de petites molécules non peptidiques qui activent le même récepteur et peuvent être prises comme un comprimé ordinaire, par exemple l’orforglipron. Elles sont présentées à titre de comparaison dans la partie II et traitées dans la partie V dans le contexte de l’avenir des traitements par comprimés.</w:t>
      </w:r>
    </w:p>
    <w:bookmarkEnd w:id="118"/>
    <w:bookmarkStart w:id="120" w:name="Xdb743f7d7cddb3756a3c8d523d452708dc32063"/>
    <w:p>
      <w:pPr>
        <w:pStyle w:val="Heading3"/>
      </w:pPr>
      <w:r>
        <w:t xml:space="preserve">L’exception des aliments : les peptides courts issus du collagène et du lait</w:t>
      </w:r>
    </w:p>
    <w:p>
      <w:pPr>
        <w:pStyle w:val="FirstParagraph"/>
      </w:pPr>
      <w:r>
        <w:t xml:space="preserve">Si les peptides sont dégradés dans le tube digestif, comment les peptides de collagène ou les peptides du lait consommés sous forme de poudre ou de boisson pourraient-ils agir ? La réponse est nuancée.</w:t>
      </w:r>
    </w:p>
    <w:p>
      <w:pPr>
        <w:pStyle w:val="BodyText"/>
      </w:pPr>
      <w:r>
        <w:t xml:space="preserve">La digestion produit non seulement des acides aminés isolés, mais aussi des fragments très courts de deux ou trois briques. Certains d’entre eux sont relativement résistants aux enzymes et sont absorbés par des systèmes de transport spécifiques. Ainsi, après la consommation d’hydrolysat de collagène, les dipeptides prolyl-hydroxyproline et hydroxyprolyl-glycine ont été mesurés dans le plasma sanguin de cinq volontaires en bonne santé</w:t>
      </w:r>
      <w:r>
        <w:rPr>
          <w:rStyle w:val="FootnoteReference"/>
        </w:rPr>
        <w:footnoteReference w:id="119"/>
      </w:r>
      <w:r>
        <w:t xml:space="preserve">.</w:t>
      </w:r>
    </w:p>
    <w:p>
      <w:pPr>
        <w:pStyle w:val="BodyText"/>
      </w:pPr>
      <w:r>
        <w:t xml:space="preserve">Il n’en découle cependant pas automatiquement que ces fragments exercent un effet déterminé dans l’organisme – par exemple sur la peau ou les articulations. Seules des études contrôlées avec des critères d’évaluation cliniques permettent de le savoir. Ces données sont examinées dans la partie II, dans le chapitre consacré aux peptides de collagène. Pour les peptides plus grands comme les hormones, en revanche, la règle est la suivante : avalés, ils sont digérés.</w:t>
      </w:r>
    </w:p>
    <w:bookmarkEnd w:id="120"/>
    <w:bookmarkStart w:id="122" w:name="sous-la-langue-peu-de-preuves"/>
    <w:p>
      <w:pPr>
        <w:pStyle w:val="Heading3"/>
      </w:pPr>
      <w:r>
        <w:t xml:space="preserve">Sous la langue : peu de preuves</w:t>
      </w:r>
    </w:p>
    <w:p>
      <w:pPr>
        <w:pStyle w:val="FirstParagraph"/>
      </w:pPr>
      <w:r>
        <w:t xml:space="preserve">La muqueuse buccale, en particulier sous la langue, est bien irriguée. Les substances absorbées à cet endroit contournent l’estomac et le foie. Cela fonctionne bien pour certaines petites substances médicamenteuses, mais pour les peptides, la muqueuse constitue une barrière importante.</w:t>
      </w:r>
    </w:p>
    <w:p>
      <w:pPr>
        <w:pStyle w:val="BodyText"/>
      </w:pPr>
      <w:r>
        <w:t xml:space="preserve">Pourtant, le sémaglutide et le tirzépatide sont proposés, surtout aux États-Unis, sous forme de gouttes ou de comprimés orodispersibles à placer sous la langue. Une analyse des offres de pharmacies américaines qui préparent elles-mêmes des médicaments a recensé 33 produits s’écartant des préparations autorisées. Parmi les 17 produits ne contenant qu’une seule substance active, 82 % étaient destinés à une utilisation sous la langue, les autres étant des comprimés orodispersibles. Les autrices et auteurs jugent une telle forme galénique compréhensible en principe, mais constatent qu’aucun avantage par rapport aux préparations autorisées n’est démontré et que les données de sécurité et d’efficacité font défaut</w:t>
      </w:r>
      <w:r>
        <w:rPr>
          <w:rStyle w:val="FootnoteReference"/>
        </w:rPr>
        <w:footnoteReference w:id="121"/>
      </w:r>
      <w:r>
        <w:t xml:space="preserve">.</w:t>
      </w:r>
    </w:p>
    <w:bookmarkEnd w:id="122"/>
    <w:bookmarkStart w:id="124" w:name="le-spray-nasal-rapide-mais-limité"/>
    <w:p>
      <w:pPr>
        <w:pStyle w:val="Heading3"/>
      </w:pPr>
      <w:r>
        <w:t xml:space="preserve">Le spray nasal : rapide, mais limité</w:t>
      </w:r>
    </w:p>
    <w:p>
      <w:pPr>
        <w:pStyle w:val="FirstParagraph"/>
      </w:pPr>
      <w:r>
        <w:t xml:space="preserve">La muqueuse nasale possède une grande surface bien irriguée, et les substances passent de là directement dans le sang. Certains médicaments peptidiques utilisent cette voie depuis longtemps, comme l’analogue de la vasopressine desmopressine. L’ocytocine est elle aussi étudiée sous forme de spray nasal.</w:t>
      </w:r>
    </w:p>
    <w:p>
      <w:pPr>
        <w:pStyle w:val="BodyText"/>
      </w:pPr>
      <w:r>
        <w:t xml:space="preserve">Les limites sont toutefois nettes :</w:t>
      </w:r>
    </w:p>
    <w:p>
      <w:pPr>
        <w:numPr>
          <w:ilvl w:val="0"/>
          <w:numId w:val="1013"/>
        </w:numPr>
        <w:pStyle w:val="Compact"/>
      </w:pPr>
      <w:r>
        <w:t xml:space="preserve">L’absorption des peptides de plus grande taille est faible et très variable – selon la technique de pulvérisation, un rhume ou la quantité de mucus.</w:t>
      </w:r>
    </w:p>
    <w:p>
      <w:pPr>
        <w:numPr>
          <w:ilvl w:val="0"/>
          <w:numId w:val="1013"/>
        </w:numPr>
        <w:pStyle w:val="Compact"/>
      </w:pPr>
      <w:r>
        <w:t xml:space="preserve">Une grande partie de la pulvérisation est avalée ou évacuée par les cils vibratiles.</w:t>
      </w:r>
    </w:p>
    <w:p>
      <w:pPr>
        <w:numPr>
          <w:ilvl w:val="0"/>
          <w:numId w:val="1013"/>
        </w:numPr>
        <w:pStyle w:val="Compact"/>
      </w:pPr>
      <w:r>
        <w:t xml:space="preserve">Les substances irritantes ou les excipients fréquemment utilisés peuvent agresser la muqueuse.</w:t>
      </w:r>
    </w:p>
    <w:p>
      <w:pPr>
        <w:pStyle w:val="FirstParagraph"/>
      </w:pPr>
      <w:r>
        <w:t xml:space="preserve">L’idée que les peptides pourraient atteindre « directement le cerveau » par le nez est particulièrement populaire. Pour certaines substances, il existe des indices de telles voies passant par les nerfs olfactifs et faciaux, mais les données sont minces. Une revue critique très citée a conclu, pour l’ocytocine, que très peu de l’ocytocine administrée par voie nasale parvient dans le liquide céphalorachidien, tandis que les concentrations sanguines s’élèvent au-dessus du niveau naturel – avec des effets possibles sur le tube digestif, le cœur et les organes reproducteurs</w:t>
      </w:r>
      <w:r>
        <w:rPr>
          <w:rStyle w:val="FootnoteReference"/>
        </w:rPr>
        <w:footnoteReference w:id="123"/>
      </w:r>
      <w:r>
        <w:t xml:space="preserve">. Les auteurs appellent au scepticisme envers les études rapportant des effets comportementaux et demandent des études préenregistrées. Cela concerne tous les peptides vantés comme « spray nasal pour le cerveau », par exemple le Semax ou le Selank, traités dans la partie II.</w:t>
      </w:r>
    </w:p>
    <w:bookmarkEnd w:id="124"/>
    <w:bookmarkStart w:id="126" w:name="linhalation-un-échec-instructif"/>
    <w:p>
      <w:pPr>
        <w:pStyle w:val="Heading3"/>
      </w:pPr>
      <w:r>
        <w:t xml:space="preserve">L’inhalation : un échec instructif</w:t>
      </w:r>
    </w:p>
    <w:p>
      <w:pPr>
        <w:pStyle w:val="FirstParagraph"/>
      </w:pPr>
      <w:r>
        <w:t xml:space="preserve">Les poumons offrent une immense surface avec une barrière très mince vers le sang. C’est pourquoi on a beaucoup travaillé sur l’insuline inhalée. Un premier produit a été mis sur le marché, mais retiré peu après ; d’autres développements ont été arrêtés. Un commentaire de cette époque décrit les avantages et les inconvénients du point de vue des patients, des médecins, de l’industrie et des payeurs – notamment la taille des inhalateurs et les coûts</w:t>
      </w:r>
      <w:r>
        <w:rPr>
          <w:rStyle w:val="FootnoteReference"/>
        </w:rPr>
        <w:footnoteReference w:id="125"/>
      </w:r>
      <w:r>
        <w:t xml:space="preserve">. Plus tard, une autre insuline inhalée a été autorisée aux États-Unis. Pour la plupart des autres peptides, l’inhalation ne joue jusqu’à présent aucun rôle.</w:t>
      </w:r>
    </w:p>
    <w:bookmarkEnd w:id="126"/>
    <w:bookmarkStart w:id="128" w:name="la-peau-une-très-bonne-barrière"/>
    <w:p>
      <w:pPr>
        <w:pStyle w:val="Heading3"/>
      </w:pPr>
      <w:r>
        <w:t xml:space="preserve">La peau : une très bonne barrière</w:t>
      </w:r>
    </w:p>
    <w:p>
      <w:pPr>
        <w:pStyle w:val="FirstParagraph"/>
      </w:pPr>
      <w:r>
        <w:t xml:space="preserve">La peau est l’un des organes les plus étanches du corps. Sa couche la plus externe, la couche cornée, est composée de cellules mortes enchâssées dans des lipides – une sorte de maçonnerie avec son mortier. Une règle empirique connue en dermatologie veut qu’une substance doive être plus petite qu’environ 500 daltons pour traverser la peau dans une mesure notable. Les auteurs la justifient notamment par le fait que pratiquement tous les allergènes de contact connus et toutes les substances médicamenteuses utilisées dans les patchs transdermiques se situent sous cette limite</w:t>
      </w:r>
      <w:r>
        <w:rPr>
          <w:rStyle w:val="FootnoteReference"/>
        </w:rPr>
        <w:footnoteReference w:id="127"/>
      </w:r>
      <w:r>
        <w:t xml:space="preserve">.</w:t>
      </w:r>
    </w:p>
    <w:p>
      <w:pPr>
        <w:pStyle w:val="BodyText"/>
      </w:pPr>
      <w:r>
        <w:t xml:space="preserve">Pour les peptides, cela signifie qu’à partir d’environ quatre à cinq acides aminés, ils dépassent en règle générale cette limite. Un tripeptide comme le GHK peut se situer en dessous, tandis que des peptides comme le palmitoyl pentapeptide-4 ou l’acétyl hexapeptide-8 la dépassent nettement. Les fabricants de cosmétiques tentent d’améliorer la pénétration par l’ajout d’acides gras (comme pour le peptide « palmitoyl ») ou par des systèmes vecteurs spéciaux. Savoir si les peptides atteignent ainsi en quantité suffisante leurs cellules cibles présumées dans les couches profondes de la peau est une question qui devrait être étudiée spécifiquement pour chaque produit. Les données disponibles à ce sujet sont examinées dans la partie II.</w:t>
      </w:r>
    </w:p>
    <w:p>
      <w:pPr>
        <w:pStyle w:val="BodyText"/>
      </w:pPr>
      <w:r>
        <w:t xml:space="preserve">Une règle empirique reste une règle empirique : il existe des exceptions, et des dispositifs comme les patchs à micro-aiguilles peuvent franchir la barrière. Ces patchs portent de minuscules aiguilles qui ne traversent que la couche la plus superficielle de la peau. Pour les peptides, ils sont encore largement en développement.</w:t>
      </w:r>
    </w:p>
    <w:p>
      <w:pPr>
        <w:pStyle w:val="BodyText"/>
      </w:pPr>
      <w:r>
        <w:t xml:space="preserve">Pour les peptides médicamenteux comme les analogues du GLP-1, les stimulateurs de la sécrétion d’hormone de croissance ou le Melanotan, la règle est la suivante : une simple crème ou un gel ne les fait pas passer dans le sang en quantité notable. Les offres sur Internet qui affirment le contraire doivent être considérées avec un grand scepticisme.</w:t>
      </w:r>
    </w:p>
    <w:bookmarkEnd w:id="128"/>
    <w:bookmarkStart w:id="130" w:name="la-stabilité-un-problème-sous-estimé"/>
    <w:p>
      <w:pPr>
        <w:pStyle w:val="Heading3"/>
      </w:pPr>
      <w:r>
        <w:t xml:space="preserve">La stabilité : un problème sous-estimé</w:t>
      </w:r>
    </w:p>
    <w:p>
      <w:pPr>
        <w:pStyle w:val="FirstParagraph"/>
      </w:pPr>
      <w:r>
        <w:t xml:space="preserve">Même en dehors de l’organisme, les peptides sont fragiles. Ils peuvent se décomposer, se modifier chimiquement (par exemple par oxydation) ou s’agglomérer en agrégats plus grands. Ces agglomérations – les spécialistes parlent d’agrégation ou de formation de fibrilles – peuvent réduire l’efficacité et irriter le système immunitaire. Une étude a constaté, pour des préparations d’imitation du liraglutide, une plus forte tendance à la formation de fibrilles et une stabilité physique plus faible que pour l’original</w:t>
      </w:r>
      <w:r>
        <w:rPr>
          <w:rStyle w:val="FootnoteReference"/>
        </w:rPr>
        <w:footnoteReference w:id="129"/>
      </w:r>
      <w:r>
        <w:t xml:space="preserve">.</w:t>
      </w:r>
    </w:p>
    <w:p>
      <w:pPr>
        <w:pStyle w:val="BodyText"/>
      </w:pPr>
      <w:r>
        <w:t xml:space="preserve">C’est pourquoi les médicaments peptidiques autorisés sont fabriqués, conditionnés et transportés au froid dans des conditions précisément définies, et assortis de dates de péremption. Les peptides du marché gris, en revanche, sont le plus souvent vendus sous forme de poudre lyophilisée qu’il faut dissoudre soi-même avant utilisation. Chacune de ces étapes – transport sans réfrigération, stockage, dissolution, prélèvement dans la seringue – est une source d’erreur possible.</w:t>
      </w:r>
    </w:p>
    <w:bookmarkEnd w:id="130"/>
    <w:bookmarkStart w:id="132" w:name="les-réactions-immunitaires"/>
    <w:p>
      <w:pPr>
        <w:pStyle w:val="Heading3"/>
      </w:pPr>
      <w:r>
        <w:t xml:space="preserve">Les réactions immunitaires</w:t>
      </w:r>
    </w:p>
    <w:p>
      <w:pPr>
        <w:pStyle w:val="FirstParagraph"/>
      </w:pPr>
      <w:r>
        <w:t xml:space="preserve">Les peptides sont des substances protéiques et peuvent être reconnus comme étrangers par le système immunitaire, en particulier lorsqu’ils ne correspondent pas exactement à une molécule de l’organisme ou contiennent des impuretés. Les conséquences possibles sont des réactions au point d’injection, des réactions allergiques ou la formation d’anticorps susceptibles d’affaiblir l’effet. L’analyse de sémaglutide d’imitation a mis en évidence de nouveaux sites de liaison pour le système immunitaire, prédits par ordinateur, qui suggèrent un risque possible de réactions immunitaires</w:t>
      </w:r>
      <w:r>
        <w:rPr>
          <w:rStyle w:val="FootnoteReference"/>
        </w:rPr>
        <w:footnoteReference w:id="131"/>
      </w:r>
      <w:r>
        <w:t xml:space="preserve">. La partie IV traite en détail des réactions immunitaires.</w:t>
      </w:r>
    </w:p>
    <w:bookmarkEnd w:id="132"/>
    <w:bookmarkStart w:id="133" w:name="X201cc534182aa98559c45acb2b406a7a83908c4"/>
    <w:p>
      <w:pPr>
        <w:pStyle w:val="Heading3"/>
      </w:pPr>
      <w:r>
        <w:t xml:space="preserve">Vue d’ensemble : comparaison des voies d’administration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Voie</w:t>
            </w:r>
          </w:p>
        </w:tc>
        <w:tc>
          <w:tcPr/>
          <w:p>
            <w:pPr>
              <w:pStyle w:val="Compact"/>
              <w:jc w:val="left"/>
            </w:pPr>
            <w:r>
              <w:t xml:space="preserve">Problème principal</w:t>
            </w:r>
          </w:p>
        </w:tc>
        <w:tc>
          <w:tcPr/>
          <w:p>
            <w:pPr>
              <w:pStyle w:val="Compact"/>
              <w:jc w:val="left"/>
            </w:pPr>
            <w:r>
              <w:t xml:space="preserve">Exemples</w:t>
            </w:r>
          </w:p>
        </w:tc>
      </w:tr>
      <w:tr>
        <w:tc>
          <w:tcPr/>
          <w:p>
            <w:pPr>
              <w:pStyle w:val="Compact"/>
              <w:jc w:val="left"/>
            </w:pPr>
            <w:r>
              <w:t xml:space="preserve">Injection sous-cutanée</w:t>
            </w:r>
          </w:p>
        </w:tc>
        <w:tc>
          <w:tcPr/>
          <w:p>
            <w:pPr>
              <w:pStyle w:val="Compact"/>
              <w:jc w:val="left"/>
            </w:pPr>
            <w:r>
              <w:t xml:space="preserve">aiguille, stérilité, réfrigération</w:t>
            </w:r>
          </w:p>
        </w:tc>
        <w:tc>
          <w:tcPr/>
          <w:p>
            <w:pPr>
              <w:pStyle w:val="Compact"/>
              <w:jc w:val="left"/>
            </w:pPr>
            <w:r>
              <w:t xml:space="preserve">insuline, sémaglutide, tirzépatide</w:t>
            </w:r>
          </w:p>
        </w:tc>
      </w:tr>
      <w:tr>
        <w:tc>
          <w:tcPr/>
          <w:p>
            <w:pPr>
              <w:pStyle w:val="Compact"/>
              <w:jc w:val="left"/>
            </w:pPr>
            <w:r>
              <w:t xml:space="preserve">Comprimé</w:t>
            </w:r>
          </w:p>
        </w:tc>
        <w:tc>
          <w:tcPr/>
          <w:p>
            <w:pPr>
              <w:pStyle w:val="Compact"/>
              <w:jc w:val="left"/>
            </w:pPr>
            <w:r>
              <w:t xml:space="preserve">dégradation dans le tube digestif</w:t>
            </w:r>
          </w:p>
        </w:tc>
        <w:tc>
          <w:tcPr/>
          <w:p>
            <w:pPr>
              <w:pStyle w:val="Compact"/>
              <w:jc w:val="left"/>
            </w:pPr>
            <w:r>
              <w:t xml:space="preserve">sémaglutide avec SNAC</w:t>
            </w:r>
          </w:p>
        </w:tc>
      </w:tr>
      <w:tr>
        <w:tc>
          <w:tcPr/>
          <w:p>
            <w:pPr>
              <w:pStyle w:val="Compact"/>
              <w:jc w:val="left"/>
            </w:pPr>
            <w:r>
              <w:t xml:space="preserve">Sous la langue</w:t>
            </w:r>
          </w:p>
        </w:tc>
        <w:tc>
          <w:tcPr/>
          <w:p>
            <w:pPr>
              <w:pStyle w:val="Compact"/>
              <w:jc w:val="left"/>
            </w:pPr>
            <w:r>
              <w:t xml:space="preserve">muqueuse faisant barrière</w:t>
            </w:r>
          </w:p>
        </w:tc>
        <w:tc>
          <w:tcPr/>
          <w:p>
            <w:pPr>
              <w:pStyle w:val="Compact"/>
              <w:jc w:val="left"/>
            </w:pPr>
            <w:r>
              <w:t xml:space="preserve">aucune donnée solide</w:t>
            </w:r>
          </w:p>
        </w:tc>
      </w:tr>
      <w:tr>
        <w:tc>
          <w:tcPr/>
          <w:p>
            <w:pPr>
              <w:pStyle w:val="Compact"/>
              <w:jc w:val="left"/>
            </w:pPr>
            <w:r>
              <w:t xml:space="preserve">Spray nasal</w:t>
            </w:r>
          </w:p>
        </w:tc>
        <w:tc>
          <w:tcPr/>
          <w:p>
            <w:pPr>
              <w:pStyle w:val="Compact"/>
              <w:jc w:val="left"/>
            </w:pPr>
            <w:r>
              <w:t xml:space="preserve">absorption faible et variable</w:t>
            </w:r>
          </w:p>
        </w:tc>
        <w:tc>
          <w:tcPr/>
          <w:p>
            <w:pPr>
              <w:pStyle w:val="Compact"/>
              <w:jc w:val="left"/>
            </w:pPr>
            <w:r>
              <w:t xml:space="preserve">desmopressine, ocytocine</w:t>
            </w:r>
          </w:p>
        </w:tc>
      </w:tr>
      <w:tr>
        <w:tc>
          <w:tcPr/>
          <w:p>
            <w:pPr>
              <w:pStyle w:val="Compact"/>
              <w:jc w:val="left"/>
            </w:pPr>
            <w:r>
              <w:t xml:space="preserve">Inhalation</w:t>
            </w:r>
          </w:p>
        </w:tc>
        <w:tc>
          <w:tcPr/>
          <w:p>
            <w:pPr>
              <w:pStyle w:val="Compact"/>
              <w:jc w:val="left"/>
            </w:pPr>
            <w:r>
              <w:t xml:space="preserve">dispositifs, sécurité pulmonaire</w:t>
            </w:r>
          </w:p>
        </w:tc>
        <w:tc>
          <w:tcPr/>
          <w:p>
            <w:pPr>
              <w:pStyle w:val="Compact"/>
              <w:jc w:val="left"/>
            </w:pPr>
            <w:r>
              <w:t xml:space="preserve">insuline inhalée</w:t>
            </w:r>
          </w:p>
        </w:tc>
      </w:tr>
      <w:tr>
        <w:tc>
          <w:tcPr/>
          <w:p>
            <w:pPr>
              <w:pStyle w:val="Compact"/>
              <w:jc w:val="left"/>
            </w:pPr>
            <w:r>
              <w:t xml:space="preserve">Peau</w:t>
            </w:r>
          </w:p>
        </w:tc>
        <w:tc>
          <w:tcPr/>
          <w:p>
            <w:pPr>
              <w:pStyle w:val="Compact"/>
              <w:jc w:val="left"/>
            </w:pPr>
            <w:r>
              <w:t xml:space="preserve">couche cornée, taille des molécules</w:t>
            </w:r>
          </w:p>
        </w:tc>
        <w:tc>
          <w:tcPr/>
          <w:p>
            <w:pPr>
              <w:pStyle w:val="Compact"/>
              <w:jc w:val="left"/>
            </w:pPr>
            <w:r>
              <w:t xml:space="preserve">peptides cosmétiques</w:t>
            </w:r>
          </w:p>
        </w:tc>
      </w:tr>
    </w:tbl>
    <w:bookmarkEnd w:id="133"/>
    <w:bookmarkStart w:id="134" w:name="lessentiel-en-bref-1"/>
    <w:p>
      <w:pPr>
        <w:pStyle w:val="Heading3"/>
      </w:pPr>
      <w:r>
        <w:t xml:space="preserve">L’essentiel en bref</w:t>
      </w:r>
    </w:p>
    <w:p>
      <w:pPr>
        <w:numPr>
          <w:ilvl w:val="0"/>
          <w:numId w:val="1014"/>
        </w:numPr>
        <w:pStyle w:val="Compact"/>
      </w:pPr>
      <w:r>
        <w:t xml:space="preserve">Les peptides sont dégradés dans le tube digestif, sont grands et traversent mal les membranes. C’est pourquoi la plupart des médicaments peptidiques sont injectés.</w:t>
      </w:r>
    </w:p>
    <w:p>
      <w:pPr>
        <w:numPr>
          <w:ilvl w:val="0"/>
          <w:numId w:val="1014"/>
        </w:numPr>
        <w:pStyle w:val="Compact"/>
      </w:pPr>
      <w:r>
        <w:t xml:space="preserve">Une longue durée d’action s’obtient par des modifications ciblées de la molécule, par exemple la fixation d’acides gras permettant la liaison à l’albumine.</w:t>
      </w:r>
    </w:p>
    <w:p>
      <w:pPr>
        <w:numPr>
          <w:ilvl w:val="0"/>
          <w:numId w:val="1014"/>
        </w:numPr>
        <w:pStyle w:val="Compact"/>
      </w:pPr>
      <w:r>
        <w:t xml:space="preserve">Le comprimé de sémaglutide utilise l’excipient SNAC, qui permet une absorption dans l’estomac. Avec environ 0,4 à 1 %, la biodisponibilité reste très faible.</w:t>
      </w:r>
    </w:p>
    <w:p>
      <w:pPr>
        <w:numPr>
          <w:ilvl w:val="0"/>
          <w:numId w:val="1014"/>
        </w:numPr>
        <w:pStyle w:val="Compact"/>
      </w:pPr>
      <w:r>
        <w:t xml:space="preserve">Avec les sprays nasaux et les crèmes, l’absorption des peptides de grande taille est limitée. Des promesses comme « directement dans le cerveau » ou « à travers la peau jusque dans le sang » ne sont généralement pas démontrées.</w:t>
      </w:r>
    </w:p>
    <w:p>
      <w:pPr>
        <w:numPr>
          <w:ilvl w:val="0"/>
          <w:numId w:val="1014"/>
        </w:numPr>
        <w:pStyle w:val="Compact"/>
      </w:pPr>
      <w:r>
        <w:t xml:space="preserve">La stabilité, la stérilité et la pureté ne sont pas accessoires pour les peptides, mais des conditions préalables à leur sécurité et à leur efficacité.</w:t>
      </w:r>
    </w:p>
    <w:bookmarkEnd w:id="134"/>
    <w:bookmarkEnd w:id="135"/>
    <w:bookmarkStart w:id="167" w:name="bien-lire-les-études"/>
    <w:p>
      <w:pPr>
        <w:pStyle w:val="Heading2"/>
      </w:pPr>
      <w:r>
        <w:t xml:space="preserve">Bien lire les études</w:t>
      </w:r>
    </w:p>
    <w:p>
      <w:pPr>
        <w:pStyle w:val="FirstParagraph"/>
      </w:pPr>
      <w:r>
        <w:t xml:space="preserve">« Des études montrent … » – rares sont les formules aussi souvent utilisées dans la publicité pour les peptides. Elle peut désigner à peu près n’importe quoi : un essai sur des cellules dans une boîte de Petri, une expérience sur douze rats, le témoignage d’un seul patient ou une étude portant sur 17 000 participants pendant plus de trois ans. Pour évaluer les peptides, il faut connaître ces différences. Ce chapitre est une sorte de boîte à outils. Il explique les principaux types d’études, les pièges de l’interprétation des résultats et la manière dont tu peux vérifier toi-même ce qui se cache derrière une affirmation.</w:t>
      </w:r>
    </w:p>
    <w:bookmarkStart w:id="136" w:name="la-pyramide-des-preuves"/>
    <w:p>
      <w:pPr>
        <w:pStyle w:val="Heading3"/>
      </w:pPr>
      <w:r>
        <w:t xml:space="preserve">La pyramide des preuves</w:t>
      </w:r>
    </w:p>
    <w:p>
      <w:pPr>
        <w:pStyle w:val="FirstParagraph"/>
      </w:pPr>
      <w:r>
        <w:t xml:space="preserve">Les spécialistes classent souvent les types d’études sous la forme d’une pyramide. En bas se trouvent les formes d’études qui fournissent beaucoup d’indices, mais peu de certitudes ; en haut, celles qui montrent le plus fiablement si un traitement est efficace chez l’humain. De bas en haut :</w:t>
      </w:r>
    </w:p>
    <w:p>
      <w:pPr>
        <w:numPr>
          <w:ilvl w:val="0"/>
          <w:numId w:val="1015"/>
        </w:numPr>
        <w:pStyle w:val="Compact"/>
      </w:pPr>
      <w:r>
        <w:rPr>
          <w:bCs/>
          <w:b/>
        </w:rPr>
        <w:t xml:space="preserve">Études de laboratoire et sur cellules</w:t>
      </w:r>
      <w:r>
        <w:t xml:space="preserve"> </w:t>
      </w:r>
      <w:r>
        <w:t xml:space="preserve">(in vitro, « en éprouvette ») : des cellules ou des tissus sont exposés à une substance en laboratoire.</w:t>
      </w:r>
    </w:p>
    <w:p>
      <w:pPr>
        <w:numPr>
          <w:ilvl w:val="0"/>
          <w:numId w:val="1015"/>
        </w:numPr>
        <w:pStyle w:val="Compact"/>
      </w:pPr>
      <w:r>
        <w:rPr>
          <w:bCs/>
          <w:b/>
        </w:rPr>
        <w:t xml:space="preserve">Études animales</w:t>
      </w:r>
      <w:r>
        <w:t xml:space="preserve"> </w:t>
      </w:r>
      <w:r>
        <w:t xml:space="preserve">(le plus souvent sur des souris ou des rats).</w:t>
      </w:r>
    </w:p>
    <w:p>
      <w:pPr>
        <w:numPr>
          <w:ilvl w:val="0"/>
          <w:numId w:val="1015"/>
        </w:numPr>
        <w:pStyle w:val="Compact"/>
      </w:pPr>
      <w:r>
        <w:rPr>
          <w:bCs/>
          <w:b/>
        </w:rPr>
        <w:t xml:space="preserve">Rapports de cas et séries de cas</w:t>
      </w:r>
      <w:r>
        <w:t xml:space="preserve"> </w:t>
      </w:r>
      <w:r>
        <w:t xml:space="preserve">: descriptions d’un seul ou de quelques patientes et patients.</w:t>
      </w:r>
    </w:p>
    <w:p>
      <w:pPr>
        <w:numPr>
          <w:ilvl w:val="0"/>
          <w:numId w:val="1015"/>
        </w:numPr>
        <w:pStyle w:val="Compact"/>
      </w:pPr>
      <w:r>
        <w:rPr>
          <w:bCs/>
          <w:b/>
        </w:rPr>
        <w:t xml:space="preserve">Études observationnelles</w:t>
      </w:r>
      <w:r>
        <w:t xml:space="preserve"> </w:t>
      </w:r>
      <w:r>
        <w:t xml:space="preserve">: on observe des personnes qui prennent ou ne prennent pas une substance de toute façon, et l’on compare ce qui leur arrive.</w:t>
      </w:r>
    </w:p>
    <w:p>
      <w:pPr>
        <w:numPr>
          <w:ilvl w:val="0"/>
          <w:numId w:val="1015"/>
        </w:numPr>
        <w:pStyle w:val="Compact"/>
      </w:pPr>
      <w:r>
        <w:rPr>
          <w:bCs/>
          <w:b/>
        </w:rPr>
        <w:t xml:space="preserve">Études contrôlées sans répartition aléatoire</w:t>
      </w:r>
      <w:r>
        <w:t xml:space="preserve"> </w:t>
      </w:r>
      <w:r>
        <w:t xml:space="preserve">et</w:t>
      </w:r>
      <w:r>
        <w:t xml:space="preserve"> </w:t>
      </w:r>
      <w:r>
        <w:rPr>
          <w:bCs/>
          <w:b/>
        </w:rPr>
        <w:t xml:space="preserve">études ouvertes</w:t>
      </w:r>
      <w:r>
        <w:t xml:space="preserve">.</w:t>
      </w:r>
    </w:p>
    <w:p>
      <w:pPr>
        <w:numPr>
          <w:ilvl w:val="0"/>
          <w:numId w:val="1015"/>
        </w:numPr>
        <w:pStyle w:val="Compact"/>
      </w:pPr>
      <w:r>
        <w:rPr>
          <w:bCs/>
          <w:b/>
        </w:rPr>
        <w:t xml:space="preserve">Essais contrôlés randomisés</w:t>
      </w:r>
      <w:r>
        <w:t xml:space="preserve"> </w:t>
      </w:r>
      <w:r>
        <w:t xml:space="preserve">(ECR, en anglais RCT).</w:t>
      </w:r>
    </w:p>
    <w:p>
      <w:pPr>
        <w:numPr>
          <w:ilvl w:val="0"/>
          <w:numId w:val="1015"/>
        </w:numPr>
        <w:pStyle w:val="Compact"/>
      </w:pPr>
      <w:r>
        <w:rPr>
          <w:bCs/>
          <w:b/>
        </w:rPr>
        <w:t xml:space="preserve">Revues systématiques et méta-analyses</w:t>
      </w:r>
      <w:r>
        <w:t xml:space="preserve">, qui résument toutes les bonnes études disponibles sur une question.</w:t>
      </w:r>
    </w:p>
    <w:p>
      <w:pPr>
        <w:pStyle w:val="FirstParagraph"/>
      </w:pPr>
      <w:r>
        <w:t xml:space="preserve">La pyramide est une simplification. Une grande étude observationnelle rigoureuse peut être plus informative qu’un minuscule ECR mal conduit, et une méta-analyse ne vaut que ce que valent les études qu’elle inclut. Elle est néanmoins utile comme repère grossier – surtout pour voir à quel point les preuves concernant de nombreux peptides du marché gris se situent bas dans la pyramide.</w:t>
      </w:r>
    </w:p>
    <w:bookmarkEnd w:id="136"/>
    <w:bookmarkStart w:id="137" w:name="X3b3629ae3d40133ac42be3349f6343ff5f75866"/>
    <w:p>
      <w:pPr>
        <w:pStyle w:val="Heading3"/>
      </w:pPr>
      <w:r>
        <w:t xml:space="preserve">Les études de laboratoire : ce qui se passe dans la boîte de Petri</w:t>
      </w:r>
    </w:p>
    <w:p>
      <w:pPr>
        <w:pStyle w:val="FirstParagraph"/>
      </w:pPr>
      <w:r>
        <w:t xml:space="preserve">Les cultures cellulaires permettent de bien étudier les mécanismes : quel récepteur est activé ? Quels gènes sont exprimés ? Les cellules se multiplient-elles ou migrent-elles plus vite ? De telles études sont indispensables à la recherche fondamentale.</w:t>
      </w:r>
    </w:p>
    <w:p>
      <w:pPr>
        <w:pStyle w:val="BodyText"/>
      </w:pPr>
      <w:r>
        <w:t xml:space="preserve">Leurs limites sont cependant importantes. Des cellules dans une boîte n’ont ni circulation sanguine, ni foie qui dégrade les substances, ni système immunitaire, ni digestion. Les concentrations utilisées en laboratoire sont souvent bien plus élevées que celles qui pourraient même être atteintes dans le corps humain. Une substance qui tue des cellules cancéreuses dans une boîte de Petri peut être inefficace ou toxique dans l’organisme. Lorsqu’un texte publicitaire invoque des « études » et qu’il s’agit de cultures cellulaires, c’est un indice d’un mécanisme possible – pas d’un bénéfice chez l’humain.</w:t>
      </w:r>
    </w:p>
    <w:bookmarkEnd w:id="137"/>
    <w:bookmarkStart w:id="139" w:name="X2b259903305b8fb9af8f76bd01c24b072596603"/>
    <w:p>
      <w:pPr>
        <w:pStyle w:val="Heading3"/>
      </w:pPr>
      <w:r>
        <w:t xml:space="preserve">Les études animales : importantes, mais non transposables</w:t>
      </w:r>
    </w:p>
    <w:p>
      <w:pPr>
        <w:pStyle w:val="FirstParagraph"/>
      </w:pPr>
      <w:r>
        <w:t xml:space="preserve">L’expérimentation animale permet d’étudier des effets dans un organisme entier et de clarifier des questions de sécurité avant d’exposer des humains à une nouvelle substance. En même temps, les souris et les rats diffèrent considérablement de l’humain par leur métabolisme, leur durée de vie, leur taille et la manière dont les maladies se développent. De plus, les maladies sont souvent provoquées artificiellement chez l’animal – par exemple une lésion tendineuse par une incision –, ce qui ne correspond que partiellement à la situation chez l’humain.</w:t>
      </w:r>
    </w:p>
    <w:p>
      <w:pPr>
        <w:pStyle w:val="BodyText"/>
      </w:pPr>
      <w:r>
        <w:t xml:space="preserve">Une revue systématique qui a comparé les effets thérapeutiques observés dans l’expérimentation animale à ceux des études cliniques montre combien la transposition est difficile</w:t>
      </w:r>
      <w:r>
        <w:rPr>
          <w:rStyle w:val="FootnoteReference"/>
        </w:rPr>
        <w:footnoteReference w:id="138"/>
      </w:r>
      <w:r>
        <w:t xml:space="preserve">. Quelques exemples :</w:t>
      </w:r>
    </w:p>
    <w:p>
      <w:pPr>
        <w:numPr>
          <w:ilvl w:val="0"/>
          <w:numId w:val="1016"/>
        </w:numPr>
        <w:pStyle w:val="Compact"/>
      </w:pPr>
      <w:r>
        <w:t xml:space="preserve">Les corticoïdes amélioraient les résultats dans des modèles animaux de traumatisme crânien ; dans les études cliniques chez l’humain, aucun bénéfice n’est apparu.</w:t>
      </w:r>
    </w:p>
    <w:p>
      <w:pPr>
        <w:numPr>
          <w:ilvl w:val="0"/>
          <w:numId w:val="1016"/>
        </w:numPr>
        <w:pStyle w:val="Compact"/>
      </w:pPr>
      <w:r>
        <w:t xml:space="preserve">La substance tirilazad réduisait de 29 % la zone cérébrale lésée chez des animaux victimes d’un AVC et améliorait de 48 % les scores neurologiques. Chez les personnes victimes d’un AVC, elle était associée à une évolution moins favorable.</w:t>
      </w:r>
    </w:p>
    <w:p>
      <w:pPr>
        <w:numPr>
          <w:ilvl w:val="0"/>
          <w:numId w:val="1016"/>
        </w:numPr>
        <w:pStyle w:val="Compact"/>
      </w:pPr>
      <w:r>
        <w:t xml:space="preserve">D’autres traitements, comme la dissolution des caillots sanguins en cas d’AVC, étaient efficaces aussi bien chez l’animal que chez l’humain.</w:t>
      </w:r>
    </w:p>
    <w:p>
      <w:pPr>
        <w:pStyle w:val="FirstParagraph"/>
      </w:pPr>
      <w:r>
        <w:t xml:space="preserve">Les autrices et auteurs attribuent ces écarts à des biais dans les études animales et au fait que les modèles animaux ne reproduisent pas suffisamment les maladies humaines.</w:t>
      </w:r>
    </w:p>
    <w:p>
      <w:pPr>
        <w:pStyle w:val="BodyText"/>
      </w:pPr>
      <w:r>
        <w:t xml:space="preserve">Pour ce livre, cela a une conséquence claire : lorsque seules des données animales sont disponibles pour un peptide, celui-ci reçoit le niveau de preuve D – quel que soit le caractère impressionnant des résultats chez le rat. Et le texte indique toujours explicitement lorsqu’un résultat provient d’animaux ou du laboratoire.</w:t>
      </w:r>
    </w:p>
    <w:bookmarkEnd w:id="139"/>
    <w:bookmarkStart w:id="140" w:name="Xbcb557d5e6a38b2962f4866cbc373f4072b1149"/>
    <w:p>
      <w:pPr>
        <w:pStyle w:val="Heading3"/>
      </w:pPr>
      <w:r>
        <w:t xml:space="preserve">Rapports de cas et études observationnelles</w:t>
      </w:r>
    </w:p>
    <w:p>
      <w:pPr>
        <w:pStyle w:val="FirstParagraph"/>
      </w:pPr>
      <w:r>
        <w:t xml:space="preserve">Les</w:t>
      </w:r>
      <w:r>
        <w:t xml:space="preserve"> </w:t>
      </w:r>
      <w:r>
        <w:rPr>
          <w:bCs/>
          <w:b/>
        </w:rPr>
        <w:t xml:space="preserve">rapports de cas</w:t>
      </w:r>
      <w:r>
        <w:t xml:space="preserve"> </w:t>
      </w:r>
      <w:r>
        <w:t xml:space="preserve">décrivent des patientes ou patients individuels. Ils disent peu de chose sur l’efficacité, mais peuvent être très précieux pour la sécurité : les effets indésirables rares ou inattendus sont souvent repérés d’abord dans des rapports de cas. Dans le chapitre sur le marché gris, tu découvriras plusieurs de ces rapports, par exemple sur des hypoglycémies sévères dues à des préparations contrefaites.</w:t>
      </w:r>
    </w:p>
    <w:p>
      <w:pPr>
        <w:pStyle w:val="BodyText"/>
      </w:pPr>
      <w:r>
        <w:t xml:space="preserve">Les</w:t>
      </w:r>
      <w:r>
        <w:t xml:space="preserve"> </w:t>
      </w:r>
      <w:r>
        <w:rPr>
          <w:bCs/>
          <w:b/>
        </w:rPr>
        <w:t xml:space="preserve">études observationnelles</w:t>
      </w:r>
      <w:r>
        <w:t xml:space="preserve"> </w:t>
      </w:r>
      <w:r>
        <w:t xml:space="preserve">comparent des personnes qui prennent une substance à des personnes qui ne la prennent pas. Leur principal problème est le</w:t>
      </w:r>
      <w:r>
        <w:t xml:space="preserve"> </w:t>
      </w:r>
      <w:r>
        <w:rPr>
          <w:bCs/>
          <w:b/>
        </w:rPr>
        <w:t xml:space="preserve">facteur de confusion</w:t>
      </w:r>
      <w:r>
        <w:t xml:space="preserve"> </w:t>
      </w:r>
      <w:r>
        <w:t xml:space="preserve">(confounding) : les personnes qui prennent une préparation donnée diffèrent souvent aussi sur d’autres points – par exemple le revenu, le souci de leur santé ou les antécédents médicaux. Une association constatée n’est donc pas forcément une relation de cause à effet.</w:t>
      </w:r>
    </w:p>
    <w:p>
      <w:pPr>
        <w:pStyle w:val="BodyText"/>
      </w:pPr>
      <w:r>
        <w:t xml:space="preserve">Les analyses des</w:t>
      </w:r>
      <w:r>
        <w:t xml:space="preserve"> </w:t>
      </w:r>
      <w:r>
        <w:rPr>
          <w:bCs/>
          <w:b/>
        </w:rPr>
        <w:t xml:space="preserve">systèmes de notification des effets indésirables</w:t>
      </w:r>
      <w:r>
        <w:t xml:space="preserve"> </w:t>
      </w:r>
      <w:r>
        <w:t xml:space="preserve">comme la base de données européenne EudraVigilance ou la base américaine FAERS constituent une forme particulière. Elles recueillent les signalements de suspicion émanant de médecins, de patients et de fabricants. Ces données révèlent des signaux qu’il convient d’examiner plus avant, mais elles ne prouvent aucun lien et ne disent rien de la fréquence réelle d’un effet indésirable.</w:t>
      </w:r>
    </w:p>
    <w:bookmarkEnd w:id="140"/>
    <w:bookmarkStart w:id="141" w:name="lessai-contrôlé-randomisé-ecr"/>
    <w:p>
      <w:pPr>
        <w:pStyle w:val="Heading3"/>
      </w:pPr>
      <w:r>
        <w:t xml:space="preserve">L’essai contrôlé randomisé (ECR)</w:t>
      </w:r>
    </w:p>
    <w:p>
      <w:pPr>
        <w:pStyle w:val="FirstParagraph"/>
      </w:pPr>
      <w:r>
        <w:t xml:space="preserve">L’ECR est considéré comme la référence absolue pour évaluer l’effet d’un traitement. Trois éléments le caractérisent :</w:t>
      </w:r>
    </w:p>
    <w:p>
      <w:pPr>
        <w:pStyle w:val="BodyText"/>
      </w:pPr>
      <w:r>
        <w:rPr>
          <w:bCs/>
          <w:b/>
        </w:rPr>
        <w:t xml:space="preserve">Le groupe témoin.</w:t>
      </w:r>
      <w:r>
        <w:t xml:space="preserve"> </w:t>
      </w:r>
      <w:r>
        <w:t xml:space="preserve">À côté du groupe qui reçoit la substance active, il existe un groupe de comparaison – sous placebo, sous traitement standard ou sans aucun traitement. C’est le seul moyen de dire si un changement est dû à la substance ou serait survenu aussi sans elle.</w:t>
      </w:r>
    </w:p>
    <w:p>
      <w:pPr>
        <w:pStyle w:val="BodyText"/>
      </w:pPr>
      <w:r>
        <w:rPr>
          <w:bCs/>
          <w:b/>
        </w:rPr>
        <w:t xml:space="preserve">La randomisation.</w:t>
      </w:r>
      <w:r>
        <w:t xml:space="preserve"> </w:t>
      </w:r>
      <w:r>
        <w:t xml:space="preserve">C’est le hasard qui décide qui entre dans quel groupe. Ainsi, les facteurs d’influence connus et inconnus se répartissent de manière égale entre les deux groupes. Les différences de résultat peuvent alors être attribuées au traitement avec une forte probabilité.</w:t>
      </w:r>
    </w:p>
    <w:p>
      <w:pPr>
        <w:pStyle w:val="BodyText"/>
      </w:pPr>
      <w:r>
        <w:rPr>
          <w:bCs/>
          <w:b/>
        </w:rPr>
        <w:t xml:space="preserve">L’insu (aveugle).</w:t>
      </w:r>
      <w:r>
        <w:t xml:space="preserve"> </w:t>
      </w:r>
      <w:r>
        <w:t xml:space="preserve">Dans une étude en</w:t>
      </w:r>
      <w:r>
        <w:t xml:space="preserve"> </w:t>
      </w:r>
      <w:r>
        <w:rPr>
          <w:bCs/>
          <w:b/>
        </w:rPr>
        <w:t xml:space="preserve">double aveugle</w:t>
      </w:r>
      <w:r>
        <w:t xml:space="preserve">, ni les participants ni le personnel de l’étude ne savent qui reçoit la substance active et qui reçoit le placebo. Cela empêche les attentes d’influencer le résultat. Dans une étude</w:t>
      </w:r>
      <w:r>
        <w:t xml:space="preserve"> </w:t>
      </w:r>
      <w:r>
        <w:rPr>
          <w:bCs/>
          <w:b/>
        </w:rPr>
        <w:t xml:space="preserve">ouverte</w:t>
      </w:r>
      <w:r>
        <w:t xml:space="preserve">, tous les intervenants sont informés ; ce n’est parfois pas possible autrement, mais cela rend les résultats plus vulnérables aux biais, en particulier pour des critères d’évaluation subjectifs comme la douleur, l’humeur ou l’aspect de la peau.</w:t>
      </w:r>
    </w:p>
    <w:bookmarkEnd w:id="141"/>
    <w:bookmarkStart w:id="144" w:name="Xbc838b99ceff43a03c632b6f15e749446d382f7"/>
    <w:p>
      <w:pPr>
        <w:pStyle w:val="Heading3"/>
      </w:pPr>
      <w:r>
        <w:t xml:space="preserve">L’effet placebo et pourquoi les groupes témoins sont indispensables</w:t>
      </w:r>
    </w:p>
    <w:p>
      <w:pPr>
        <w:pStyle w:val="FirstParagraph"/>
      </w:pPr>
      <w:r>
        <w:t xml:space="preserve">Dans les études, l’état des participants s’améliore souvent même s’ils ne reçoivent qu’une préparation factice. Cela tient aux attentes, à l’attention supplémentaire, aux changements de mode de vie pendant l’étude et au fait que de nombreux troubles s’améliorent de toute façon d’eux-mêmes.</w:t>
      </w:r>
    </w:p>
    <w:p>
      <w:pPr>
        <w:pStyle w:val="BodyText"/>
      </w:pPr>
      <w:r>
        <w:t xml:space="preserve">L’étude STEP 1 en fournit un exemple parlant : le groupe placebo a lui aussi perdu en moyenne 2,4 % de son poids corporel sur 68 semaines, parce que tous les participants recevaient en plus des conseils sur le mode de vie</w:t>
      </w:r>
      <w:r>
        <w:rPr>
          <w:rStyle w:val="FootnoteReference"/>
        </w:rPr>
        <w:footnoteReference w:id="142"/>
      </w:r>
      <w:r>
        <w:t xml:space="preserve">. L’effet propre de la substance correspond à la différence entre les groupes – en l’occurrence 12,4 points de pourcentage, et non 14,9 %.</w:t>
      </w:r>
    </w:p>
    <w:p>
      <w:pPr>
        <w:pStyle w:val="BodyText"/>
      </w:pPr>
      <w:r>
        <w:t xml:space="preserve">Une revue consacrée aux peptides en médecine du sport souligne expressément que l’effet placebo pourrait expliquer une partie des effets rapportés pour les peptides non réglementés et que les réseaux sociaux amplifient cet effet</w:t>
      </w:r>
      <w:r>
        <w:rPr>
          <w:rStyle w:val="FootnoteReference"/>
        </w:rPr>
        <w:footnoteReference w:id="143"/>
      </w:r>
      <w:r>
        <w:t xml:space="preserve">. Les témoignages publiés sur les forums ne remplacent donc pas les études contrôlées.</w:t>
      </w:r>
    </w:p>
    <w:bookmarkEnd w:id="144"/>
    <w:bookmarkStart w:id="145" w:name="les-phases-des-études"/>
    <w:p>
      <w:pPr>
        <w:pStyle w:val="Heading3"/>
      </w:pPr>
      <w:r>
        <w:t xml:space="preserve">Les phases des études</w:t>
      </w:r>
    </w:p>
    <w:p>
      <w:pPr>
        <w:pStyle w:val="FirstParagraph"/>
      </w:pPr>
      <w:r>
        <w:t xml:space="preserve">Les nouveaux médicaments passent typiquement par quatre phases chez l’humain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Objectif</w:t>
            </w:r>
          </w:p>
        </w:tc>
        <w:tc>
          <w:tcPr/>
          <w:p>
            <w:pPr>
              <w:pStyle w:val="Compact"/>
              <w:jc w:val="left"/>
            </w:pPr>
            <w:r>
              <w:t xml:space="preserve">Taille typique</w:t>
            </w:r>
          </w:p>
        </w:tc>
      </w:tr>
      <w:tr>
        <w:tc>
          <w:tcPr/>
          <w:p>
            <w:pPr>
              <w:pStyle w:val="Compact"/>
              <w:jc w:val="left"/>
            </w:pPr>
            <w:r>
              <w:t xml:space="preserve">Phase 1</w:t>
            </w:r>
          </w:p>
        </w:tc>
        <w:tc>
          <w:tcPr/>
          <w:p>
            <w:pPr>
              <w:pStyle w:val="Compact"/>
              <w:jc w:val="left"/>
            </w:pPr>
            <w:r>
              <w:t xml:space="preserve">Tolérance, comportement dans l’organisme</w:t>
            </w:r>
          </w:p>
        </w:tc>
        <w:tc>
          <w:tcPr/>
          <w:p>
            <w:pPr>
              <w:pStyle w:val="Compact"/>
              <w:jc w:val="left"/>
            </w:pPr>
            <w:r>
              <w:t xml:space="preserve">quelques dizaines de personnes en bonne santé</w:t>
            </w:r>
          </w:p>
        </w:tc>
      </w:tr>
      <w:tr>
        <w:tc>
          <w:tcPr/>
          <w:p>
            <w:pPr>
              <w:pStyle w:val="Compact"/>
              <w:jc w:val="left"/>
            </w:pPr>
            <w:r>
              <w:t xml:space="preserve">Phase 2</w:t>
            </w:r>
          </w:p>
        </w:tc>
        <w:tc>
          <w:tcPr/>
          <w:p>
            <w:pPr>
              <w:pStyle w:val="Compact"/>
              <w:jc w:val="left"/>
            </w:pPr>
            <w:r>
              <w:t xml:space="preserve">Première efficacité, recherche de dose</w:t>
            </w:r>
          </w:p>
        </w:tc>
        <w:tc>
          <w:tcPr/>
          <w:p>
            <w:pPr>
              <w:pStyle w:val="Compact"/>
              <w:jc w:val="left"/>
            </w:pPr>
            <w:r>
              <w:t xml:space="preserve">environ 100 à quelques centaines</w:t>
            </w:r>
          </w:p>
        </w:tc>
      </w:tr>
      <w:tr>
        <w:tc>
          <w:tcPr/>
          <w:p>
            <w:pPr>
              <w:pStyle w:val="Compact"/>
              <w:jc w:val="left"/>
            </w:pPr>
            <w:r>
              <w:t xml:space="preserve">Phase 3</w:t>
            </w:r>
          </w:p>
        </w:tc>
        <w:tc>
          <w:tcPr/>
          <w:p>
            <w:pPr>
              <w:pStyle w:val="Compact"/>
              <w:jc w:val="left"/>
            </w:pPr>
            <w:r>
              <w:t xml:space="preserve">Efficacité et sécurité comparées</w:t>
            </w:r>
          </w:p>
        </w:tc>
        <w:tc>
          <w:tcPr/>
          <w:p>
            <w:pPr>
              <w:pStyle w:val="Compact"/>
              <w:jc w:val="left"/>
            </w:pPr>
            <w:r>
              <w:t xml:space="preserve">centaines à milliers</w:t>
            </w:r>
          </w:p>
        </w:tc>
      </w:tr>
      <w:tr>
        <w:tc>
          <w:tcPr/>
          <w:p>
            <w:pPr>
              <w:pStyle w:val="Compact"/>
              <w:jc w:val="left"/>
            </w:pPr>
            <w:r>
              <w:t xml:space="preserve">Phase 4</w:t>
            </w:r>
          </w:p>
        </w:tc>
        <w:tc>
          <w:tcPr/>
          <w:p>
            <w:pPr>
              <w:pStyle w:val="Compact"/>
              <w:jc w:val="left"/>
            </w:pPr>
            <w:r>
              <w:t xml:space="preserve">Surveillance après l’autorisation</w:t>
            </w:r>
          </w:p>
        </w:tc>
        <w:tc>
          <w:tcPr/>
          <w:p>
            <w:pPr>
              <w:pStyle w:val="Compact"/>
              <w:jc w:val="left"/>
            </w:pPr>
            <w:r>
              <w:t xml:space="preserve">souvent très grande</w:t>
            </w:r>
          </w:p>
        </w:tc>
      </w:tr>
    </w:tbl>
    <w:p>
      <w:pPr>
        <w:pStyle w:val="BodyText"/>
      </w:pPr>
      <w:r>
        <w:t xml:space="preserve">De nombreuses substances échouent entre la phase 2 et la phase 3. Un résultat prometteur de phase 2 ne garantit donc pas une autorisation ultérieure.</w:t>
      </w:r>
    </w:p>
    <w:bookmarkEnd w:id="145"/>
    <w:bookmarkStart w:id="147" w:name="X4676ce67796ad23f23e598ac4d8b582b069e374"/>
    <w:p>
      <w:pPr>
        <w:pStyle w:val="Heading3"/>
      </w:pPr>
      <w:r>
        <w:t xml:space="preserve">Les critères d’évaluation : que mesure-t-on réellement ?</w:t>
      </w:r>
    </w:p>
    <w:p>
      <w:pPr>
        <w:pStyle w:val="FirstParagraph"/>
      </w:pPr>
      <w:r>
        <w:t xml:space="preserve">Chaque étude fixe à l’avance un</w:t>
      </w:r>
      <w:r>
        <w:t xml:space="preserve"> </w:t>
      </w:r>
      <w:r>
        <w:rPr>
          <w:bCs/>
          <w:b/>
        </w:rPr>
        <w:t xml:space="preserve">critère d’évaluation principal</w:t>
      </w:r>
      <w:r>
        <w:t xml:space="preserve"> </w:t>
      </w:r>
      <w:r>
        <w:t xml:space="preserve">– l’objectif principal à l’aune duquel le succès est mesuré. S’y ajoutent des critères secondaires. Lorsqu’un résultat n’est mis en avant comme important qu’après coup, la prudence s’impose : à force de mesurer de nombreux critères, on trouve presque toujours quelque part une différence « significative ».</w:t>
      </w:r>
    </w:p>
    <w:p>
      <w:pPr>
        <w:pStyle w:val="BodyText"/>
      </w:pPr>
      <w:r>
        <w:t xml:space="preserve">La distinction entre</w:t>
      </w:r>
      <w:r>
        <w:t xml:space="preserve"> </w:t>
      </w:r>
      <w:r>
        <w:rPr>
          <w:bCs/>
          <w:b/>
        </w:rPr>
        <w:t xml:space="preserve">critères d’évaluation durs</w:t>
      </w:r>
      <w:r>
        <w:t xml:space="preserve"> </w:t>
      </w:r>
      <w:r>
        <w:t xml:space="preserve">et</w:t>
      </w:r>
      <w:r>
        <w:t xml:space="preserve"> </w:t>
      </w:r>
      <w:r>
        <w:rPr>
          <w:bCs/>
          <w:b/>
        </w:rPr>
        <w:t xml:space="preserve">critères de substitution</w:t>
      </w:r>
      <w:r>
        <w:t xml:space="preserve"> </w:t>
      </w:r>
      <w:r>
        <w:t xml:space="preserve">est particulièrement importante :</w:t>
      </w:r>
    </w:p>
    <w:p>
      <w:pPr>
        <w:numPr>
          <w:ilvl w:val="0"/>
          <w:numId w:val="1017"/>
        </w:numPr>
        <w:pStyle w:val="Compact"/>
      </w:pPr>
      <w:r>
        <w:t xml:space="preserve">Les</w:t>
      </w:r>
      <w:r>
        <w:t xml:space="preserve"> </w:t>
      </w:r>
      <w:r>
        <w:rPr>
          <w:bCs/>
          <w:b/>
        </w:rPr>
        <w:t xml:space="preserve">critères durs</w:t>
      </w:r>
      <w:r>
        <w:t xml:space="preserve"> </w:t>
      </w:r>
      <w:r>
        <w:t xml:space="preserve">sont des événements qui comptent directement pour les patientes et patients : décès, infarctus, accident vasculaire cérébral, fracture, cécité, qualité de vie.</w:t>
      </w:r>
    </w:p>
    <w:p>
      <w:pPr>
        <w:numPr>
          <w:ilvl w:val="0"/>
          <w:numId w:val="1017"/>
        </w:numPr>
        <w:pStyle w:val="Compact"/>
      </w:pPr>
      <w:r>
        <w:t xml:space="preserve">Les</w:t>
      </w:r>
      <w:r>
        <w:t xml:space="preserve"> </w:t>
      </w:r>
      <w:r>
        <w:rPr>
          <w:bCs/>
          <w:b/>
        </w:rPr>
        <w:t xml:space="preserve">critères de substitution</w:t>
      </w:r>
      <w:r>
        <w:t xml:space="preserve"> </w:t>
      </w:r>
      <w:r>
        <w:t xml:space="preserve">(critères intermédiaires) sont des valeurs mesurées dont on suppose qu’elles sont liées aux critères durs : glycémie, HbA1c, cholestérol, pression artérielle, densité osseuse, poids corporel ou valeurs biologiques comme l’IGF-1.</w:t>
      </w:r>
    </w:p>
    <w:p>
      <w:pPr>
        <w:pStyle w:val="FirstParagraph"/>
      </w:pPr>
      <w:r>
        <w:t xml:space="preserve">Les critères de substitution sont pratiques, car ils se mesurent plus rapidement et avec moins de participants. Mais ils peuvent induire en erreur. L’exemple le plus connu est le Cardiac Arrhythmia Suppression Trial (CAST) de la fin des années 1980. On partait du principe que les médicaments supprimant certains troubles du rythme cardiaque après un infarctus empêchaient aussi des décès. Les médicaments supprimaient effectivement les troubles du rythme – le critère de substitution était atteint. Mais dans l’étude randomisée, davantage de personnes sont décédées sous deux de ces médicaments que sous placebo : 43 participants sous substance active sont morts de troubles du rythme, contre 16 sous placebo</w:t>
      </w:r>
      <w:r>
        <w:rPr>
          <w:rStyle w:val="FootnoteReference"/>
        </w:rPr>
        <w:footnoteReference w:id="146"/>
      </w:r>
      <w:r>
        <w:t xml:space="preserve">.</w:t>
      </w:r>
    </w:p>
    <w:p>
      <w:pPr>
        <w:pStyle w:val="BodyText"/>
      </w:pPr>
      <w:r>
        <w:t xml:space="preserve">Avec les peptides, tu rencontreras constamment des critères de substitution. Pour les stimulateurs de la sécrétion d’hormone de croissance, on mesure souvent seulement si le taux d’hormone de croissance ou d’IGF-1 augmente – et non si les personnes deviennent ainsi plus saines, plus fortes ou vivent plus longtemps. Pour les médicaments GLP-1, en revanche, il existe désormais de grandes études avec des critères durs comme l’infarctus et l’AVC. C’est l’une des raisons pour lesquelles ils reçoivent dans ce livre le niveau de preuve le plus élevé.</w:t>
      </w:r>
    </w:p>
    <w:bookmarkEnd w:id="147"/>
    <w:bookmarkStart w:id="150" w:name="risques-relatifs-et-absolus"/>
    <w:p>
      <w:pPr>
        <w:pStyle w:val="Heading3"/>
      </w:pPr>
      <w:r>
        <w:t xml:space="preserve">Risques relatifs et absolus</w:t>
      </w:r>
    </w:p>
    <w:p>
      <w:pPr>
        <w:pStyle w:val="FirstParagraph"/>
      </w:pPr>
      <w:r>
        <w:t xml:space="preserve">Peu de détails statistiques sont aussi souvent mal compris que celui-ci. Prenons l’étude SELECT : sur une durée moyenne de 39,8 mois, l’événement cardiovasculaire combiné est survenu chez 6,5 % des participants sous sémaglutide et chez 8,0 % sous placebo. Le hazard ratio – une mesure du risque relatif au cours du temps – était de 0,80</w:t>
      </w:r>
      <w:r>
        <w:rPr>
          <w:rStyle w:val="FootnoteReference"/>
        </w:rPr>
        <w:footnoteReference w:id="148"/>
      </w:r>
      <w:r>
        <w:t xml:space="preserve">.</w:t>
      </w:r>
    </w:p>
    <w:p>
      <w:pPr>
        <w:pStyle w:val="BodyText"/>
      </w:pPr>
      <w:r>
        <w:t xml:space="preserve">On peut en tirer deux affirmations, toutes deux exactes :</w:t>
      </w:r>
    </w:p>
    <w:p>
      <w:pPr>
        <w:numPr>
          <w:ilvl w:val="0"/>
          <w:numId w:val="1018"/>
        </w:numPr>
        <w:pStyle w:val="Compact"/>
      </w:pPr>
      <w:r>
        <w:rPr>
          <w:bCs/>
          <w:b/>
        </w:rPr>
        <w:t xml:space="preserve">En relatif :</w:t>
      </w:r>
      <w:r>
        <w:t xml:space="preserve"> </w:t>
      </w:r>
      <w:r>
        <w:t xml:space="preserve">le risque était inférieur d’environ 20 %.</w:t>
      </w:r>
    </w:p>
    <w:p>
      <w:pPr>
        <w:numPr>
          <w:ilvl w:val="0"/>
          <w:numId w:val="1018"/>
        </w:numPr>
        <w:pStyle w:val="Compact"/>
      </w:pPr>
      <w:r>
        <w:rPr>
          <w:bCs/>
          <w:b/>
        </w:rPr>
        <w:t xml:space="preserve">En absolu :</w:t>
      </w:r>
      <w:r>
        <w:t xml:space="preserve"> </w:t>
      </w:r>
      <w:r>
        <w:t xml:space="preserve">la proportion de personnes concernées a diminué de 1,5 point de pourcentage – de 8,0 à 6,5 personnes sur 100.</w:t>
      </w:r>
    </w:p>
    <w:p>
      <w:pPr>
        <w:pStyle w:val="FirstParagraph"/>
      </w:pPr>
      <w:r>
        <w:t xml:space="preserve">À partir de la différence absolue, on peut calculer le</w:t>
      </w:r>
      <w:r>
        <w:t xml:space="preserve"> </w:t>
      </w:r>
      <w:r>
        <w:rPr>
          <w:bCs/>
          <w:b/>
        </w:rPr>
        <w:t xml:space="preserve">nombre de sujets à traiter (NST, en anglais Number Needed to Treat, NNT)</w:t>
      </w:r>
      <w:r>
        <w:t xml:space="preserve"> </w:t>
      </w:r>
      <w:r>
        <w:t xml:space="preserve">: combien de personnes doivent être traitées pour qu’une d’entre elles évite un événement. Ici, ce sont mathématiquement environ 67 personnes sur un peu plus de trois ans. Cela ne signifie pas que le traitement est sans importance – avec des millions de personnes concernées, l’effet est considérable. Mais cela montre que la plupart des personnes traitées n’auraient pas eu d’événement même sans médicament, et que certaines en ont un malgré le médicament.</w:t>
      </w:r>
    </w:p>
    <w:p>
      <w:pPr>
        <w:pStyle w:val="BodyText"/>
      </w:pPr>
      <w:r>
        <w:t xml:space="preserve">La publicité et les gros titres privilégient les chiffres relatifs, parce qu’ils paraissent plus impressionnants. Les bons comptes rendus d’études donnent les deux. Sois donc toujours attentif à la fréquence de départ : une « division par deux » du risque de 2 à 1 sur 10 000 est tout autre chose qu’une baisse de 20 à 10 sur 100.</w:t>
      </w:r>
    </w:p>
    <w:p>
      <w:pPr>
        <w:pStyle w:val="BodyText"/>
      </w:pPr>
      <w:r>
        <w:t xml:space="preserve">Il en va de même pour les effets indésirables. Dans SELECT, 16,6 % des participants sous sémaglutide ont arrêté le traitement en raison d’événements indésirables, contre 8,2 % sous placebo</w:t>
      </w:r>
      <w:r>
        <w:rPr>
          <w:rStyle w:val="FootnoteReference"/>
        </w:rPr>
        <w:footnoteReference w:id="149"/>
      </w:r>
      <w:r>
        <w:t xml:space="preserve">. En relatif, c’est un doublement ; en absolu, une différence de 8,4 points de pourcentage.</w:t>
      </w:r>
    </w:p>
    <w:bookmarkEnd w:id="150"/>
    <w:bookmarkStart w:id="152" w:name="X22df5b586530d5036b5f3b75ff0423fbcabcf85"/>
    <w:p>
      <w:pPr>
        <w:pStyle w:val="Heading3"/>
      </w:pPr>
      <w:r>
        <w:t xml:space="preserve">Signification statistique et intervalles de confiance</w:t>
      </w:r>
    </w:p>
    <w:p>
      <w:pPr>
        <w:pStyle w:val="FirstParagraph"/>
      </w:pPr>
      <w:r>
        <w:t xml:space="preserve">Une</w:t>
      </w:r>
      <w:r>
        <w:t xml:space="preserve"> </w:t>
      </w:r>
      <w:r>
        <w:rPr>
          <w:bCs/>
          <w:b/>
        </w:rPr>
        <w:t xml:space="preserve">valeur p</w:t>
      </w:r>
      <w:r>
        <w:t xml:space="preserve"> </w:t>
      </w:r>
      <w:r>
        <w:t xml:space="preserve">indique quelle serait la probabilité d’observer une différence au moins aussi grande s’il n’y avait en réalité aucun effet. Si elle est inférieure à 0,05, un résultat est habituellement considéré comme « statistiquement significatif ». Cela ne veut pas dire que l’effet est grand ou important – dans les très grandes études, même des différences minimes deviennent significatives.</w:t>
      </w:r>
    </w:p>
    <w:p>
      <w:pPr>
        <w:pStyle w:val="BodyText"/>
      </w:pPr>
      <w:r>
        <w:t xml:space="preserve">L’</w:t>
      </w:r>
      <w:r>
        <w:rPr>
          <w:bCs/>
          <w:b/>
        </w:rPr>
        <w:t xml:space="preserve">intervalle de confiance à 95 %</w:t>
      </w:r>
      <w:r>
        <w:t xml:space="preserve"> </w:t>
      </w:r>
      <w:r>
        <w:t xml:space="preserve">est souvent plus parlant. Il indique une fourchette dans laquelle se situe très probablement l’effet réel. Dans STEP 1, la différence de poids corporel entre le sémaglutide et le placebo était de 12,4 points de pourcentage, avec un intervalle de confiance de 11,5 à 13,4</w:t>
      </w:r>
      <w:r>
        <w:rPr>
          <w:rStyle w:val="FootnoteReference"/>
        </w:rPr>
        <w:footnoteReference w:id="151"/>
      </w:r>
      <w:r>
        <w:t xml:space="preserve">. Un intervalle aussi étroit traduit une estimation précise. Dans les petites études, les intervalles sont souvent très larges – signe que l’effet réel pourrait être grand, petit, voire nul.</w:t>
      </w:r>
    </w:p>
    <w:bookmarkEnd w:id="152"/>
    <w:bookmarkStart w:id="154" w:name="Xc9f1bc9d6c6645fd7a1fd697fd93a5be6bb3eca"/>
    <w:p>
      <w:pPr>
        <w:pStyle w:val="Heading3"/>
      </w:pPr>
      <w:r>
        <w:t xml:space="preserve">Comment on compte : la question de l’estimand</w:t>
      </w:r>
    </w:p>
    <w:p>
      <w:pPr>
        <w:pStyle w:val="FirstParagraph"/>
      </w:pPr>
      <w:r>
        <w:t xml:space="preserve">Un détail devenu important dans les études récentes : comment compte-t-on les personnes qui arrêtent le traitement ou prennent des médicaments supplémentaires ? Dans l’étude PIONEER 1, deux analyses ont été rapportées. Si l’on analyse tous les participants, qu’ils aient continué ou non à prendre les comprimés, la valeur de l’HbA1c a baissé, à la dose la plus élevée, de 1,1 point de pourcentage de plus que sous placebo. Si l’on considère uniquement la période pendant laquelle les comprimés ont effectivement été pris, la différence était de 1,4 point de pourcentage</w:t>
      </w:r>
      <w:r>
        <w:rPr>
          <w:rStyle w:val="FootnoteReference"/>
        </w:rPr>
        <w:footnoteReference w:id="153"/>
      </w:r>
      <w:r>
        <w:t xml:space="preserve">. Les deux chiffres sont corrects, mais répondent à des questions différentes. Le premier est généralement plus réaliste pour la vie quotidienne.</w:t>
      </w:r>
    </w:p>
    <w:bookmarkEnd w:id="154"/>
    <w:bookmarkStart w:id="156" w:name="durée-et-taille"/>
    <w:p>
      <w:pPr>
        <w:pStyle w:val="Heading3"/>
      </w:pPr>
      <w:r>
        <w:t xml:space="preserve">Durée et taille</w:t>
      </w:r>
    </w:p>
    <w:p>
      <w:pPr>
        <w:pStyle w:val="FirstParagraph"/>
      </w:pPr>
      <w:r>
        <w:t xml:space="preserve">De nombreuses études sur les peptides sont courtes. Une modification de valeurs biologiques après deux semaines ne dit pas grand-chose de ce qui se passe après deux ans – ni sur le bénéfice ni sur des risques comme le cancer, qui n’apparaissent souvent qu’au bout de plusieurs années. La taille est tout aussi importante : des effets indésirables rares, touchant une personne sur mille, passent forcément inaperçus dans une étude de 40 participants. L’absence d’effets indésirables dans une petite étude n’est pas une preuve de sécurité.</w:t>
      </w:r>
    </w:p>
    <w:p>
      <w:pPr>
        <w:pStyle w:val="BodyText"/>
      </w:pPr>
      <w:r>
        <w:t xml:space="preserve">À partir de considérations théoriques et de simulations, l’épidémiologiste John Ioannidis a conclu que les résultats de recherche sont d’autant moins fiables que les études et les effets sont petits, que de nombreuses questions sont testées sans sélection préalable, que la conception et l’analyse sont flexibles et que les intérêts financiers et les préjugés sont importants dans un domaine</w:t>
      </w:r>
      <w:r>
        <w:rPr>
          <w:rStyle w:val="FootnoteReference"/>
        </w:rPr>
        <w:footnoteReference w:id="155"/>
      </w:r>
      <w:r>
        <w:t xml:space="preserve">. Beaucoup de ces caractéristiques s’appliquent à la recherche sur les peptides peu étudiés.</w:t>
      </w:r>
    </w:p>
    <w:bookmarkEnd w:id="156"/>
    <w:bookmarkStart w:id="158" w:name="les-conflits-dintérêts"/>
    <w:p>
      <w:pPr>
        <w:pStyle w:val="Heading3"/>
      </w:pPr>
      <w:r>
        <w:t xml:space="preserve">Les conflits d’intérêts</w:t>
      </w:r>
    </w:p>
    <w:p>
      <w:pPr>
        <w:pStyle w:val="FirstParagraph"/>
      </w:pPr>
      <w:r>
        <w:t xml:space="preserve">Les grandes études d’autorisation sont presque toujours financées par les fabricants. C’est prévu par la loi et ce n’est pas automatiquement un défaut – ces études sont soumises à des règles strictes, enregistrées à l’avance et contrôlées par les autorités. Il vaut néanmoins la peine de regarder le financement. Une revue Cochrane a conclu que les études sponsorisées par l’industrie rapportaient plus souvent des résultats d’efficacité favorables (risque relatif 1,27) et des conclusions favorables (risque relatif 1,34) que les études financées autrement</w:t>
      </w:r>
      <w:r>
        <w:rPr>
          <w:rStyle w:val="FootnoteReference"/>
        </w:rPr>
        <w:footnoteReference w:id="157"/>
      </w:r>
      <w:r>
        <w:t xml:space="preserve">.</w:t>
      </w:r>
    </w:p>
    <w:p>
      <w:pPr>
        <w:pStyle w:val="BodyText"/>
      </w:pPr>
      <w:r>
        <w:t xml:space="preserve">Les conflits d’intérêts n’existent pas seulement chez les groupes pharmaceutiques. Les chercheurs qui ont découvert une substance et détiennent des brevets, les cliniques qui vendent des thérapies peptidiques ou les influenceurs dotés de codes de réduction ont eux aussi intérêt à des résultats positifs. C’est un signal d’alerte lorsque presque toutes les études sur une substance proviennent d’un seul groupe de recherche et n’ont pas été confirmées par des équipes indépendantes.</w:t>
      </w:r>
    </w:p>
    <w:bookmarkEnd w:id="158"/>
    <w:bookmarkStart w:id="160" w:name="le-problème-des-études-disparues"/>
    <w:p>
      <w:pPr>
        <w:pStyle w:val="Heading3"/>
      </w:pPr>
      <w:r>
        <w:t xml:space="preserve">Le problème des études disparues</w:t>
      </w:r>
    </w:p>
    <w:p>
      <w:pPr>
        <w:pStyle w:val="FirstParagraph"/>
      </w:pPr>
      <w:r>
        <w:t xml:space="preserve">Toutes les études ne sont pas publiées – et ce sont surtout les décevantes qui disparaissent. Une analyse portant sur les antidépresseurs a montré à quel point cela peut fausser le tableau. Sur 74 études enregistrées auprès de l’autorité américaine du médicament, la FDA, 31 % n’ont pas été publiées. D’après la littérature publiée, 94 % des études étaient positives ; d’après l’analyse de la FDA, seulement 51 %</w:t>
      </w:r>
      <w:r>
        <w:rPr>
          <w:rStyle w:val="FootnoteReference"/>
        </w:rPr>
        <w:footnoteReference w:id="159"/>
      </w:r>
      <w:r>
        <w:t xml:space="preserve">. Qui ne lit que les revues scientifiques obtient une image trop rose.</w:t>
      </w:r>
    </w:p>
    <w:bookmarkEnd w:id="160"/>
    <w:bookmarkStart w:id="162" w:name="les-registres-détudes"/>
    <w:p>
      <w:pPr>
        <w:pStyle w:val="Heading3"/>
      </w:pPr>
      <w:r>
        <w:t xml:space="preserve">Les registres d’études</w:t>
      </w:r>
    </w:p>
    <w:p>
      <w:pPr>
        <w:pStyle w:val="FirstParagraph"/>
      </w:pPr>
      <w:r>
        <w:t xml:space="preserve">En réaction à de tels constats, le Comité international des rédacteurs de revues médicales a déclaré en 2004 que les études cliniques devaient être inscrites dans un registre public avant leur début pour pouvoir être publiées par la suite</w:t>
      </w:r>
      <w:r>
        <w:rPr>
          <w:rStyle w:val="FootnoteReference"/>
        </w:rPr>
        <w:footnoteReference w:id="161"/>
      </w:r>
      <w:r>
        <w:t xml:space="preserve">. Aujourd’hui, les registres sont un outil central :</w:t>
      </w:r>
    </w:p>
    <w:p>
      <w:pPr>
        <w:numPr>
          <w:ilvl w:val="0"/>
          <w:numId w:val="1019"/>
        </w:numPr>
        <w:pStyle w:val="Compact"/>
      </w:pPr>
      <w:r>
        <w:rPr>
          <w:bCs/>
          <w:b/>
        </w:rPr>
        <w:t xml:space="preserve">ClinicalTrials.gov</w:t>
      </w:r>
      <w:r>
        <w:t xml:space="preserve"> </w:t>
      </w:r>
      <w:r>
        <w:t xml:space="preserve">(États-Unis) est le plus grand registre. Chaque étude reçoit un numéro au format « NCT » suivi de huit chiffres. L’étude SELECT, par exemple, porte le numéro NCT03574597.</w:t>
      </w:r>
    </w:p>
    <w:p>
      <w:pPr>
        <w:numPr>
          <w:ilvl w:val="0"/>
          <w:numId w:val="1019"/>
        </w:numPr>
        <w:pStyle w:val="Compact"/>
      </w:pPr>
      <w:r>
        <w:t xml:space="preserve">Dans l’</w:t>
      </w:r>
      <w:r>
        <w:rPr>
          <w:bCs/>
          <w:b/>
        </w:rPr>
        <w:t xml:space="preserve">UE</w:t>
      </w:r>
      <w:r>
        <w:t xml:space="preserve">, les essais cliniques sont enregistrés dans le Clinical Trials Information System (CTIS) de l’Agence européenne des médicaments ; les études plus anciennes figurent dans l’EU Clinical Trials Register.</w:t>
      </w:r>
    </w:p>
    <w:p>
      <w:pPr>
        <w:numPr>
          <w:ilvl w:val="0"/>
          <w:numId w:val="1019"/>
        </w:numPr>
        <w:pStyle w:val="Compact"/>
      </w:pPr>
      <w:r>
        <w:t xml:space="preserve">L’</w:t>
      </w:r>
      <w:r>
        <w:rPr>
          <w:bCs/>
          <w:b/>
        </w:rPr>
        <w:t xml:space="preserve">Organisation mondiale de la santé</w:t>
      </w:r>
      <w:r>
        <w:t xml:space="preserve"> </w:t>
      </w:r>
      <w:r>
        <w:t xml:space="preserve">regroupe de nombreux registres nationaux dans un portail de recherche (ICTRP).</w:t>
      </w:r>
    </w:p>
    <w:p>
      <w:pPr>
        <w:pStyle w:val="FirstParagraph"/>
      </w:pPr>
      <w:r>
        <w:t xml:space="preserve">Le registre indique notamment le plan d’étude prévu, le nombre de participants, le critère d’évaluation principal et le statut. On peut ainsi vérifier si une étude publiée rapporte les critères d’évaluation initialement prévus – et si des études sur une substance ont été commencées sans jamais être publiées. Pour ce livre, les registres ont surtout servi à trouver les études en cours. Important : une inscription au registre n’est pas un résultat. Qu’une étude soit enregistrée ne dit rien de l’efficacité de la substance.</w:t>
      </w:r>
    </w:p>
    <w:bookmarkEnd w:id="162"/>
    <w:bookmarkStart w:id="163" w:name="autres-signaux-dalerte"/>
    <w:p>
      <w:pPr>
        <w:pStyle w:val="Heading3"/>
      </w:pPr>
      <w:r>
        <w:t xml:space="preserve">Autres signaux d’alerte</w:t>
      </w:r>
    </w:p>
    <w:p>
      <w:pPr>
        <w:numPr>
          <w:ilvl w:val="0"/>
          <w:numId w:val="1020"/>
        </w:numPr>
        <w:pStyle w:val="Compact"/>
      </w:pPr>
      <w:r>
        <w:rPr>
          <w:bCs/>
          <w:b/>
        </w:rPr>
        <w:t xml:space="preserve">Seulement un résumé de congrès ou un preprint.</w:t>
      </w:r>
      <w:r>
        <w:t xml:space="preserve"> </w:t>
      </w:r>
      <w:r>
        <w:t xml:space="preserve">Les prépublications (par exemple sur medRxiv) et les communications de congrès n’ont pas encore été entièrement évaluées par des pairs.</w:t>
      </w:r>
    </w:p>
    <w:p>
      <w:pPr>
        <w:numPr>
          <w:ilvl w:val="0"/>
          <w:numId w:val="1020"/>
        </w:numPr>
        <w:pStyle w:val="Compact"/>
      </w:pPr>
      <w:r>
        <w:rPr>
          <w:bCs/>
          <w:b/>
        </w:rPr>
        <w:t xml:space="preserve">Revues aux standards douteux.</w:t>
      </w:r>
      <w:r>
        <w:t xml:space="preserve"> </w:t>
      </w:r>
      <w:r>
        <w:t xml:space="preserve">Certaines revues publient presque tout contre paiement.</w:t>
      </w:r>
    </w:p>
    <w:p>
      <w:pPr>
        <w:numPr>
          <w:ilvl w:val="0"/>
          <w:numId w:val="1020"/>
        </w:numPr>
        <w:pStyle w:val="Compact"/>
      </w:pPr>
      <w:r>
        <w:rPr>
          <w:bCs/>
          <w:b/>
        </w:rPr>
        <w:t xml:space="preserve">Études introuvables.</w:t>
      </w:r>
      <w:r>
        <w:t xml:space="preserve"> </w:t>
      </w:r>
      <w:r>
        <w:t xml:space="preserve">Lorsqu’une étude citée ne se trouve ni dans PubMed ni dans un registre, la prudence s’impose.</w:t>
      </w:r>
    </w:p>
    <w:p>
      <w:pPr>
        <w:numPr>
          <w:ilvl w:val="0"/>
          <w:numId w:val="1020"/>
        </w:numPr>
        <w:pStyle w:val="Compact"/>
      </w:pPr>
      <w:r>
        <w:rPr>
          <w:bCs/>
          <w:b/>
        </w:rPr>
        <w:t xml:space="preserve">Transposition des malades aux personnes en bonne santé.</w:t>
      </w:r>
      <w:r>
        <w:t xml:space="preserve"> </w:t>
      </w:r>
      <w:r>
        <w:t xml:space="preserve">Une substance utile dans une maladie donnée n’apporte pas forcément de bénéfice aux personnes en bonne santé – le rapport bénéfice-risque y est tout autre.</w:t>
      </w:r>
    </w:p>
    <w:p>
      <w:pPr>
        <w:numPr>
          <w:ilvl w:val="0"/>
          <w:numId w:val="1020"/>
        </w:numPr>
        <w:pStyle w:val="Compact"/>
      </w:pPr>
      <w:r>
        <w:rPr>
          <w:bCs/>
          <w:b/>
        </w:rPr>
        <w:t xml:space="preserve">Transposition d’une substance à une autre.</w:t>
      </w:r>
      <w:r>
        <w:t xml:space="preserve"> </w:t>
      </w:r>
      <w:r>
        <w:t xml:space="preserve">Les résultats concernant le sémaglutide ne s’appliquent pas automatiquement à un produit du marché gris portant l’étiquette « sémaglutide » – et les études sur la thymosine bêta-4 ne s’appliquent pas automatiquement au fragment « TB-500 ».</w:t>
      </w:r>
    </w:p>
    <w:bookmarkEnd w:id="163"/>
    <w:bookmarkStart w:id="164" w:name="dix-questions-à-poser-à-chaque-étude"/>
    <w:p>
      <w:pPr>
        <w:pStyle w:val="Heading3"/>
      </w:pPr>
      <w:r>
        <w:t xml:space="preserve">Dix questions à poser à chaque étude</w:t>
      </w:r>
    </w:p>
    <w:p>
      <w:pPr>
        <w:numPr>
          <w:ilvl w:val="0"/>
          <w:numId w:val="1021"/>
        </w:numPr>
        <w:pStyle w:val="Compact"/>
      </w:pPr>
      <w:r>
        <w:t xml:space="preserve">A-t-on étudié des humains – ou des animaux ou des cellules ?</w:t>
      </w:r>
    </w:p>
    <w:p>
      <w:pPr>
        <w:numPr>
          <w:ilvl w:val="0"/>
          <w:numId w:val="1021"/>
        </w:numPr>
        <w:pStyle w:val="Compact"/>
      </w:pPr>
      <w:r>
        <w:t xml:space="preserve">Y avait-il un groupe témoin, et la répartition était-elle aléatoire ?</w:t>
      </w:r>
    </w:p>
    <w:p>
      <w:pPr>
        <w:numPr>
          <w:ilvl w:val="0"/>
          <w:numId w:val="1021"/>
        </w:numPr>
        <w:pStyle w:val="Compact"/>
      </w:pPr>
      <w:r>
        <w:t xml:space="preserve">L’étude était-elle en aveugle ?</w:t>
      </w:r>
    </w:p>
    <w:p>
      <w:pPr>
        <w:numPr>
          <w:ilvl w:val="0"/>
          <w:numId w:val="1021"/>
        </w:numPr>
        <w:pStyle w:val="Compact"/>
      </w:pPr>
      <w:r>
        <w:t xml:space="preserve">Combien de participants y avait-il, et pendant combien de temps ont-ils été suivis ?</w:t>
      </w:r>
    </w:p>
    <w:p>
      <w:pPr>
        <w:numPr>
          <w:ilvl w:val="0"/>
          <w:numId w:val="1021"/>
        </w:numPr>
        <w:pStyle w:val="Compact"/>
      </w:pPr>
      <w:r>
        <w:t xml:space="preserve">Qui a été étudié – des malades ou des personnes en bonne santé, des jeunes ou des personnes âgées ?</w:t>
      </w:r>
    </w:p>
    <w:p>
      <w:pPr>
        <w:numPr>
          <w:ilvl w:val="0"/>
          <w:numId w:val="1021"/>
        </w:numPr>
        <w:pStyle w:val="Compact"/>
      </w:pPr>
      <w:r>
        <w:t xml:space="preserve">Quel était le critère d’évaluation principal : un critère dur ou un critère de substitution ?</w:t>
      </w:r>
    </w:p>
    <w:p>
      <w:pPr>
        <w:numPr>
          <w:ilvl w:val="0"/>
          <w:numId w:val="1021"/>
        </w:numPr>
        <w:pStyle w:val="Compact"/>
      </w:pPr>
      <w:r>
        <w:t xml:space="preserve">Quelle était l’ampleur de la différence en valeur absolue, et pas seulement relative ?</w:t>
      </w:r>
    </w:p>
    <w:p>
      <w:pPr>
        <w:numPr>
          <w:ilvl w:val="0"/>
          <w:numId w:val="1021"/>
        </w:numPr>
        <w:pStyle w:val="Compact"/>
      </w:pPr>
      <w:r>
        <w:t xml:space="preserve">Combien de participants ont abandonné, et quels effets indésirables sont survenus ?</w:t>
      </w:r>
    </w:p>
    <w:p>
      <w:pPr>
        <w:numPr>
          <w:ilvl w:val="0"/>
          <w:numId w:val="1021"/>
        </w:numPr>
        <w:pStyle w:val="Compact"/>
      </w:pPr>
      <w:r>
        <w:t xml:space="preserve">Qui a financé l’étude, et les résultats ont-ils été confirmés de façon indépendante ?</w:t>
      </w:r>
    </w:p>
    <w:p>
      <w:pPr>
        <w:numPr>
          <w:ilvl w:val="0"/>
          <w:numId w:val="1021"/>
        </w:numPr>
        <w:pStyle w:val="Compact"/>
      </w:pPr>
      <w:r>
        <w:t xml:space="preserve">L’étude était-elle enregistrée à l’avance, et les critères rapportés correspondent-ils au registre ?</w:t>
      </w:r>
    </w:p>
    <w:bookmarkEnd w:id="164"/>
    <w:bookmarkStart w:id="165" w:name="comment-ce-livre-classe-les-preuves"/>
    <w:p>
      <w:pPr>
        <w:pStyle w:val="Heading3"/>
      </w:pPr>
      <w:r>
        <w:t xml:space="preserve">Comment ce livre classe les preuves</w:t>
      </w:r>
    </w:p>
    <w:p>
      <w:pPr>
        <w:pStyle w:val="FirstParagraph"/>
      </w:pPr>
      <w:r>
        <w:t xml:space="preserve">Chaque peptide de la partie II reçoit un niveau de preuve :</w:t>
      </w:r>
    </w:p>
    <w:p>
      <w:pPr>
        <w:numPr>
          <w:ilvl w:val="0"/>
          <w:numId w:val="1022"/>
        </w:numPr>
        <w:pStyle w:val="Compact"/>
      </w:pPr>
      <w:r>
        <w:rPr>
          <w:bCs/>
          <w:b/>
        </w:rPr>
        <w:t xml:space="preserve">A</w:t>
      </w:r>
      <w:r>
        <w:t xml:space="preserve"> </w:t>
      </w:r>
      <w:r>
        <w:t xml:space="preserve">: plusieurs grandes études randomisées chez l’humain, autorisation en tant que médicament.</w:t>
      </w:r>
    </w:p>
    <w:p>
      <w:pPr>
        <w:numPr>
          <w:ilvl w:val="0"/>
          <w:numId w:val="1022"/>
        </w:numPr>
        <w:pStyle w:val="Compact"/>
      </w:pPr>
      <w:r>
        <w:rPr>
          <w:bCs/>
          <w:b/>
        </w:rPr>
        <w:t xml:space="preserve">B</w:t>
      </w:r>
      <w:r>
        <w:t xml:space="preserve"> </w:t>
      </w:r>
      <w:r>
        <w:t xml:space="preserve">: quelques études randomisées isolées chez l’humain.</w:t>
      </w:r>
    </w:p>
    <w:p>
      <w:pPr>
        <w:numPr>
          <w:ilvl w:val="0"/>
          <w:numId w:val="1022"/>
        </w:numPr>
        <w:pStyle w:val="Compact"/>
      </w:pPr>
      <w:r>
        <w:rPr>
          <w:bCs/>
          <w:b/>
        </w:rPr>
        <w:t xml:space="preserve">C</w:t>
      </w:r>
      <w:r>
        <w:t xml:space="preserve"> </w:t>
      </w:r>
      <w:r>
        <w:t xml:space="preserve">: uniquement des études chez l’humain petites ou non contrôlées.</w:t>
      </w:r>
    </w:p>
    <w:p>
      <w:pPr>
        <w:numPr>
          <w:ilvl w:val="0"/>
          <w:numId w:val="1022"/>
        </w:numPr>
        <w:pStyle w:val="Compact"/>
      </w:pPr>
      <w:r>
        <w:rPr>
          <w:bCs/>
          <w:b/>
        </w:rPr>
        <w:t xml:space="preserve">D</w:t>
      </w:r>
      <w:r>
        <w:t xml:space="preserve"> </w:t>
      </w:r>
      <w:r>
        <w:t xml:space="preserve">: uniquement des études animales et de laboratoire.</w:t>
      </w:r>
    </w:p>
    <w:p>
      <w:pPr>
        <w:pStyle w:val="FirstParagraph"/>
      </w:pPr>
      <w:r>
        <w:t xml:space="preserve">Le niveau évalue la</w:t>
      </w:r>
      <w:r>
        <w:t xml:space="preserve"> </w:t>
      </w:r>
      <w:r>
        <w:rPr>
          <w:bCs/>
          <w:b/>
        </w:rPr>
        <w:t xml:space="preserve">quantité et la qualité des données chez l’humain</w:t>
      </w:r>
      <w:r>
        <w:t xml:space="preserve">, et non le caractère « bon » ou « mauvais » d’une substance. Un peptide de niveau A peut avoir des effets indésirables importants, et un peptide de niveau D peut tout à fait se révéler utile à l’avenir – il n’a simplement pas encore été suffisamment étudié. Le classement vaut en outre pour une utilisation donnée : une substance peut être bien étayée pour une maladie et pas du tout pour une autre.</w:t>
      </w:r>
    </w:p>
    <w:bookmarkEnd w:id="165"/>
    <w:bookmarkStart w:id="166" w:name="lessentiel-en-bref-2"/>
    <w:p>
      <w:pPr>
        <w:pStyle w:val="Heading3"/>
      </w:pPr>
      <w:r>
        <w:t xml:space="preserve">L’essentiel en bref</w:t>
      </w:r>
    </w:p>
    <w:p>
      <w:pPr>
        <w:numPr>
          <w:ilvl w:val="0"/>
          <w:numId w:val="1023"/>
        </w:numPr>
        <w:pStyle w:val="Compact"/>
      </w:pPr>
      <w:r>
        <w:t xml:space="preserve">Les études de laboratoire et animales fournissent des indices sur les mécanismes, mais aucune preuve d’un bénéfice chez l’humain.</w:t>
      </w:r>
    </w:p>
    <w:p>
      <w:pPr>
        <w:numPr>
          <w:ilvl w:val="0"/>
          <w:numId w:val="1023"/>
        </w:numPr>
        <w:pStyle w:val="Compact"/>
      </w:pPr>
      <w:r>
        <w:t xml:space="preserve">La comparaison randomisée, contrôlée et en aveugle est le moyen le plus fiable de démontrer un effet.</w:t>
      </w:r>
    </w:p>
    <w:p>
      <w:pPr>
        <w:numPr>
          <w:ilvl w:val="0"/>
          <w:numId w:val="1023"/>
        </w:numPr>
        <w:pStyle w:val="Compact"/>
      </w:pPr>
      <w:r>
        <w:t xml:space="preserve">Les critères de substitution comme les valeurs biologiques peuvent induire en erreur ; ce sont les critères durs qui comptent.</w:t>
      </w:r>
    </w:p>
    <w:p>
      <w:pPr>
        <w:numPr>
          <w:ilvl w:val="0"/>
          <w:numId w:val="1023"/>
        </w:numPr>
        <w:pStyle w:val="Compact"/>
      </w:pPr>
      <w:r>
        <w:t xml:space="preserve">Les chiffres relatifs paraissent plus impressionnants que les chiffres absolus. Demande toujours quelle est la fréquence de départ.</w:t>
      </w:r>
    </w:p>
    <w:p>
      <w:pPr>
        <w:numPr>
          <w:ilvl w:val="0"/>
          <w:numId w:val="1023"/>
        </w:numPr>
        <w:pStyle w:val="Compact"/>
      </w:pPr>
      <w:r>
        <w:t xml:space="preserve">Le financement, le biais de publication et l’absence de confirmation par des groupes indépendants peuvent fausser le tableau. Les registres d’études aident à le vérifier.</w:t>
      </w:r>
    </w:p>
    <w:bookmarkEnd w:id="166"/>
    <w:bookmarkEnd w:id="167"/>
    <w:bookmarkStart w:id="212" w:name="le-marché-gris"/>
    <w:p>
      <w:pPr>
        <w:pStyle w:val="Heading2"/>
      </w:pPr>
      <w:r>
        <w:t xml:space="preserve">Le marché gris</w:t>
      </w:r>
    </w:p>
    <w:p>
      <w:pPr>
        <w:pStyle w:val="FirstParagraph"/>
      </w:pPr>
      <w:r>
        <w:t xml:space="preserve">Quiconque cherche des peptides sur Internet aboutit rapidement à des boutiques en ligne aux pages d’apparence professionnelle, avec des photos de laboratoire et des certificats de pureté. On y propose des flacons de poudre blanche : BPC-157, TB-500, ipamoréline, Melanotan II – et de plus en plus aussi du sémaglutide, du tirzépatide ou des substances encore non autorisées comme le rétatrutide. Presque toujours figure quelque part la mention « Research Use Only » ou « not for human consumption » – uniquement à des fins de recherche, pas pour un usage chez l’humain.</w:t>
      </w:r>
    </w:p>
    <w:p>
      <w:pPr>
        <w:pStyle w:val="BodyText"/>
      </w:pPr>
      <w:r>
        <w:t xml:space="preserve">Ce chapitre décrit ce que l’on sait de ce marché : grâce aux analyses en laboratoire de produits achetés et saisis, aux rapports de cas d’intoxication et aux analyses des notifications d’effets indésirables. Il doit t’aider à évaluer les risques de façon réaliste. Ce livre ne cite par principe aucune source d’approvisionnement.</w:t>
      </w:r>
    </w:p>
    <w:bookmarkStart w:id="170" w:name="ce-que-sont-les-research-peptides"/>
    <w:p>
      <w:pPr>
        <w:pStyle w:val="Heading3"/>
      </w:pPr>
      <w:r>
        <w:t xml:space="preserve">Ce que sont les « Research Peptides »</w:t>
      </w:r>
    </w:p>
    <w:p>
      <w:pPr>
        <w:pStyle w:val="FirstParagraph"/>
      </w:pPr>
      <w:r>
        <w:t xml:space="preserve">On appelle « Research Peptides » ou « Research Chemicals » des substances officiellement vendues uniquement à des laboratoires à des fins de recherche. La mention « pas pour un usage chez l’humain » est censée protéger juridiquement la vente : un produit qui n’est pas proposé comme médicament n’aurait pas besoin – selon la logique des vendeurs – d’une autorisation de mise sur le marché. Dans la pratique, beaucoup de ces boutiques s’adressent pourtant manifestement à des particuliers qui veulent s’injecter eux-mêmes les substances. La question de savoir si ce montage tient juridiquement est abordée au chapitre suivant ; dans bien des cas, ce n’est pas le cas.</w:t>
      </w:r>
    </w:p>
    <w:p>
      <w:pPr>
        <w:pStyle w:val="BodyText"/>
      </w:pPr>
      <w:r>
        <w:t xml:space="preserve">Une revue décrit ce schéma à l’exemple du sémaglutide et du tirzépatide : des fabricants vendent des flacons « uniquement à des fins de recherche » ou « non destinés à la consommation humaine » directement aux consommateurs, souvent sans le matériel ni les connaissances nécessaires pour dissoudre la substance, la prélever et l’injecter. Les médecins et les pharmacies sont ainsi contournés – et avec eux la vérification des interactions et la surveillance médicale</w:t>
      </w:r>
      <w:r>
        <w:rPr>
          <w:rStyle w:val="FootnoteReference"/>
        </w:rPr>
        <w:footnoteReference w:id="168"/>
      </w:r>
      <w:r>
        <w:t xml:space="preserve">.</w:t>
      </w:r>
    </w:p>
    <w:p>
      <w:pPr>
        <w:pStyle w:val="BodyText"/>
      </w:pPr>
      <w:r>
        <w:t xml:space="preserve">Une petite étude menée dans une université américaine a examiné à quel point l’utilisation est difficile pour des profanes. 20 adultes devaient, à l’aide d’informations trouvées sur Internet, effectuer les étapes nécessaires pour dissoudre une telle poudre de sémaglutide et préparer une seringue. Sur 34 étapes, ils en ont réalisé correctement 15 en moyenne. Les chercheurs ont observé des erreurs susceptibles d’entraîner un mauvais dosage, des piqûres accidentelles ou des infections</w:t>
      </w:r>
      <w:r>
        <w:rPr>
          <w:rStyle w:val="FootnoteReference"/>
        </w:rPr>
        <w:footnoteReference w:id="169"/>
      </w:r>
      <w:r>
        <w:t xml:space="preserve">.</w:t>
      </w:r>
    </w:p>
    <w:bookmarkEnd w:id="170"/>
    <w:bookmarkStart w:id="185" w:name="X9f146628165c133d63c404460c99adc3e85f23c"/>
    <w:p>
      <w:pPr>
        <w:pStyle w:val="Heading3"/>
      </w:pPr>
      <w:r>
        <w:t xml:space="preserve">Ce que contiennent les flacons : analyses en laboratoire</w:t>
      </w:r>
    </w:p>
    <w:p>
      <w:pPr>
        <w:pStyle w:val="FirstParagraph"/>
      </w:pPr>
      <w:r>
        <w:t xml:space="preserve">Les informations les plus fiables sur les produits du marché gris proviennent d’analyses en laboratoire. Elles sont réalisées principalement par des laboratoires antidopage, des autorités du médicament et quelques groupes de recherche qui achètent délibérément des produits ou les reçoivent des douanes et de la police.</w:t>
      </w:r>
    </w:p>
    <w:bookmarkStart w:id="172" w:name="X7fff073bbeaea17257fed2480f089941332d9c5"/>
    <w:p>
      <w:pPr>
        <w:pStyle w:val="Heading4"/>
      </w:pPr>
      <w:r>
        <w:t xml:space="preserve">Le sémaglutide des pharmacies en ligne illégales</w:t>
      </w:r>
    </w:p>
    <w:p>
      <w:pPr>
        <w:pStyle w:val="FirstParagraph"/>
      </w:pPr>
      <w:r>
        <w:t xml:space="preserve">Une étude particulièrement approfondie a combiné une analyse de marché et des achats tests</w:t>
      </w:r>
      <w:r>
        <w:rPr>
          <w:rStyle w:val="FootnoteReference"/>
        </w:rPr>
        <w:footnoteReference w:id="171"/>
      </w:r>
      <w:r>
        <w:t xml:space="preserve">. Les chercheurs ont analysé 1 080 liens issus de moteurs de recherche. 317 menaient à des pharmacies en ligne, dont 134 à 59 sites illégaux différents. Les 30 principaux domaines liés à des pharmacies illégales ont enregistré plus de 4,7 millions de visites en trois mois de l’année 2023.</w:t>
      </w:r>
    </w:p>
    <w:p>
      <w:pPr>
        <w:pStyle w:val="BodyText"/>
      </w:pPr>
      <w:r>
        <w:t xml:space="preserve">Des achats tests ont été effectués auprès de six vendeurs illégaux. Les résultats :</w:t>
      </w:r>
    </w:p>
    <w:p>
      <w:pPr>
        <w:numPr>
          <w:ilvl w:val="0"/>
          <w:numId w:val="1024"/>
        </w:numPr>
        <w:pStyle w:val="Compact"/>
      </w:pPr>
      <w:r>
        <w:t xml:space="preserve">Trois stylos préremplis d’Ozempic commandés ne sont jamais arrivés – il s’agissait d’escroqueries sans livraison.</w:t>
      </w:r>
    </w:p>
    <w:p>
      <w:pPr>
        <w:numPr>
          <w:ilvl w:val="0"/>
          <w:numId w:val="1024"/>
        </w:numPr>
        <w:pStyle w:val="Compact"/>
      </w:pPr>
      <w:r>
        <w:t xml:space="preserve">Trois flacons de poudre ont été livrés. Tous étaient considérés comme probablement de qualité inférieure ou falsifiés ; à l’inspection visuelle, ils ne remplissaient pas 59 à 63 % des critères.</w:t>
      </w:r>
    </w:p>
    <w:p>
      <w:pPr>
        <w:numPr>
          <w:ilvl w:val="0"/>
          <w:numId w:val="1024"/>
        </w:numPr>
        <w:pStyle w:val="Compact"/>
      </w:pPr>
      <w:r>
        <w:t xml:space="preserve">La teneur en sémaglutide était de 28,6 à 38,7 %</w:t>
      </w:r>
      <w:r>
        <w:t xml:space="preserve"> </w:t>
      </w:r>
      <w:r>
        <w:rPr>
          <w:bCs/>
          <w:b/>
        </w:rPr>
        <w:t xml:space="preserve">supérieure</w:t>
      </w:r>
      <w:r>
        <w:t xml:space="preserve"> </w:t>
      </w:r>
      <w:r>
        <w:t xml:space="preserve">à la quantité indiquée.</w:t>
      </w:r>
    </w:p>
    <w:p>
      <w:pPr>
        <w:numPr>
          <w:ilvl w:val="0"/>
          <w:numId w:val="1024"/>
        </w:numPr>
        <w:pStyle w:val="Compact"/>
      </w:pPr>
      <w:r>
        <w:t xml:space="preserve">La pureté mesurée n’était que de 7,7 à 14,4 % – au lieu des 99 % promis sur l’étiquette.</w:t>
      </w:r>
    </w:p>
    <w:p>
      <w:pPr>
        <w:numPr>
          <w:ilvl w:val="0"/>
          <w:numId w:val="1024"/>
        </w:numPr>
        <w:pStyle w:val="Compact"/>
      </w:pPr>
      <w:r>
        <w:t xml:space="preserve">Aucun germe vivant n’a été trouvé, mais des endotoxines étaient détectables dans</w:t>
      </w:r>
      <w:r>
        <w:t xml:space="preserve"> </w:t>
      </w:r>
      <w:r>
        <w:rPr>
          <w:bCs/>
          <w:b/>
        </w:rPr>
        <w:t xml:space="preserve">tous</w:t>
      </w:r>
      <w:r>
        <w:t xml:space="preserve"> </w:t>
      </w:r>
      <w:r>
        <w:t xml:space="preserve">les échantillons.</w:t>
      </w:r>
    </w:p>
    <w:p>
      <w:pPr>
        <w:pStyle w:val="FirstParagraph"/>
      </w:pPr>
      <w:r>
        <w:t xml:space="preserve">Cette étude montre plusieurs problèmes typiques à la fois : indications de quantité erronées, faible pureté, contamination et simple escroquerie.</w:t>
      </w:r>
    </w:p>
    <w:bookmarkEnd w:id="172"/>
    <w:bookmarkStart w:id="174" w:name="X7fa6e9f85a8f0840fa1be2ce706cdbea51ff477"/>
    <w:p>
      <w:pPr>
        <w:pStyle w:val="Heading4"/>
      </w:pPr>
      <w:r>
        <w:t xml:space="preserve">Les produits d’imitation comparés à l’original</w:t>
      </w:r>
    </w:p>
    <w:p>
      <w:pPr>
        <w:pStyle w:val="FirstParagraph"/>
      </w:pPr>
      <w:r>
        <w:t xml:space="preserve">Une autre étude a analysé 16 produits d’imitation injectables et 8 oraux de sémaglutide ainsi que 2 imitations de liraglutide, et les a comparés aux préparations originales</w:t>
      </w:r>
      <w:r>
        <w:rPr>
          <w:rStyle w:val="FootnoteReference"/>
        </w:rPr>
        <w:footnoteReference w:id="173"/>
      </w:r>
      <w:r>
        <w:t xml:space="preserve">. Elle a mis en évidence de nouvelles impuretés, notamment des molécules protéiques plus grandes, des traces de métaux et des résidus de solvants. Plusieurs préparations orales contenaient nettement moins de sémaglutide qu’indiqué. En outre, on a trouvé des structures qui, selon des prédictions informatiques, pourraient être reconnues par le système immunitaire. L’étude provenant du fabricant des préparations originales, elle doit être lue avec la prudence qui s’impose ; les problèmes décrits concordent toutefois avec des constats indépendants.</w:t>
      </w:r>
    </w:p>
    <w:bookmarkEnd w:id="174"/>
    <w:bookmarkStart w:id="176" w:name="le-melanotan-ii-des-boutiques-en-ligne"/>
    <w:p>
      <w:pPr>
        <w:pStyle w:val="Heading4"/>
      </w:pPr>
      <w:r>
        <w:t xml:space="preserve">Le Melanotan II des boutiques en ligne</w:t>
      </w:r>
    </w:p>
    <w:p>
      <w:pPr>
        <w:pStyle w:val="FirstParagraph"/>
      </w:pPr>
      <w:r>
        <w:t xml:space="preserve">Pour le peptide bronzant Melanotan II, un groupe de recherche a analysé des flacons provenant de trois boutiques en ligne. Toutes indiquaient 10 mg par flacon ; en réalité, les flacons contenaient entre 4,32 et 8,84 mg. Dans les produits de deux boutiques, on a trouvé des impuretés inconnues à hauteur de 4,1 à 5,9 %</w:t>
      </w:r>
      <w:r>
        <w:rPr>
          <w:rStyle w:val="FootnoteReference"/>
        </w:rPr>
        <w:footnoteReference w:id="175"/>
      </w:r>
      <w:r>
        <w:t xml:space="preserve">.</w:t>
      </w:r>
    </w:p>
    <w:bookmarkEnd w:id="176"/>
    <w:bookmarkStart w:id="184" w:name="X7898bfa16befd362f5f7b4fa2275bdf7947ddad"/>
    <w:p>
      <w:pPr>
        <w:pStyle w:val="Heading4"/>
      </w:pPr>
      <w:r>
        <w:t xml:space="preserve">Les produits saisis dans le milieu du dopage</w:t>
      </w:r>
    </w:p>
    <w:p>
      <w:pPr>
        <w:pStyle w:val="FirstParagraph"/>
      </w:pPr>
      <w:r>
        <w:t xml:space="preserve">Le laboratoire antidopage de Cologne analyse depuis des années des produits saisis. Dans un rapport sur l’année 2009, il a décrit entre autres des flacons étiquetés comme hormone de croissance sans aucun contenu pharmacologiquement actif, du Long-R3-IGF-1 non purifié et des compléments alimentaires contenant le peptide libérateur d’hormone de croissance GHRP-2</w:t>
      </w:r>
      <w:r>
        <w:rPr>
          <w:rStyle w:val="FootnoteReference"/>
        </w:rPr>
        <w:footnoteReference w:id="177"/>
      </w:r>
      <w:r>
        <w:t xml:space="preserve">. Dans des comprimés proposés comme compléments alimentaires en vente libre, on a mesuré environ 50 microgrammes de GHRP-2 par comprimé</w:t>
      </w:r>
      <w:r>
        <w:rPr>
          <w:rStyle w:val="FootnoteReference"/>
        </w:rPr>
        <w:footnoteReference w:id="178"/>
      </w:r>
      <w:r>
        <w:t xml:space="preserve"> </w:t>
      </w:r>
      <w:r>
        <w:t xml:space="preserve">– une substance interdite dans le sport et qui ne dispose d’aucune autorisation.</w:t>
      </w:r>
    </w:p>
    <w:p>
      <w:pPr>
        <w:pStyle w:val="BodyText"/>
      </w:pPr>
      <w:r>
        <w:t xml:space="preserve">Entre 2010 et 2013, ce même laboratoire a analysé 337 autres produits. Les hormones peptidiques et les facteurs de croissance en représentaient 12,8 %, surtout l’hormone de croissance et les peptides libérateurs d’hormone de croissance. Parmi les découvertes marquantes figuraient la thymosine bêta-4 et une protéine de fusion à l’activité biologique inconnue</w:t>
      </w:r>
      <w:r>
        <w:rPr>
          <w:rStyle w:val="FootnoteReference"/>
        </w:rPr>
        <w:footnoteReference w:id="179"/>
      </w:r>
      <w:r>
        <w:t xml:space="preserve">. En Norvège, 28 % des produits saisis et analysés entre 2011 et 2014 contenaient des produits dopants à base de peptides ou de protéines</w:t>
      </w:r>
      <w:r>
        <w:rPr>
          <w:rStyle w:val="FootnoteReference"/>
        </w:rPr>
        <w:footnoteReference w:id="180"/>
      </w:r>
      <w:r>
        <w:t xml:space="preserve">.</w:t>
      </w:r>
    </w:p>
    <w:p>
      <w:pPr>
        <w:pStyle w:val="BodyText"/>
      </w:pPr>
      <w:r>
        <w:t xml:space="preserve">Un rapport ultérieur de Cologne décrit des variantes modifiées de peptides connus qui n’existent pas en tant que médicaments : Gly-GHRP-6, Gly-GHRP-2 et Gly-ipamoréline – c’est-à-dire les peptides respectifs avec un acide aminé glycine supplémentaire au début – ainsi qu’une forme légèrement modifiée de l’hormone de croissance</w:t>
      </w:r>
      <w:r>
        <w:rPr>
          <w:rStyle w:val="FootnoteReference"/>
        </w:rPr>
        <w:footnoteReference w:id="181"/>
      </w:r>
      <w:r>
        <w:t xml:space="preserve">. Ces modifications sont peut-être des tentatives de contourner les tests antidopage ; leur effet et leur sécurité chez l’humain sont inconnus.</w:t>
      </w:r>
    </w:p>
    <w:p>
      <w:pPr>
        <w:pStyle w:val="BodyText"/>
      </w:pPr>
      <w:r>
        <w:t xml:space="preserve">Le BPC-157 a lui aussi été identifié dans des flacons saisis. Un groupe de recherche a alors développé une méthode de détection dans les échantillons d’urine</w:t>
      </w:r>
      <w:r>
        <w:rPr>
          <w:rStyle w:val="FootnoteReference"/>
        </w:rPr>
        <w:footnoteReference w:id="182"/>
      </w:r>
      <w:r>
        <w:t xml:space="preserve">.</w:t>
      </w:r>
    </w:p>
    <w:p>
      <w:pPr>
        <w:pStyle w:val="BodyText"/>
      </w:pPr>
      <w:r>
        <w:t xml:space="preserve">Une revue résume que, dans les médicaments peptidiques et protéiques falsifiés, on a régulièrement trouvé la mauvaise substance, la mauvaise quantité ou aucune substance active, que des impuretés toxiques et des sous-produits de fabrication ont causé des atteintes à la santé et que des saisies ont aussi révélé des substances ayant échoué dans des études cliniques ou encore au stade de l’expérimentation animale</w:t>
      </w:r>
      <w:r>
        <w:rPr>
          <w:rStyle w:val="FootnoteReference"/>
        </w:rPr>
        <w:footnoteReference w:id="183"/>
      </w:r>
      <w:r>
        <w:t xml:space="preserve">.</w:t>
      </w:r>
    </w:p>
    <w:bookmarkEnd w:id="184"/>
    <w:bookmarkEnd w:id="185"/>
    <w:bookmarkStart w:id="186" w:name="X9d4ef7bccd76c7e4f543fc268bd84eb14fbf93d"/>
    <w:p>
      <w:pPr>
        <w:pStyle w:val="Heading3"/>
      </w:pPr>
      <w:r>
        <w:t xml:space="preserve">Vue d’ensemble des problèmes de qualité typiques</w:t>
      </w:r>
    </w:p>
    <w:p>
      <w:pPr>
        <w:pStyle w:val="FirstParagraph"/>
      </w:pPr>
      <w:r>
        <w:t xml:space="preserve">Ces analyses dessinent un tableau récurrent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Problème</w:t>
            </w:r>
          </w:p>
        </w:tc>
        <w:tc>
          <w:tcPr/>
          <w:p>
            <w:pPr>
              <w:pStyle w:val="Compact"/>
              <w:jc w:val="left"/>
            </w:pPr>
            <w:r>
              <w:t xml:space="preserve">Conséquence</w:t>
            </w:r>
          </w:p>
        </w:tc>
        <w:tc>
          <w:tcPr/>
          <w:p>
            <w:pPr>
              <w:pStyle w:val="Compact"/>
              <w:jc w:val="left"/>
            </w:pPr>
            <w:r>
              <w:t xml:space="preserve">Exemple</w:t>
            </w:r>
          </w:p>
        </w:tc>
      </w:tr>
      <w:tr>
        <w:tc>
          <w:tcPr/>
          <w:p>
            <w:pPr>
              <w:pStyle w:val="Compact"/>
              <w:jc w:val="left"/>
            </w:pPr>
            <w:r>
              <w:t xml:space="preserve">Trop de substance active</w:t>
            </w:r>
          </w:p>
        </w:tc>
        <w:tc>
          <w:tcPr/>
          <w:p>
            <w:pPr>
              <w:pStyle w:val="Compact"/>
              <w:jc w:val="left"/>
            </w:pPr>
            <w:r>
              <w:t xml:space="preserve">surdosage, davantage d’effets indésirables</w:t>
            </w:r>
          </w:p>
        </w:tc>
        <w:tc>
          <w:tcPr/>
          <w:p>
            <w:pPr>
              <w:pStyle w:val="Compact"/>
              <w:jc w:val="left"/>
            </w:pPr>
            <w:r>
              <w:t xml:space="preserve">sémaglutide jusqu’à 38,7 % au-dessus de l’indication</w:t>
            </w:r>
          </w:p>
        </w:tc>
      </w:tr>
      <w:tr>
        <w:tc>
          <w:tcPr/>
          <w:p>
            <w:pPr>
              <w:pStyle w:val="Compact"/>
              <w:jc w:val="left"/>
            </w:pPr>
            <w:r>
              <w:t xml:space="preserve">Trop peu de substance active</w:t>
            </w:r>
          </w:p>
        </w:tc>
        <w:tc>
          <w:tcPr/>
          <w:p>
            <w:pPr>
              <w:pStyle w:val="Compact"/>
              <w:jc w:val="left"/>
            </w:pPr>
            <w:r>
              <w:t xml:space="preserve">inefficacité</w:t>
            </w:r>
          </w:p>
        </w:tc>
        <w:tc>
          <w:tcPr/>
          <w:p>
            <w:pPr>
              <w:pStyle w:val="Compact"/>
              <w:jc w:val="left"/>
            </w:pPr>
            <w:r>
              <w:t xml:space="preserve">Melanotan II 4,32 au lieu de 10 mg</w:t>
            </w:r>
          </w:p>
        </w:tc>
      </w:tr>
      <w:tr>
        <w:tc>
          <w:tcPr/>
          <w:p>
            <w:pPr>
              <w:pStyle w:val="Compact"/>
              <w:jc w:val="left"/>
            </w:pPr>
            <w:r>
              <w:t xml:space="preserve">Mauvaise substance active</w:t>
            </w:r>
          </w:p>
        </w:tc>
        <w:tc>
          <w:tcPr/>
          <w:p>
            <w:pPr>
              <w:pStyle w:val="Compact"/>
              <w:jc w:val="left"/>
            </w:pPr>
            <w:r>
              <w:t xml:space="preserve">effet imprévisible, parfois mortel</w:t>
            </w:r>
          </w:p>
        </w:tc>
        <w:tc>
          <w:tcPr/>
          <w:p>
            <w:pPr>
              <w:pStyle w:val="Compact"/>
              <w:jc w:val="left"/>
            </w:pPr>
            <w:r>
              <w:t xml:space="preserve">insuline au lieu de sémaglutide</w:t>
            </w:r>
          </w:p>
        </w:tc>
      </w:tr>
      <w:tr>
        <w:tc>
          <w:tcPr/>
          <w:p>
            <w:pPr>
              <w:pStyle w:val="Compact"/>
              <w:jc w:val="left"/>
            </w:pPr>
            <w:r>
              <w:t xml:space="preserve">Aucune substance active</w:t>
            </w:r>
          </w:p>
        </w:tc>
        <w:tc>
          <w:tcPr/>
          <w:p>
            <w:pPr>
              <w:pStyle w:val="Compact"/>
              <w:jc w:val="left"/>
            </w:pPr>
            <w:r>
              <w:t xml:space="preserve">escroquerie, inefficacité</w:t>
            </w:r>
          </w:p>
        </w:tc>
        <w:tc>
          <w:tcPr/>
          <w:p>
            <w:pPr>
              <w:pStyle w:val="Compact"/>
              <w:jc w:val="left"/>
            </w:pPr>
            <w:r>
              <w:t xml:space="preserve">flacons d’« hormone de croissance » vides</w:t>
            </w:r>
          </w:p>
        </w:tc>
      </w:tr>
      <w:tr>
        <w:tc>
          <w:tcPr/>
          <w:p>
            <w:pPr>
              <w:pStyle w:val="Compact"/>
              <w:jc w:val="left"/>
            </w:pPr>
            <w:r>
              <w:t xml:space="preserve">Impuretés</w:t>
            </w:r>
          </w:p>
        </w:tc>
        <w:tc>
          <w:tcPr/>
          <w:p>
            <w:pPr>
              <w:pStyle w:val="Compact"/>
              <w:jc w:val="left"/>
            </w:pPr>
            <w:r>
              <w:t xml:space="preserve">réactions immunitaires, effet toxique</w:t>
            </w:r>
          </w:p>
        </w:tc>
        <w:tc>
          <w:tcPr/>
          <w:p>
            <w:pPr>
              <w:pStyle w:val="Compact"/>
              <w:jc w:val="left"/>
            </w:pPr>
            <w:r>
              <w:t xml:space="preserve">sous-produits de synthèse</w:t>
            </w:r>
          </w:p>
        </w:tc>
      </w:tr>
      <w:tr>
        <w:tc>
          <w:tcPr/>
          <w:p>
            <w:pPr>
              <w:pStyle w:val="Compact"/>
              <w:jc w:val="left"/>
            </w:pPr>
            <w:r>
              <w:t xml:space="preserve">Endotoxines</w:t>
            </w:r>
          </w:p>
        </w:tc>
        <w:tc>
          <w:tcPr/>
          <w:p>
            <w:pPr>
              <w:pStyle w:val="Compact"/>
              <w:jc w:val="left"/>
            </w:pPr>
            <w:r>
              <w:t xml:space="preserve">fièvre, inflammation, réactions circulatoires</w:t>
            </w:r>
          </w:p>
        </w:tc>
        <w:tc>
          <w:tcPr/>
          <w:p>
            <w:pPr>
              <w:pStyle w:val="Compact"/>
              <w:jc w:val="left"/>
            </w:pPr>
            <w:r>
              <w:t xml:space="preserve">dans tous les achats tests de sémaglutide</w:t>
            </w:r>
          </w:p>
        </w:tc>
      </w:tr>
    </w:tbl>
    <w:bookmarkEnd w:id="186"/>
    <w:bookmarkStart w:id="188" w:name="X3ceff7e1da9e1152c011ae6290708f7f1001d6e"/>
    <w:p>
      <w:pPr>
        <w:pStyle w:val="Heading3"/>
      </w:pPr>
      <w:r>
        <w:t xml:space="preserve">La pureté : ce que signifie le pourcentage – et ce qu’il ne signifie pas</w:t>
      </w:r>
    </w:p>
    <w:p>
      <w:pPr>
        <w:pStyle w:val="FirstParagraph"/>
      </w:pPr>
      <w:r>
        <w:t xml:space="preserve">De nombreux vendeurs font valoir une « pureté de 99 % » et joignent des certificats d’analyse. Quelques remarques à ce sujet :</w:t>
      </w:r>
    </w:p>
    <w:p>
      <w:pPr>
        <w:numPr>
          <w:ilvl w:val="0"/>
          <w:numId w:val="1025"/>
        </w:numPr>
        <w:pStyle w:val="Compact"/>
      </w:pPr>
      <w:r>
        <w:rPr>
          <w:bCs/>
          <w:b/>
        </w:rPr>
        <w:t xml:space="preserve">La pureté ne mesure que certaines impuretés.</w:t>
      </w:r>
      <w:r>
        <w:t xml:space="preserve"> </w:t>
      </w:r>
      <w:r>
        <w:t xml:space="preserve">Une mesure typique (chromatographie liquide haute performance, HPLC) montre quel pourcentage des signaux peptidiques mesurables correspond à la substance recherchée. Les sels, l’eau, les résidus de solvants, les métaux ou les endotoxines ne sont souvent pas pris en compte.</w:t>
      </w:r>
    </w:p>
    <w:p>
      <w:pPr>
        <w:numPr>
          <w:ilvl w:val="0"/>
          <w:numId w:val="1025"/>
        </w:numPr>
        <w:pStyle w:val="Compact"/>
      </w:pPr>
      <w:r>
        <w:rPr>
          <w:bCs/>
          <w:b/>
        </w:rPr>
        <w:t xml:space="preserve">La pureté ne dit rien de la quantité.</w:t>
      </w:r>
      <w:r>
        <w:t xml:space="preserve"> </w:t>
      </w:r>
      <w:r>
        <w:t xml:space="preserve">Un flacon peut contenir une substance très pure, mais en mauvaise quantité.</w:t>
      </w:r>
    </w:p>
    <w:p>
      <w:pPr>
        <w:numPr>
          <w:ilvl w:val="0"/>
          <w:numId w:val="1025"/>
        </w:numPr>
        <w:pStyle w:val="Compact"/>
      </w:pPr>
      <w:r>
        <w:rPr>
          <w:bCs/>
          <w:b/>
        </w:rPr>
        <w:t xml:space="preserve">La pureté ne dit rien de la stérilité.</w:t>
      </w:r>
      <w:r>
        <w:t xml:space="preserve"> </w:t>
      </w:r>
      <w:r>
        <w:t xml:space="preserve">Une poudre peut être chimiquement pure et néanmoins contaminée par des bactéries ou des composants bactériens.</w:t>
      </w:r>
    </w:p>
    <w:p>
      <w:pPr>
        <w:numPr>
          <w:ilvl w:val="0"/>
          <w:numId w:val="1025"/>
        </w:numPr>
        <w:pStyle w:val="Compact"/>
      </w:pPr>
      <w:r>
        <w:rPr>
          <w:bCs/>
          <w:b/>
        </w:rPr>
        <w:t xml:space="preserve">Les certificats sont invérifiables.</w:t>
      </w:r>
      <w:r>
        <w:t xml:space="preserve"> </w:t>
      </w:r>
      <w:r>
        <w:t xml:space="preserve">En tant qu’acheteuse ou acheteur, il est impossible de savoir si un certificat joint correspond réellement au flacon livré. Les achats tests de sémaglutide ont montré une pureté de 7,7 à 14,4 % malgré une étiquette annonçant 99 %</w:t>
      </w:r>
      <w:r>
        <w:rPr>
          <w:rStyle w:val="FootnoteReference"/>
        </w:rPr>
        <w:footnoteReference w:id="187"/>
      </w:r>
      <w:r>
        <w:t xml:space="preserve">.</w:t>
      </w:r>
    </w:p>
    <w:p>
      <w:pPr>
        <w:pStyle w:val="FirstParagraph"/>
      </w:pPr>
      <w:r>
        <w:t xml:space="preserve">S’y ajoutent les impuretés qui apparaissent typiquement lors de la synthèse chimique : peptides présentant des briques manquantes ou en double, variantes mal repliées ou chimiquement modifiées, résidus de groupes protecteurs et de réactifs. Pour les médicaments autorisés, des valeurs limites sont fixées pour ces impuretés et contrôlées régulièrement.</w:t>
      </w:r>
    </w:p>
    <w:bookmarkEnd w:id="188"/>
    <w:bookmarkStart w:id="190" w:name="Xbf3e7c69e34a16e7c919874fc2b53a6ab30fc06"/>
    <w:p>
      <w:pPr>
        <w:pStyle w:val="Heading3"/>
      </w:pPr>
      <w:r>
        <w:t xml:space="preserve">Les endotoxines : invisibles et dangereuses</w:t>
      </w:r>
    </w:p>
    <w:p>
      <w:pPr>
        <w:pStyle w:val="FirstParagraph"/>
      </w:pPr>
      <w:r>
        <w:t xml:space="preserve">Les endotoxines sont des composants de la paroi cellulaire de certaines bactéries. Elles subsistent même lorsque les bactéries sont tuées et sont très stables à la chaleur. Si elles passent dans le sang, elles peuvent provoquer fièvre, frissons, chute de tension et, en grande quantité, un choc mettant la vie en danger. C’est pourquoi des valeurs limites strictes s’appliquent aux injections et aux perfusions, et les fabricants de médicaments contrôlent chaque lot.</w:t>
      </w:r>
    </w:p>
    <w:p>
      <w:pPr>
        <w:pStyle w:val="BodyText"/>
      </w:pPr>
      <w:r>
        <w:t xml:space="preserve">Une poudre « stérile » ou « exempte de germes » peut tout de même contenir des endotoxines – c’est précisément ce qu’ont montré les achats tests de sémaglutide : aucun germe vivant, mais des endotoxines dans tous les échantillons</w:t>
      </w:r>
      <w:r>
        <w:rPr>
          <w:rStyle w:val="FootnoteReference"/>
        </w:rPr>
        <w:footnoteReference w:id="189"/>
      </w:r>
      <w:r>
        <w:t xml:space="preserve">. La dissolution avec de l’eau non stérile, les prélèvements multiples dans le même flacon ou la réutilisation d’aiguilles peuvent également introduire des germes.</w:t>
      </w:r>
    </w:p>
    <w:bookmarkEnd w:id="190"/>
    <w:bookmarkStart w:id="192" w:name="les-erreurs-de-dosage"/>
    <w:p>
      <w:pPr>
        <w:pStyle w:val="Heading3"/>
      </w:pPr>
      <w:r>
        <w:t xml:space="preserve">Les erreurs de dosage</w:t>
      </w:r>
    </w:p>
    <w:p>
      <w:pPr>
        <w:pStyle w:val="FirstParagraph"/>
      </w:pPr>
      <w:r>
        <w:t xml:space="preserve">Même lorsqu’un produit contient exactement ce qui est indiqué, un dosage correct est difficile sur le marché gris. La poudre doit être dissoute dans une quantité déterminée de liquide ; la dose résulte ensuite d’un calcul de conversion. Une erreur de calcul ou une confusion d’unités peut facilement conduire à injecter un multiple de la quantité prévue.</w:t>
      </w:r>
    </w:p>
    <w:p>
      <w:pPr>
        <w:pStyle w:val="BodyText"/>
      </w:pPr>
      <w:r>
        <w:t xml:space="preserve">Une série de cas d’un centre antipoison américain décrit trois cas impliquant du sémaglutide provenant de pharmacies et d’un institut de beauté. Deux personnes s’étaient injecté par erreur une quantité dix fois supérieure. Toutes ont souffert pendant plusieurs jours de nausées, de vomissements et de douleurs abdominales. Une personne avait reçu un flacon avec des seringues sans aucun conseil, une autre avait confondu millilitres, « unités » et milligrammes</w:t>
      </w:r>
      <w:r>
        <w:rPr>
          <w:rStyle w:val="FootnoteReference"/>
        </w:rPr>
        <w:footnoteReference w:id="191"/>
      </w:r>
      <w:r>
        <w:t xml:space="preserve">. Les autrices et auteurs soulignent que, contrairement aux stylos préremplis, les flacons n’offrent aucun mécanisme de sécurité contre de telles erreurs.</w:t>
      </w:r>
    </w:p>
    <w:bookmarkEnd w:id="192"/>
    <w:bookmarkStart w:id="197" w:name="X3e46c9b26ed90c7260243212d9df97b13309cb3"/>
    <w:p>
      <w:pPr>
        <w:pStyle w:val="Heading3"/>
      </w:pPr>
      <w:r>
        <w:t xml:space="preserve">Les contrefaçons d’Ozempic et d’autres médicaments GLP-1</w:t>
      </w:r>
    </w:p>
    <w:p>
      <w:pPr>
        <w:pStyle w:val="FirstParagraph"/>
      </w:pPr>
      <w:r>
        <w:t xml:space="preserve">Avec l’énorme demande de sémaglutide, des contrefaçons sont apparues dans le monde entier. L’Organisation mondiale de la santé a mis en garde en 2024 contre de l’Ozempic falsifié dans la chaîne d’approvisionnement mondiale</w:t>
      </w:r>
      <w:r>
        <w:rPr>
          <w:rStyle w:val="FootnoteReference"/>
        </w:rPr>
        <w:footnoteReference w:id="193"/>
      </w:r>
      <w:r>
        <w:t xml:space="preserve">.</w:t>
      </w:r>
    </w:p>
    <w:p>
      <w:pPr>
        <w:pStyle w:val="BodyText"/>
      </w:pPr>
      <w:r>
        <w:t xml:space="preserve">Les contrefaçons contenant une autre substance active sont particulièrement dangereuses. En Italie, une femme de 31 ans a été admise aux urgences dans un coma hypoglycémique après s’être injecté un prétendu Ozempic acheté sur Internet. L’analyse toxicologique a révélé que le flacon contenait de l’insuline au lieu du sémaglutide</w:t>
      </w:r>
      <w:r>
        <w:rPr>
          <w:rStyle w:val="FootnoteReference"/>
        </w:rPr>
        <w:footnoteReference w:id="194"/>
      </w:r>
      <w:r>
        <w:t xml:space="preserve">. Deux cas similaires ont été rapportés aux Pays-Bas : deux personnes sans diabète ni obésité s’étaient injecté du sémaglutide obtenu sans ordonnance et se trouvaient dans le coma avec une hypoglycémie sévère, une carence en potassium et une hypothermie. La cause était une intoxication par de l’insuline de synthèse. Pour stabiliser la glycémie, une perfusion continue de glucose a été nécessaire pendant jusqu’à deux jours</w:t>
      </w:r>
      <w:r>
        <w:rPr>
          <w:rStyle w:val="FootnoteReference"/>
        </w:rPr>
        <w:footnoteReference w:id="195"/>
      </w:r>
      <w:r>
        <w:t xml:space="preserve">.</w:t>
      </w:r>
    </w:p>
    <w:p>
      <w:pPr>
        <w:pStyle w:val="BodyText"/>
      </w:pPr>
      <w:r>
        <w:t xml:space="preserve">Ces cas sont d’autant plus importants que le véritable sémaglutide ne provoque à lui seul pratiquement pas d’hypoglycémie notable chez les personnes en bonne santé. Une hypoglycémie après une « piqûre amaigrissante » est donc un signal d’alerte évoquant un produit falsifié.</w:t>
      </w:r>
    </w:p>
    <w:p>
      <w:pPr>
        <w:pStyle w:val="BodyText"/>
      </w:pPr>
      <w:r>
        <w:t xml:space="preserve">Une analyse de la base de données européenne des effets indésirables EudraVigilance a recensé de 2018 à 2025 au total 234 notifications concernant du sémaglutide possiblement falsifié. 73,5 % concernaient des femmes, et 89,3 % des effets indésirables signalés étaient graves. Les plus fréquemment signalés étaient les vomissements, les nausées et l’hypoglycémie. Par rapport au sémaglutide authentique, l’hypoglycémie, l’utilisation en dehors de l’indication autorisée, le malaise et l’inefficacité étaient signalés de façon disproportionnée</w:t>
      </w:r>
      <w:r>
        <w:rPr>
          <w:rStyle w:val="FootnoteReference"/>
        </w:rPr>
        <w:footnoteReference w:id="196"/>
      </w:r>
      <w:r>
        <w:t xml:space="preserve">. Comme pour toutes les données de notification, elles montrent des signaux, pas des fréquences.</w:t>
      </w:r>
    </w:p>
    <w:bookmarkEnd w:id="197"/>
    <w:bookmarkStart w:id="200" w:name="les-substances-glp-1-non-autorisées"/>
    <w:p>
      <w:pPr>
        <w:pStyle w:val="Heading3"/>
      </w:pPr>
      <w:r>
        <w:t xml:space="preserve">Les substances GLP-1 non autorisées</w:t>
      </w:r>
    </w:p>
    <w:p>
      <w:pPr>
        <w:pStyle w:val="FirstParagraph"/>
      </w:pPr>
      <w:r>
        <w:t xml:space="preserve">Des substances qui ne sont pas encore autorisées sont désormais proposées elles aussi sur le marché gris, par exemple le triple agoniste rétatrutide. Pour ces substances, il existe certes des études des fabricants, mais aucun produit contrôlé – on ne sait pas ce que contient réellement un flacon portant l’inscription « rétatrutide ». Une revue scientifique a consacré en 2026 un article spécifique à ce marché noir</w:t>
      </w:r>
      <w:r>
        <w:rPr>
          <w:rStyle w:val="FootnoteReference"/>
        </w:rPr>
        <w:footnoteReference w:id="198"/>
      </w:r>
      <w:r>
        <w:t xml:space="preserve">.</w:t>
      </w:r>
    </w:p>
    <w:p>
      <w:pPr>
        <w:pStyle w:val="BodyText"/>
      </w:pPr>
      <w:r>
        <w:t xml:space="preserve">Un rapport de cas décrit une femme d’environ vingt-cinq ans qui s’est présentée à l’hôpital avec des nausées persistant depuis cinq jours, des vomissements répétés et des diarrhées. Les troubles ne se sont d’abord pas améliorés malgré plusieurs médicaments contre les nausées. Ce n’est qu’à force de questions répétées qu’il est apparu qu’un « coach de vie » autoproclamé, sans qualification médicale, lui avait administré quatre injections hebdomadaires d’un produit censé contenir du rétatrutide. Elle-même ne considérait pas ces injections comme un médicament</w:t>
      </w:r>
      <w:r>
        <w:rPr>
          <w:rStyle w:val="FootnoteReference"/>
        </w:rPr>
        <w:footnoteReference w:id="199"/>
      </w:r>
      <w:r>
        <w:t xml:space="preserve">. Ce cas illustre un autre problème : qui ne perçoit pas les peptides comme des médicaments ne les mentionne pas non plus aux médecins.</w:t>
      </w:r>
    </w:p>
    <w:bookmarkEnd w:id="200"/>
    <w:bookmarkStart w:id="204" w:name="des-dangers-au-delà-de-la-contamination"/>
    <w:p>
      <w:pPr>
        <w:pStyle w:val="Heading3"/>
      </w:pPr>
      <w:r>
        <w:t xml:space="preserve">Des dangers au-delà de la contamination</w:t>
      </w:r>
    </w:p>
    <w:p>
      <w:pPr>
        <w:pStyle w:val="FirstParagraph"/>
      </w:pPr>
      <w:r>
        <w:t xml:space="preserve">Même un peptide du marché gris parfaitement pur peut être dangereux si la substance elle-même n’a jamais été suffisamment étudiée chez l’humain. Un rapport de cas décrit un homme de 39 ans qui s’était injecté du Melanotan II acheté sur Internet – selon ses propres dires, six fois la quantité de départ qui lui avait été conseillée. Il a développé une tachycardie, une agitation, des sueurs et une destruction musculaire massive (rhabdomyolyse) avec insuffisance rénale, et a dû être traité en soins intensifs. L’analyse a confirmé que le produit contenait effectivement du Melanotan II</w:t>
      </w:r>
      <w:r>
        <w:rPr>
          <w:rStyle w:val="FootnoteReference"/>
        </w:rPr>
        <w:footnoteReference w:id="201"/>
      </w:r>
      <w:r>
        <w:t xml:space="preserve">.</w:t>
      </w:r>
    </w:p>
    <w:p>
      <w:pPr>
        <w:pStyle w:val="BodyText"/>
      </w:pPr>
      <w:r>
        <w:t xml:space="preserve">Des revues citent comme risques possibles des peptides non réglementés notamment les impuretés, un dosage imprécis, une néoformation pathologique de vaisseaux sanguins, la cancérogenèse, une sollicitation du système cardiovasculaire et des signaux hormonaux excessifs</w:t>
      </w:r>
      <w:r>
        <w:rPr>
          <w:rStyle w:val="FootnoteReference"/>
        </w:rPr>
        <w:footnoteReference w:id="202"/>
      </w:r>
      <w:r>
        <w:t xml:space="preserve">. Beaucoup de ces risques sont déduits de façon théorique, précisément parce qu’il n’existe guère d’études chez l’humain. Une revue de médecine du sport conclut que de nombreux peptides non autorisés montrent des effets favorables dans des modèles animaux, mais que les données de sécurité solides chez l’humain sont rares et que des dommages graves sont possibles</w:t>
      </w:r>
      <w:r>
        <w:rPr>
          <w:rStyle w:val="FootnoteReference"/>
        </w:rPr>
        <w:footnoteReference w:id="203"/>
      </w:r>
      <w:r>
        <w:t xml:space="preserve">.</w:t>
      </w:r>
    </w:p>
    <w:bookmarkEnd w:id="204"/>
    <w:bookmarkStart w:id="207" w:name="X32b38cabe5b3702a012b514395e5860e098e685"/>
    <w:p>
      <w:pPr>
        <w:pStyle w:val="Heading3"/>
      </w:pPr>
      <w:r>
        <w:t xml:space="preserve">Les préparations magistrales (compounding) aux États-Unis</w:t>
      </w:r>
    </w:p>
    <w:p>
      <w:pPr>
        <w:pStyle w:val="FirstParagraph"/>
      </w:pPr>
      <w:r>
        <w:t xml:space="preserve">Une particularité du marché américain est le</w:t>
      </w:r>
      <w:r>
        <w:t xml:space="preserve"> </w:t>
      </w:r>
      <w:r>
        <w:rPr>
          <w:bCs/>
          <w:b/>
        </w:rPr>
        <w:t xml:space="preserve">compounding</w:t>
      </w:r>
      <w:r>
        <w:t xml:space="preserve"> </w:t>
      </w:r>
      <w:r>
        <w:t xml:space="preserve">: sous certaines conditions, les pharmacies peuvent préparer elles-mêmes des médicaments, par exemple lorsqu’une préparation autorisée n’est pas disponible. Pendant les pénuries de sémaglutide et de tirzépatide, un vaste marché de préparations d’imitation est ainsi apparu, souvent distribuées par des prestataires de télémédecine. Ces préparations ne sont pas des médicaments autorisés ; leur efficacité et leur sécurité n’ont pas été évaluées dans des études.</w:t>
      </w:r>
    </w:p>
    <w:p>
      <w:pPr>
        <w:pStyle w:val="BodyText"/>
      </w:pPr>
      <w:r>
        <w:t xml:space="preserve">Une analyse de la base de données américaine des effets indésirables FAERS a comparé les notifications concernant des préparations GLP-1 magistrales et autorisées. Sur 81 078 notifications, 707 concernaient des produits préparés en pharmacie. Pour ceux-ci, les douleurs abdominales, les inflammations de la vésicule biliaire, les erreurs de préparation et les contaminations, entre autres, étaient signalées de façon disproportionnée, de même que les hospitalisations ; les erreurs d’utilisation et de dosage étaient en revanche moins souvent signalées</w:t>
      </w:r>
      <w:r>
        <w:rPr>
          <w:rStyle w:val="FootnoteReference"/>
        </w:rPr>
        <w:footnoteReference w:id="205"/>
      </w:r>
      <w:r>
        <w:t xml:space="preserve">. Les autrices et auteurs soulignent que de telles données ne prouvent pas de relation de cause à effet.</w:t>
      </w:r>
    </w:p>
    <w:p>
      <w:pPr>
        <w:pStyle w:val="BodyText"/>
      </w:pPr>
      <w:r>
        <w:t xml:space="preserve">Depuis la fin des pénuries, le droit américain n’autorise plus les pharmacies qu’à fabriquer des préparations qui diffèrent des préparations autorisées – par exemple par une autre forme galénique ou des additifs. Une étude a recensé 33 produits de ce type, dont des associations avec de la vitamine B12, de la glycine, du niacinamide, un laxatif ou un médicament contre les nausées, ainsi que des gouttes et des comprimés orodispersibles à utiliser sous la langue. Pour les vitamines et le laxatif, les autrices et auteurs n’ont guère trouvé de justification. Pour l’ajout du médicament contre les nausées et pour les nouvelles formes galéniques, ils voient certes une idée compréhensible, mais aucune preuve d’efficacité et de sécurité</w:t>
      </w:r>
      <w:r>
        <w:rPr>
          <w:rStyle w:val="FootnoteReference"/>
        </w:rPr>
        <w:footnoteReference w:id="206"/>
      </w:r>
      <w:r>
        <w:t xml:space="preserve">.</w:t>
      </w:r>
    </w:p>
    <w:p>
      <w:pPr>
        <w:pStyle w:val="BodyText"/>
      </w:pPr>
      <w:r>
        <w:t xml:space="preserve">Le compounding n’est pas un marché gris au sens strict : les pharmacies sont agréées et soumises à une surveillance. Pour les patientes et patients, la frontière s’estompe toutefois lorsque des produits sont distribués via des plateformes en ligne avec peu d’accompagnement médical. Il n’existe pas de système comparable en Europe ; la fabrication en pharmacie y est soumise à des conditions nettement plus strictes (voir le chapitre suivant).</w:t>
      </w:r>
    </w:p>
    <w:bookmarkEnd w:id="207"/>
    <w:bookmarkStart w:id="209" w:name="qui-utilise-le-marché-gris-et-pourquoi"/>
    <w:p>
      <w:pPr>
        <w:pStyle w:val="Heading3"/>
      </w:pPr>
      <w:r>
        <w:t xml:space="preserve">Qui utilise le marché gris – et pourquoi</w:t>
      </w:r>
    </w:p>
    <w:p>
      <w:pPr>
        <w:pStyle w:val="FirstParagraph"/>
      </w:pPr>
      <w:r>
        <w:t xml:space="preserve">Les raisons de se tourner vers le marché gris sont multiples : prix élevés et absence de prise en charge des médicaments autorisés, pénuries, désir de perdre du poids sans indication médicale, amélioration des performances sportives, espoir d’une guérison plus rapide des blessures ou d’une vie plus longue. Une revue décrit comment la publicité en ligne, les témoignages sur les réseaux sociaux, l’auto-injection, les associations de plusieurs substances et une faible surveillance des effets indésirables se conjuguent et banalisent des produits douteux</w:t>
      </w:r>
      <w:r>
        <w:rPr>
          <w:rStyle w:val="FootnoteReference"/>
        </w:rPr>
        <w:footnoteReference w:id="208"/>
      </w:r>
      <w:r>
        <w:t xml:space="preserve">.</w:t>
      </w:r>
    </w:p>
    <w:p>
      <w:pPr>
        <w:pStyle w:val="BodyText"/>
      </w:pPr>
      <w:r>
        <w:t xml:space="preserve">Ces motivations sont compréhensibles. Les analyses de ce chapitre montrent cependant que les acheteuses et acheteurs du marché gris ne peuvent pas savoir ce qu’ils reçoivent réellement.</w:t>
      </w:r>
    </w:p>
    <w:bookmarkEnd w:id="209"/>
    <w:bookmarkStart w:id="210" w:name="X828d71178fca3ab51381257216ab1fa023ed0d7"/>
    <w:p>
      <w:pPr>
        <w:pStyle w:val="Heading3"/>
      </w:pPr>
      <w:r>
        <w:t xml:space="preserve">Si tu as déjà utilisé des peptides du marché gris</w:t>
      </w:r>
    </w:p>
    <w:p>
      <w:pPr>
        <w:pStyle w:val="FirstParagraph"/>
      </w:pPr>
      <w:r>
        <w:t xml:space="preserve">Ce livre ne donne pas de conseils d’utilisation. Quelques points généraux sont toutefois importants pour des raisons de sécurité :</w:t>
      </w:r>
    </w:p>
    <w:p>
      <w:pPr>
        <w:numPr>
          <w:ilvl w:val="0"/>
          <w:numId w:val="1026"/>
        </w:numPr>
        <w:pStyle w:val="Compact"/>
      </w:pPr>
      <w:r>
        <w:t xml:space="preserve">Informe ton médecin de toutes les injections, de tous les peptides et de tous les « produits chimiques de recherche » que tu utilises – même si tu ne les considères pas comme des médicaments.</w:t>
      </w:r>
    </w:p>
    <w:p>
      <w:pPr>
        <w:numPr>
          <w:ilvl w:val="0"/>
          <w:numId w:val="1026"/>
        </w:numPr>
        <w:pStyle w:val="Compact"/>
      </w:pPr>
      <w:r>
        <w:t xml:space="preserve">Des troubles inattendus comme des tremblements, des sueurs, une confusion ou des troubles de la conscience après une injection peuvent indiquer une hypoglycémie et constituent une urgence.</w:t>
      </w:r>
    </w:p>
    <w:p>
      <w:pPr>
        <w:numPr>
          <w:ilvl w:val="0"/>
          <w:numId w:val="1026"/>
        </w:numPr>
        <w:pStyle w:val="Compact"/>
      </w:pPr>
      <w:r>
        <w:t xml:space="preserve">Les produits suspects et les effets indésirables peuvent être signalés aux autorités : en Allemagne à l’Institut fédéral des médicaments et des dispositifs médicaux (BfArM), en Autriche à l’Office fédéral pour la sécurité dans le domaine de la santé (BASG).</w:t>
      </w:r>
    </w:p>
    <w:bookmarkEnd w:id="210"/>
    <w:bookmarkStart w:id="211" w:name="lessentiel-en-bref-3"/>
    <w:p>
      <w:pPr>
        <w:pStyle w:val="Heading3"/>
      </w:pPr>
      <w:r>
        <w:t xml:space="preserve">L’essentiel en bref</w:t>
      </w:r>
    </w:p>
    <w:p>
      <w:pPr>
        <w:numPr>
          <w:ilvl w:val="0"/>
          <w:numId w:val="1027"/>
        </w:numPr>
        <w:pStyle w:val="Compact"/>
      </w:pPr>
      <w:r>
        <w:t xml:space="preserve">La mention « uniquement à des fins de recherche » ne protège pas contre les risques ; elle transfère la responsabilité aux acheteuses et acheteurs.</w:t>
      </w:r>
    </w:p>
    <w:p>
      <w:pPr>
        <w:numPr>
          <w:ilvl w:val="0"/>
          <w:numId w:val="1027"/>
        </w:numPr>
        <w:pStyle w:val="Compact"/>
      </w:pPr>
      <w:r>
        <w:t xml:space="preserve">Les analyses en laboratoire ont trouvé dans des peptides du marché gris trop, trop peu, la mauvaise ou aucune substance active, ainsi que des impuretés et des endotoxines.</w:t>
      </w:r>
    </w:p>
    <w:p>
      <w:pPr>
        <w:numPr>
          <w:ilvl w:val="0"/>
          <w:numId w:val="1027"/>
        </w:numPr>
        <w:pStyle w:val="Compact"/>
      </w:pPr>
      <w:r>
        <w:t xml:space="preserve">Des produits de sémaglutide falsifiés contenant de l’insuline ont provoqué des hypoglycémies mettant la vie en danger.</w:t>
      </w:r>
    </w:p>
    <w:p>
      <w:pPr>
        <w:numPr>
          <w:ilvl w:val="0"/>
          <w:numId w:val="1027"/>
        </w:numPr>
        <w:pStyle w:val="Compact"/>
      </w:pPr>
      <w:r>
        <w:t xml:space="preserve">Les préparations magistrales des pharmacies américaines ne sont pas non plus contrôlées comme des médicaments autorisés.</w:t>
      </w:r>
    </w:p>
    <w:p>
      <w:pPr>
        <w:numPr>
          <w:ilvl w:val="0"/>
          <w:numId w:val="1027"/>
        </w:numPr>
        <w:pStyle w:val="Compact"/>
      </w:pPr>
      <w:r>
        <w:t xml:space="preserve">Même un produit pur reste risqué si la substance n’a jamais été suffisamment étudiée chez l’humain.</w:t>
      </w:r>
    </w:p>
    <w:bookmarkEnd w:id="211"/>
    <w:bookmarkEnd w:id="212"/>
    <w:bookmarkStart w:id="230" w:name="cadre-juridique"/>
    <w:p>
      <w:pPr>
        <w:pStyle w:val="Heading2"/>
      </w:pPr>
      <w:r>
        <w:t xml:space="preserve">Cadre juridique</w:t>
      </w:r>
    </w:p>
    <w:p>
      <w:pPr>
        <w:pStyle w:val="FirstParagraph"/>
      </w:pPr>
      <w:r>
        <w:t xml:space="preserve">Qu’un peptide soit un médicament soumis à prescription, un complément alimentaire, un produit cosmétique ou un produit dopant interdit ne dépend pas uniquement de la molécule. Ce qui compte aussi, c’est sa destination, la manière dont il est proposé et son mode d’action dans l’organisme. Le même peptide de collagène peut se trouver en rayon au supermarché en tant que denrée alimentaire ; un peptide ayant un effet de type hormonal démontrable est en revanche presque toujours un médicament – quoi qu’il soit écrit sur l’étiquette. Ce chapitre donne une vue d’ensemble des règles en vigueur dans l’Union européenne, en Autriche, en Allemagne et aux États-Unis, ainsi que des règles antidopage.</w:t>
      </w:r>
    </w:p>
    <w:p>
      <w:pPr>
        <w:pStyle w:val="BlockText"/>
      </w:pPr>
      <w:r>
        <w:rPr>
          <w:bCs/>
          <w:b/>
        </w:rPr>
        <w:t xml:space="preserve">Avertissement important :</w:t>
      </w:r>
      <w:r>
        <w:t xml:space="preserve"> </w:t>
      </w:r>
      <w:r>
        <w:t xml:space="preserve">ce chapitre reflète l’état 2026 en toute bonne foi et ne constitue pas un conseil juridique. Les lois, les règlements, la pratique des autorités et la liste des interdictions de l’Agence mondiale antidopage changent régulièrement. Vérifie la situation juridique actuelle au cas par cas et, pour des questions concrètes, adresse-toi à une avocate, un avocat ou à l’autorité compétente.</w:t>
      </w:r>
    </w:p>
    <w:bookmarkStart w:id="213" w:name="Xba2b7c14a81c15c818cb84ff2d359acec80da6b"/>
    <w:p>
      <w:pPr>
        <w:pStyle w:val="Heading3"/>
      </w:pPr>
      <w:r>
        <w:t xml:space="preserve">Trois tiroirs : médicaments, denrées alimentaires, cosmétiques</w:t>
      </w:r>
    </w:p>
    <w:p>
      <w:pPr>
        <w:pStyle w:val="FirstParagraph"/>
      </w:pPr>
      <w:r>
        <w:t xml:space="preserve">Le droit européen distingue pour l’essentiel trois catégories de produits dans lesquelles les peptides peuvent entrer. Chacune a ses propres règles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Catégorie</w:t>
            </w:r>
          </w:p>
        </w:tc>
        <w:tc>
          <w:tcPr/>
          <w:p>
            <w:pPr>
              <w:pStyle w:val="Compact"/>
              <w:jc w:val="left"/>
            </w:pPr>
            <w:r>
              <w:t xml:space="preserve">Contrôle des autorités avant la vente</w:t>
            </w:r>
          </w:p>
        </w:tc>
        <w:tc>
          <w:tcPr/>
          <w:p>
            <w:pPr>
              <w:pStyle w:val="Compact"/>
              <w:jc w:val="left"/>
            </w:pPr>
            <w:r>
              <w:t xml:space="preserve">Peptides typiques</w:t>
            </w:r>
          </w:p>
        </w:tc>
      </w:tr>
      <w:tr>
        <w:tc>
          <w:tcPr/>
          <w:p>
            <w:pPr>
              <w:pStyle w:val="Compact"/>
              <w:jc w:val="left"/>
            </w:pPr>
            <w:r>
              <w:t xml:space="preserve">Médicament</w:t>
            </w:r>
          </w:p>
        </w:tc>
        <w:tc>
          <w:tcPr/>
          <w:p>
            <w:pPr>
              <w:pStyle w:val="Compact"/>
              <w:jc w:val="left"/>
            </w:pPr>
            <w:r>
              <w:t xml:space="preserve">autorisation avec preuve d’efficacité et de sécurité</w:t>
            </w:r>
          </w:p>
        </w:tc>
        <w:tc>
          <w:tcPr/>
          <w:p>
            <w:pPr>
              <w:pStyle w:val="Compact"/>
              <w:jc w:val="left"/>
            </w:pPr>
            <w:r>
              <w:t xml:space="preserve">insuline, sémaglutide, ocytocine</w:t>
            </w:r>
          </w:p>
        </w:tc>
      </w:tr>
      <w:tr>
        <w:tc>
          <w:tcPr/>
          <w:p>
            <w:pPr>
              <w:pStyle w:val="Compact"/>
              <w:jc w:val="left"/>
            </w:pPr>
            <w:r>
              <w:t xml:space="preserve">Denrée alimentaire et complément alimentaire</w:t>
            </w:r>
          </w:p>
        </w:tc>
        <w:tc>
          <w:tcPr/>
          <w:p>
            <w:pPr>
              <w:pStyle w:val="Compact"/>
              <w:jc w:val="left"/>
            </w:pPr>
            <w:r>
              <w:t xml:space="preserve">aucune autorisation, fabricant responsable</w:t>
            </w:r>
          </w:p>
        </w:tc>
        <w:tc>
          <w:tcPr/>
          <w:p>
            <w:pPr>
              <w:pStyle w:val="Compact"/>
              <w:jc w:val="left"/>
            </w:pPr>
            <w:r>
              <w:t xml:space="preserve">peptides de collagène, peptides du lait</w:t>
            </w:r>
          </w:p>
        </w:tc>
      </w:tr>
      <w:tr>
        <w:tc>
          <w:tcPr/>
          <w:p>
            <w:pPr>
              <w:pStyle w:val="Compact"/>
              <w:jc w:val="left"/>
            </w:pPr>
            <w:r>
              <w:t xml:space="preserve">Cosmétique</w:t>
            </w:r>
          </w:p>
        </w:tc>
        <w:tc>
          <w:tcPr/>
          <w:p>
            <w:pPr>
              <w:pStyle w:val="Compact"/>
              <w:jc w:val="left"/>
            </w:pPr>
            <w:r>
              <w:t xml:space="preserve">aucune autorisation, évaluation de la sécurité par le fabricant</w:t>
            </w:r>
          </w:p>
        </w:tc>
        <w:tc>
          <w:tcPr/>
          <w:p>
            <w:pPr>
              <w:pStyle w:val="Compact"/>
              <w:jc w:val="left"/>
            </w:pPr>
            <w:r>
              <w:t xml:space="preserve">palmitoyl pentapeptide-4, Argireline</w:t>
            </w:r>
          </w:p>
        </w:tc>
      </w:tr>
    </w:tbl>
    <w:p>
      <w:pPr>
        <w:pStyle w:val="BodyText"/>
      </w:pPr>
      <w:r>
        <w:t xml:space="preserve">S’y ajoutent des substances qui n’entrent légalement dans aucune de ces catégories – par exemple des substances actives non autorisées ayant un effet pharmacologique, vendues comme « produits chimiques de recherche ». Pour elles, il n’existe aucune voie légale de commercialisation en tant que produit destiné à un usage chez l’humain.</w:t>
      </w:r>
    </w:p>
    <w:bookmarkEnd w:id="213"/>
    <w:bookmarkStart w:id="214" w:name="ce-quest-un-médicament"/>
    <w:p>
      <w:pPr>
        <w:pStyle w:val="Heading3"/>
      </w:pPr>
      <w:r>
        <w:t xml:space="preserve">Ce qu’est un médicament</w:t>
      </w:r>
    </w:p>
    <w:p>
      <w:pPr>
        <w:pStyle w:val="FirstParagraph"/>
      </w:pPr>
      <w:r>
        <w:t xml:space="preserve">Dans l’UE, la définition du médicament est fixée par une directive (directive 2001/83/CE) et transposée dans les lois nationales sur le médicament. Elle a deux volets :</w:t>
      </w:r>
    </w:p>
    <w:p>
      <w:pPr>
        <w:numPr>
          <w:ilvl w:val="0"/>
          <w:numId w:val="1028"/>
        </w:numPr>
        <w:pStyle w:val="Compact"/>
      </w:pPr>
      <w:r>
        <w:rPr>
          <w:bCs/>
          <w:b/>
        </w:rPr>
        <w:t xml:space="preserve">Médicament par présentation</w:t>
      </w:r>
      <w:r>
        <w:t xml:space="preserve"> </w:t>
      </w:r>
      <w:r>
        <w:t xml:space="preserve">: un produit est un médicament s’il est</w:t>
      </w:r>
      <w:r>
        <w:t xml:space="preserve"> </w:t>
      </w:r>
      <w:r>
        <w:rPr>
          <w:bCs/>
          <w:b/>
        </w:rPr>
        <w:t xml:space="preserve">présenté</w:t>
      </w:r>
      <w:r>
        <w:t xml:space="preserve"> </w:t>
      </w:r>
      <w:r>
        <w:t xml:space="preserve">comme possédant des propriétés curatives ou préventives à l’égard des maladies. Une publicité affirmant par exemple « accélère la guérison des lésions tendineuses » peut déjà faire d’un produit un médicament.</w:t>
      </w:r>
    </w:p>
    <w:p>
      <w:pPr>
        <w:numPr>
          <w:ilvl w:val="0"/>
          <w:numId w:val="1028"/>
        </w:numPr>
        <w:pStyle w:val="Compact"/>
      </w:pPr>
      <w:r>
        <w:rPr>
          <w:bCs/>
          <w:b/>
        </w:rPr>
        <w:t xml:space="preserve">Médicament par fonction</w:t>
      </w:r>
      <w:r>
        <w:t xml:space="preserve"> </w:t>
      </w:r>
      <w:r>
        <w:t xml:space="preserve">: un produit est un médicament s’il peut restaurer, corriger ou modifier les fonctions physiologiques humaines en exerçant une</w:t>
      </w:r>
      <w:r>
        <w:t xml:space="preserve"> </w:t>
      </w:r>
      <w:r>
        <w:rPr>
          <w:bCs/>
          <w:b/>
        </w:rPr>
        <w:t xml:space="preserve">action pharmacologique, immunologique ou métabolique</w:t>
      </w:r>
      <w:r>
        <w:t xml:space="preserve"> </w:t>
      </w:r>
      <w:r>
        <w:t xml:space="preserve">– quelle que soit la manière dont il est promu.</w:t>
      </w:r>
    </w:p>
    <w:p>
      <w:pPr>
        <w:pStyle w:val="FirstParagraph"/>
      </w:pPr>
      <w:r>
        <w:t xml:space="preserve">Lorsqu’un produit relève à la fois de la définition d’un médicament et de celle d’un autre produit, c’est en cas de doute le droit du médicament qui prévaut selon cette directive. Pour les peptides à effet de type hormonal – par exemple les stimulateurs de la sécrétion d’hormone de croissance, les analogues du GLP-1 ou le Melanotan –, cela signifie qu’ils sont en règle générale des médicaments, même lorsqu’ils sont déclarés comme compléments alimentaires, cosmétiques ou « produits chimiques de recherche ».</w:t>
      </w:r>
    </w:p>
    <w:bookmarkEnd w:id="214"/>
    <w:bookmarkStart w:id="215" w:name="lautorisation-dans-lue"/>
    <w:p>
      <w:pPr>
        <w:pStyle w:val="Heading3"/>
      </w:pPr>
      <w:r>
        <w:t xml:space="preserve">L’autorisation dans l’UE</w:t>
      </w:r>
    </w:p>
    <w:p>
      <w:pPr>
        <w:pStyle w:val="FirstParagraph"/>
      </w:pPr>
      <w:r>
        <w:t xml:space="preserve">Un médicament ne peut être mis sur le marché dans l’UE que s’il est autorisé. Pour l’autorisation, le fabricant doit présenter des données sur la qualité, l’efficacité et l’innocuité – en règle générale issues des études de phase 3 décrites dans le chapitre « Bien lire les études ».</w:t>
      </w:r>
    </w:p>
    <w:p>
      <w:pPr>
        <w:pStyle w:val="BodyText"/>
      </w:pPr>
      <w:r>
        <w:t xml:space="preserve">Il existe deux voies principales :</w:t>
      </w:r>
    </w:p>
    <w:p>
      <w:pPr>
        <w:numPr>
          <w:ilvl w:val="0"/>
          <w:numId w:val="1029"/>
        </w:numPr>
        <w:pStyle w:val="Compact"/>
      </w:pPr>
      <w:r>
        <w:t xml:space="preserve">La</w:t>
      </w:r>
      <w:r>
        <w:t xml:space="preserve"> </w:t>
      </w:r>
      <w:r>
        <w:rPr>
          <w:bCs/>
          <w:b/>
        </w:rPr>
        <w:t xml:space="preserve">procédure centralisée</w:t>
      </w:r>
      <w:r>
        <w:t xml:space="preserve"> </w:t>
      </w:r>
      <w:r>
        <w:t xml:space="preserve">auprès de l’Agence européenne des médicaments (EMA). L’autorisation est alors valable dans tous les États membres. Cette voie est obligatoire pour les médicaments issus des biotechnologies et pour les nouvelles substances actives destinées à certaines maladies – dont le diabète. La plupart des médicaments peptidiques modernes sont autorisés par la procédure centralisée.</w:t>
      </w:r>
    </w:p>
    <w:p>
      <w:pPr>
        <w:numPr>
          <w:ilvl w:val="0"/>
          <w:numId w:val="1029"/>
        </w:numPr>
        <w:pStyle w:val="Compact"/>
      </w:pPr>
      <w:r>
        <w:t xml:space="preserve">Les</w:t>
      </w:r>
      <w:r>
        <w:t xml:space="preserve"> </w:t>
      </w:r>
      <w:r>
        <w:rPr>
          <w:bCs/>
          <w:b/>
        </w:rPr>
        <w:t xml:space="preserve">procédures nationales et décentralisées</w:t>
      </w:r>
      <w:r>
        <w:t xml:space="preserve"> </w:t>
      </w:r>
      <w:r>
        <w:t xml:space="preserve">auprès des autorités des États membres, en Autriche l’Office fédéral pour la sécurité dans le domaine de la santé (BASG), en Allemagne l’Institut fédéral des médicaments et des dispositifs médicaux (BfArM) ou, pour certains médicaments biologiques, l’Institut Paul-Ehrlich.</w:t>
      </w:r>
    </w:p>
    <w:p>
      <w:pPr>
        <w:pStyle w:val="FirstParagraph"/>
      </w:pPr>
      <w:r>
        <w:t xml:space="preserve">L’autorisation détermine également si un médicament est</w:t>
      </w:r>
      <w:r>
        <w:t xml:space="preserve"> </w:t>
      </w:r>
      <w:r>
        <w:rPr>
          <w:bCs/>
          <w:b/>
        </w:rPr>
        <w:t xml:space="preserve">soumis à prescription</w:t>
      </w:r>
      <w:r>
        <w:t xml:space="preserve">. C’est le cas de presque tous les médicaments peptidiques. Les indications précises, les posologies, les contre-indications et les effets indésirables figurent dans le</w:t>
      </w:r>
      <w:r>
        <w:t xml:space="preserve"> </w:t>
      </w:r>
      <w:r>
        <w:rPr>
          <w:bCs/>
          <w:b/>
        </w:rPr>
        <w:t xml:space="preserve">résumé des caractéristiques du produit</w:t>
      </w:r>
      <w:r>
        <w:t xml:space="preserve"> </w:t>
      </w:r>
      <w:r>
        <w:t xml:space="preserve">(pour les professionnels) et dans la</w:t>
      </w:r>
      <w:r>
        <w:t xml:space="preserve"> </w:t>
      </w:r>
      <w:r>
        <w:rPr>
          <w:bCs/>
          <w:b/>
        </w:rPr>
        <w:t xml:space="preserve">notice</w:t>
      </w:r>
      <w:r>
        <w:t xml:space="preserve"> </w:t>
      </w:r>
      <w:r>
        <w:t xml:space="preserve">(destinée aux patients). L’autorisation vaut pour des indications déterminées. Les médecins peuvent, sous certaines conditions, prescrire un médicament autorisé en dehors de ces indications (« usage hors AMM », en anglais off-label use), mais ils portent alors une responsabilité accrue en matière d’information et de pondération des risques ; les coûts ne sont en général pas pris en charge par l’assurance maladie.</w:t>
      </w:r>
    </w:p>
    <w:p>
      <w:pPr>
        <w:pStyle w:val="BodyText"/>
      </w:pPr>
      <w:r>
        <w:t xml:space="preserve">Certains peptides mentionnés dans ce livre sont autorisés dans d’autres pays, mais pas dans l’UE – par exemple certaines préparations utilisées en Russie. Une autorisation étrangère ne rend pas un produit commercialisable dans l’UE.</w:t>
      </w:r>
    </w:p>
    <w:bookmarkEnd w:id="215"/>
    <w:bookmarkStart w:id="217" w:name="les-compléments-alimentaires"/>
    <w:p>
      <w:pPr>
        <w:pStyle w:val="Heading3"/>
      </w:pPr>
      <w:r>
        <w:t xml:space="preserve">Les compléments alimentaires</w:t>
      </w:r>
    </w:p>
    <w:p>
      <w:pPr>
        <w:pStyle w:val="FirstParagraph"/>
      </w:pPr>
      <w:r>
        <w:t xml:space="preserve">Les compléments alimentaires sont juridiquement des denrées alimentaires. Ils sont destinés à compléter le régime alimentaire normal et contiennent des nutriments ou d’autres substances ayant un effet nutritionnel ou physiologique (directive 2002/46/CE). Ils ne nécessitent</w:t>
      </w:r>
      <w:r>
        <w:t xml:space="preserve"> </w:t>
      </w:r>
      <w:r>
        <w:rPr>
          <w:bCs/>
          <w:b/>
        </w:rPr>
        <w:t xml:space="preserve">aucune autorisation</w:t>
      </w:r>
      <w:r>
        <w:t xml:space="preserve">. Selon le pays, ils doivent être déclarés à une autorité avant leur première mise en vente ; en Allemagne, par exemple, auprès de l’Office fédéral de la protection des consommateurs et de la sécurité alimentaire. Le fabricant est responsable de la sécurité ; les contrôles sont effectués par sondage par les services de contrôle des denrées alimentaires.</w:t>
      </w:r>
    </w:p>
    <w:p>
      <w:pPr>
        <w:pStyle w:val="BodyText"/>
      </w:pPr>
      <w:r>
        <w:t xml:space="preserve">Limites importantes :</w:t>
      </w:r>
    </w:p>
    <w:p>
      <w:pPr>
        <w:numPr>
          <w:ilvl w:val="0"/>
          <w:numId w:val="1030"/>
        </w:numPr>
        <w:pStyle w:val="Compact"/>
      </w:pPr>
      <w:r>
        <w:t xml:space="preserve">Une substance ayant un effet pharmacologique ne peut pas être un complément alimentaire. Si elle est néanmoins vendue comme tel, il s’agit d’un médicament non autorisé.</w:t>
      </w:r>
    </w:p>
    <w:p>
      <w:pPr>
        <w:numPr>
          <w:ilvl w:val="0"/>
          <w:numId w:val="1030"/>
        </w:numPr>
        <w:pStyle w:val="Compact"/>
      </w:pPr>
      <w:r>
        <w:t xml:space="preserve">Les</w:t>
      </w:r>
      <w:r>
        <w:t xml:space="preserve"> </w:t>
      </w:r>
      <w:r>
        <w:rPr>
          <w:bCs/>
          <w:b/>
        </w:rPr>
        <w:t xml:space="preserve">allégations de santé</w:t>
      </w:r>
      <w:r>
        <w:t xml:space="preserve"> </w:t>
      </w:r>
      <w:r>
        <w:t xml:space="preserve">comme « soutient les articulations » ou « fait baisser la pression artérielle » ne sont autorisées que si elles ont été approuvées par l’UE après examen par l’Autorité européenne de sécurité des aliments (EFSA) et figurent sur une liste (règlement (CE) n° 1924/2006). Pour de nombreux effets vantés des denrées alimentaires à base de peptides, il n’existe à notre connaissance aucune allégation autorisée. Une publicité qui promet malgré tout un tel effet est illicite.</w:t>
      </w:r>
    </w:p>
    <w:p>
      <w:pPr>
        <w:numPr>
          <w:ilvl w:val="0"/>
          <w:numId w:val="1030"/>
        </w:numPr>
        <w:pStyle w:val="Compact"/>
      </w:pPr>
      <w:r>
        <w:t xml:space="preserve">Les</w:t>
      </w:r>
      <w:r>
        <w:t xml:space="preserve"> </w:t>
      </w:r>
      <w:r>
        <w:rPr>
          <w:bCs/>
          <w:b/>
        </w:rPr>
        <w:t xml:space="preserve">allégations relatives à des maladies</w:t>
      </w:r>
      <w:r>
        <w:t xml:space="preserve"> </w:t>
      </w:r>
      <w:r>
        <w:t xml:space="preserve">(par exemple « agit contre l’arthrose ») sont de manière générale interdites pour les denrées alimentaires.</w:t>
      </w:r>
    </w:p>
    <w:p>
      <w:pPr>
        <w:pStyle w:val="FirstParagraph"/>
      </w:pPr>
      <w:r>
        <w:t xml:space="preserve">Un cas issu d’un laboratoire antidopage montre que les compléments alimentaires ne sont pas non plus exempts de substances interdites : dans des comprimés proposés comme compléments alimentaires en vente libre, le peptide libérateur d’hormone de croissance GHRP-2 a été détecté</w:t>
      </w:r>
      <w:r>
        <w:rPr>
          <w:rStyle w:val="FootnoteReference"/>
        </w:rPr>
        <w:footnoteReference w:id="216"/>
      </w:r>
      <w:r>
        <w:t xml:space="preserve">.</w:t>
      </w:r>
    </w:p>
    <w:bookmarkEnd w:id="217"/>
    <w:bookmarkStart w:id="218" w:name="les-nouveaux-aliments-novel-food"/>
    <w:p>
      <w:pPr>
        <w:pStyle w:val="Heading3"/>
      </w:pPr>
      <w:r>
        <w:t xml:space="preserve">Les nouveaux aliments (novel food)</w:t>
      </w:r>
    </w:p>
    <w:p>
      <w:pPr>
        <w:pStyle w:val="FirstParagraph"/>
      </w:pPr>
      <w:r>
        <w:t xml:space="preserve">Le</w:t>
      </w:r>
      <w:r>
        <w:t xml:space="preserve"> </w:t>
      </w:r>
      <w:r>
        <w:rPr>
          <w:bCs/>
          <w:b/>
        </w:rPr>
        <w:t xml:space="preserve">règlement sur les nouveaux aliments</w:t>
      </w:r>
      <w:r>
        <w:t xml:space="preserve"> </w:t>
      </w:r>
      <w:r>
        <w:t xml:space="preserve">(règlement (UE) 2015/2283) constitue un obstacle spécifique pour les denrées alimentaires. Sont considérés comme « nouveaux » les aliments et ingrédients qui n’étaient pas utilisés de manière significative pour la consommation humaine dans l’UE avant le 15 mai 1997. Ils ne peuvent être vendus qu’après une évaluation de leur sécurité et une autorisation de l’UE.</w:t>
      </w:r>
    </w:p>
    <w:p>
      <w:pPr>
        <w:pStyle w:val="BodyText"/>
      </w:pPr>
      <w:r>
        <w:t xml:space="preserve">Pour les peptides, cela signifie que les hydrolysats de collagène issus de la gélatine ont un long historique de consommation et ne sont pas de nouveaux aliments. Un peptide nouvellement synthétisé sans historique de consommation, destiné à être vendu comme denrée alimentaire, serait en revanche en principe un nouvel aliment et nécessiterait une autorisation – à moins qu’il ne doive de toute façon être classé comme médicament en raison de son effet pharmacologique. Le statut de nouvel aliment d’une substance doit être examiné au cas par cas ; la Commission européenne tient un catalogue à cet effet.</w:t>
      </w:r>
    </w:p>
    <w:bookmarkEnd w:id="218"/>
    <w:bookmarkStart w:id="219" w:name="les-cosmétiques"/>
    <w:p>
      <w:pPr>
        <w:pStyle w:val="Heading3"/>
      </w:pPr>
      <w:r>
        <w:t xml:space="preserve">Les cosmétiques</w:t>
      </w:r>
    </w:p>
    <w:p>
      <w:pPr>
        <w:pStyle w:val="FirstParagraph"/>
      </w:pPr>
      <w:r>
        <w:t xml:space="preserve">Dans l’UE, les produits cosmétiques sont régis par le règlement sur les cosmétiques (règlement (CE) n° 1223/2009). Ils sont destinés à être appliqués sur la peau, les cheveux, les ongles, les lèvres, les dents ou les muqueuses de la cavité buccale – pour les nettoyer, les entretenir, les protéger ou modifier leur aspect.</w:t>
      </w:r>
    </w:p>
    <w:p>
      <w:pPr>
        <w:numPr>
          <w:ilvl w:val="0"/>
          <w:numId w:val="1031"/>
        </w:numPr>
        <w:pStyle w:val="Compact"/>
      </w:pPr>
      <w:r>
        <w:t xml:space="preserve">Les cosmétiques ne nécessitent</w:t>
      </w:r>
      <w:r>
        <w:t xml:space="preserve"> </w:t>
      </w:r>
      <w:r>
        <w:rPr>
          <w:bCs/>
          <w:b/>
        </w:rPr>
        <w:t xml:space="preserve">aucune autorisation</w:t>
      </w:r>
      <w:r>
        <w:t xml:space="preserve">. Une personne responsable établie dans l’UE doit toutefois présenter une évaluation de la sécurité et notifier le produit sur un portail de l’UE avant sa mise en vente.</w:t>
      </w:r>
    </w:p>
    <w:p>
      <w:pPr>
        <w:numPr>
          <w:ilvl w:val="0"/>
          <w:numId w:val="1031"/>
        </w:numPr>
        <w:pStyle w:val="Compact"/>
      </w:pPr>
      <w:r>
        <w:t xml:space="preserve">Certaines substances sont interdites ou soumises à restrictions.</w:t>
      </w:r>
    </w:p>
    <w:p>
      <w:pPr>
        <w:numPr>
          <w:ilvl w:val="0"/>
          <w:numId w:val="1031"/>
        </w:numPr>
        <w:pStyle w:val="Compact"/>
      </w:pPr>
      <w:r>
        <w:t xml:space="preserve">Les allégations publicitaires doivent pouvoir être justifiées et ne doivent pas être trompeuses. Les allégations relatives au traitement de maladies sont interdites.</w:t>
      </w:r>
    </w:p>
    <w:p>
      <w:pPr>
        <w:numPr>
          <w:ilvl w:val="0"/>
          <w:numId w:val="1031"/>
        </w:numPr>
        <w:pStyle w:val="Compact"/>
      </w:pPr>
      <w:r>
        <w:rPr>
          <w:bCs/>
          <w:b/>
        </w:rPr>
        <w:t xml:space="preserve">Ce qui est injecté n’est jamais un cosmétique.</w:t>
      </w:r>
      <w:r>
        <w:t xml:space="preserve"> </w:t>
      </w:r>
      <w:r>
        <w:t xml:space="preserve">Les injections ne relèvent pas de la définition des produits cosmétiques.</w:t>
      </w:r>
    </w:p>
    <w:p>
      <w:pPr>
        <w:pStyle w:val="FirstParagraph"/>
      </w:pPr>
      <w:r>
        <w:t xml:space="preserve">Les peptides cosmétiques comme le palmitoyl pentapeptide-4 ou l’acétyl hexapeptide-8 sont donc légaux dans les crèmes et les sérums. Un peptide comme le Melanotan II, injecté sous la peau et agissant dans tout l’organisme, n’est en revanche pas un cosmétique, même s’il est vanté comme « produit bronzant ».</w:t>
      </w:r>
    </w:p>
    <w:bookmarkEnd w:id="219"/>
    <w:bookmarkStart w:id="220" w:name="lautriche"/>
    <w:p>
      <w:pPr>
        <w:pStyle w:val="Heading3"/>
      </w:pPr>
      <w:r>
        <w:t xml:space="preserve">L’Autriche</w:t>
      </w:r>
    </w:p>
    <w:p>
      <w:pPr>
        <w:pStyle w:val="FirstParagraph"/>
      </w:pPr>
      <w:r>
        <w:t xml:space="preserve">En Autriche, la</w:t>
      </w:r>
      <w:r>
        <w:t xml:space="preserve"> </w:t>
      </w:r>
      <w:r>
        <w:rPr>
          <w:bCs/>
          <w:b/>
        </w:rPr>
        <w:t xml:space="preserve">loi sur les médicaments (Arzneimittelgesetz, AMG)</w:t>
      </w:r>
      <w:r>
        <w:t xml:space="preserve"> </w:t>
      </w:r>
      <w:r>
        <w:t xml:space="preserve">régit l’autorisation, la fabrication et la délivrance des médicaments. L’autorité compétente pour l’autorisation et la surveillance est l’Office fédéral pour la sécurité dans le domaine de la santé (BASG) avec la surveillance du marché des produits médicaux de l’AGES. Les médicaments soumis à prescription ne sont délivrés qu’en pharmacie sur ordonnance ; la vente par correspondance des pharmacies est limitée aux médicaments non soumis à prescription.</w:t>
      </w:r>
    </w:p>
    <w:p>
      <w:pPr>
        <w:pStyle w:val="BodyText"/>
      </w:pPr>
      <w:r>
        <w:t xml:space="preserve">L’importation de médicaments est régie par la</w:t>
      </w:r>
      <w:r>
        <w:t xml:space="preserve"> </w:t>
      </w:r>
      <w:r>
        <w:rPr>
          <w:bCs/>
          <w:b/>
        </w:rPr>
        <w:t xml:space="preserve">loi sur l’importation des médicaments (Arzneiwareneinfuhrgesetz)</w:t>
      </w:r>
      <w:r>
        <w:t xml:space="preserve">. Les particuliers ne peuvent importer des médicaments que sous certaines conditions et en quantités correspondant à leurs besoins personnels ; des règles plus strictes s’appliquent aux commandes en provenance de pays situés hors de l’Espace économique européen. Les substances non autorisées provenant de boutiques de « produits chimiques de recherche » ne remplissent en règle générale pas ces conditions. La douane peut saisir de tels envois.</w:t>
      </w:r>
    </w:p>
    <w:p>
      <w:pPr>
        <w:pStyle w:val="BodyText"/>
      </w:pPr>
      <w:r>
        <w:t xml:space="preserve">Pour le sport, c’est la</w:t>
      </w:r>
      <w:r>
        <w:t xml:space="preserve"> </w:t>
      </w:r>
      <w:r>
        <w:rPr>
          <w:bCs/>
          <w:b/>
        </w:rPr>
        <w:t xml:space="preserve">loi fédérale antidopage de 2021 (Anti-Doping-Bundesgesetz 2021)</w:t>
      </w:r>
      <w:r>
        <w:t xml:space="preserve"> </w:t>
      </w:r>
      <w:r>
        <w:t xml:space="preserve">qui s’applique. Elle renvoie à la liste des interdictions de l’Agence mondiale antidopage et contient des interdictions et des dispositions pénales, en particulier pour la mise sur le marché et la cession de substances interdites. L’organisme compétent pour les contrôles est l’Agence nationale antidopage autrichienne (NADA Austria).</w:t>
      </w:r>
    </w:p>
    <w:p>
      <w:pPr>
        <w:pStyle w:val="BodyText"/>
      </w:pPr>
      <w:r>
        <w:t xml:space="preserve">État 2026, à vérifier.</w:t>
      </w:r>
    </w:p>
    <w:bookmarkEnd w:id="220"/>
    <w:bookmarkStart w:id="221" w:name="lallemagne"/>
    <w:p>
      <w:pPr>
        <w:pStyle w:val="Heading3"/>
      </w:pPr>
      <w:r>
        <w:t xml:space="preserve">L’Allemagne</w:t>
      </w:r>
    </w:p>
    <w:p>
      <w:pPr>
        <w:pStyle w:val="FirstParagraph"/>
      </w:pPr>
      <w:r>
        <w:t xml:space="preserve">En Allemagne s’applique la</w:t>
      </w:r>
      <w:r>
        <w:t xml:space="preserve"> </w:t>
      </w:r>
      <w:r>
        <w:rPr>
          <w:bCs/>
          <w:b/>
        </w:rPr>
        <w:t xml:space="preserve">loi sur les médicaments (Arzneimittelgesetz, AMG)</w:t>
      </w:r>
      <w:r>
        <w:t xml:space="preserve">. Les autorités d’autorisation sont le BfArM et l’Institut Paul-Ehrlich. Les médicaments soumis à prescription ne peuvent être délivrés que sur ordonnance, y compris dans le cadre de la vente par correspondance par des pharmacies en ligne agréées.</w:t>
      </w:r>
    </w:p>
    <w:p>
      <w:pPr>
        <w:pStyle w:val="BodyText"/>
      </w:pPr>
      <w:r>
        <w:t xml:space="preserve">Pour l’importation, il existe en principe une interdiction d’introduire en Allemagne des médicaments non autorisés. Une exception existe pour les besoins personnels lorsque le médicament est légalement commercialisé dans le pays d’origine et qu’il est obtenu dans un État membre de l’UE ou de l’Espace économique européen sans intermédiation commerciale ; il existe en outre des règles spéciales strictement limitées. Pour les peptides du marché gris, qui ne sont autorisés nulle part comme médicaments, cette exception ne s’applique pas selon notre compréhension.</w:t>
      </w:r>
    </w:p>
    <w:p>
      <w:pPr>
        <w:pStyle w:val="BodyText"/>
      </w:pPr>
      <w:r>
        <w:t xml:space="preserve">Quiconque fabrique, met sur le marché ou cède à d’autres des médicaments sans autorisation peut être pénalement poursuivi en vertu de l’AMG. Cela vaut en particulier pour les médicaments dits dangereux, pour lesquels il existe un soupçon fondé d’effets nocifs.</w:t>
      </w:r>
    </w:p>
    <w:p>
      <w:pPr>
        <w:pStyle w:val="BodyText"/>
      </w:pPr>
      <w:r>
        <w:t xml:space="preserve">Pour le sport s’applique en outre la</w:t>
      </w:r>
      <w:r>
        <w:t xml:space="preserve"> </w:t>
      </w:r>
      <w:r>
        <w:rPr>
          <w:bCs/>
          <w:b/>
        </w:rPr>
        <w:t xml:space="preserve">loi antidopage (Anti-Doping-Gesetz, AntiDopG)</w:t>
      </w:r>
      <w:r>
        <w:t xml:space="preserve">. Elle interdit notamment la fabrication, le commerce et la mise sur le marché de produits dopants ainsi que leur administration à autrui. L’acquisition et la détention de certaines substances énumérées dans une annexe de la loi – dont les hormones peptidiques – sont punissables en quantité non négligeable à des fins de dopage. Pour les sportives et sportifs de haut niveau, l’autodopage est également punissable. L’organisme compétent pour les contrôles est l’Agence nationale antidopage allemande (NADA).</w:t>
      </w:r>
    </w:p>
    <w:p>
      <w:pPr>
        <w:pStyle w:val="BodyText"/>
      </w:pPr>
      <w:r>
        <w:t xml:space="preserve">État 2026, à vérifier.</w:t>
      </w:r>
    </w:p>
    <w:bookmarkEnd w:id="221"/>
    <w:bookmarkStart w:id="224" w:name="les-états-unis"/>
    <w:p>
      <w:pPr>
        <w:pStyle w:val="Heading3"/>
      </w:pPr>
      <w:r>
        <w:t xml:space="preserve">Les États-Unis</w:t>
      </w:r>
    </w:p>
    <w:p>
      <w:pPr>
        <w:pStyle w:val="FirstParagraph"/>
      </w:pPr>
      <w:r>
        <w:t xml:space="preserve">Aux États-Unis, c’est la</w:t>
      </w:r>
      <w:r>
        <w:t xml:space="preserve"> </w:t>
      </w:r>
      <w:r>
        <w:rPr>
          <w:bCs/>
          <w:b/>
        </w:rPr>
        <w:t xml:space="preserve">Food and Drug Administration (FDA)</w:t>
      </w:r>
      <w:r>
        <w:t xml:space="preserve"> </w:t>
      </w:r>
      <w:r>
        <w:t xml:space="preserve">qui est compétente. Les nouveaux médicaments nécessitent une autorisation (pour les substances actives obtenues par synthèse chimique, via une « New Drug Application » ; pour les substances actives biologiques, via une « Biologics License Application »).</w:t>
      </w:r>
    </w:p>
    <w:p>
      <w:pPr>
        <w:pStyle w:val="BodyText"/>
      </w:pPr>
      <w:r>
        <w:t xml:space="preserve">Les</w:t>
      </w:r>
      <w:r>
        <w:t xml:space="preserve"> </w:t>
      </w:r>
      <w:r>
        <w:rPr>
          <w:bCs/>
          <w:b/>
        </w:rPr>
        <w:t xml:space="preserve">compléments alimentaires</w:t>
      </w:r>
      <w:r>
        <w:t xml:space="preserve"> </w:t>
      </w:r>
      <w:r>
        <w:t xml:space="preserve">(dietary supplements) peuvent, depuis une loi de 1994, être commercialisés en grande partie sans contrôle préalable. Une substance d’abord autorisée comme médicament ou étudiée cliniquement à grande échelle comme médicament ne peut toutefois en principe pas être vendue ultérieurement comme complément alimentaire. Pour cette raison, de nombreux peptides ne peuvent pas être commercialisés légalement comme compléments aux États-Unis.</w:t>
      </w:r>
    </w:p>
    <w:p>
      <w:pPr>
        <w:pStyle w:val="BodyText"/>
      </w:pPr>
      <w:r>
        <w:rPr>
          <w:bCs/>
          <w:b/>
        </w:rPr>
        <w:t xml:space="preserve">Préparations magistrales (compounding)</w:t>
      </w:r>
      <w:r>
        <w:t xml:space="preserve"> </w:t>
      </w:r>
      <w:r>
        <w:t xml:space="preserve">: les pharmacies américaines peuvent, sous certaines conditions, préparer elles-mêmes des médicaments – individuellement pour des patientes et patients déterminés ou à plus grande échelle dans des établissements soumis à une surveillance particulière. En cas de pénurie de médicaments autorisés, elles peuvent aussi en fabriquer des copies. Depuis la fin des pénuries de sémaglutide et de tirzépatide, le droit américain ne les autorise plus qu’à fabriquer des préparations différentes</w:t>
      </w:r>
      <w:r>
        <w:rPr>
          <w:rStyle w:val="FootnoteReference"/>
        </w:rPr>
        <w:footnoteReference w:id="222"/>
      </w:r>
      <w:r>
        <w:t xml:space="preserve">. La FDA fixe dans des listes les substances qui peuvent être utilisées comme matières premières pour les préparations magistrales. À notre connaissance, la FDA a classé plusieurs peptides populaires du marché gris, dont le BPC-157, comme inadaptés aux préparations magistrales en raison de préoccupations de sécurité. Ces listes et le débat politique à leur sujet évoluent ; vérifie la situation actuelle.</w:t>
      </w:r>
    </w:p>
    <w:p>
      <w:pPr>
        <w:pStyle w:val="BodyText"/>
      </w:pPr>
      <w:r>
        <w:rPr>
          <w:bCs/>
          <w:b/>
        </w:rPr>
        <w:t xml:space="preserve">« Research Use Only »</w:t>
      </w:r>
      <w:r>
        <w:t xml:space="preserve"> </w:t>
      </w:r>
      <w:r>
        <w:t xml:space="preserve">: la vente aux consommatrices et consommateurs de peptides portant la mention « uniquement à des fins de recherche » se situe aussi aux États-Unis dans une zone grise juridique, que des spécialistes décrivent comme un contournement de l’obligation de prescription</w:t>
      </w:r>
      <w:r>
        <w:rPr>
          <w:rStyle w:val="FootnoteReference"/>
        </w:rPr>
        <w:footnoteReference w:id="223"/>
      </w:r>
      <w:r>
        <w:t xml:space="preserve">. La FDA a adressé des lettres d’avertissement à certains vendeurs.</w:t>
      </w:r>
    </w:p>
    <w:p>
      <w:pPr>
        <w:pStyle w:val="BodyText"/>
      </w:pPr>
      <w:r>
        <w:rPr>
          <w:bCs/>
          <w:b/>
        </w:rPr>
        <w:t xml:space="preserve">Importation</w:t>
      </w:r>
      <w:r>
        <w:t xml:space="preserve"> </w:t>
      </w:r>
      <w:r>
        <w:t xml:space="preserve">: la FDA tolère, sous des conditions strictes, l’importation de petites quantités de médicaments pour usage personnel. Il n’existe aucun droit à cet égard, et les substances non autorisées sans accompagnement médical n’en relèvent en règle générale pas.</w:t>
      </w:r>
    </w:p>
    <w:p>
      <w:pPr>
        <w:pStyle w:val="BodyText"/>
      </w:pPr>
      <w:r>
        <w:t xml:space="preserve">État 2026, à vérifier.</w:t>
      </w:r>
    </w:p>
    <w:bookmarkEnd w:id="224"/>
    <w:bookmarkStart w:id="226" w:name="X3b396f1972833838a0c00f62e4c97c8f539cb30"/>
    <w:p>
      <w:pPr>
        <w:pStyle w:val="Heading3"/>
      </w:pPr>
      <w:r>
        <w:t xml:space="preserve">Le dopage : la liste des interdictions de l’AMA</w:t>
      </w:r>
    </w:p>
    <w:p>
      <w:pPr>
        <w:pStyle w:val="FirstParagraph"/>
      </w:pPr>
      <w:r>
        <w:t xml:space="preserve">Pour les sportives et sportifs soumis à des contrôles antidopage, c’est la</w:t>
      </w:r>
      <w:r>
        <w:t xml:space="preserve"> </w:t>
      </w:r>
      <w:r>
        <w:rPr>
          <w:bCs/>
          <w:b/>
        </w:rPr>
        <w:t xml:space="preserve">liste des interdictions de l’Agence mondiale antidopage (AMA, en anglais WADA)</w:t>
      </w:r>
      <w:r>
        <w:t xml:space="preserve"> </w:t>
      </w:r>
      <w:r>
        <w:t xml:space="preserve">qui fait foi. Elle est révisée chaque année et entre en vigueur le 1er janvier. Pour les peptides, deux sections sont particulièrement importantes ; elles s’appliquent en compétition et hors compétition :</w:t>
      </w:r>
    </w:p>
    <w:p>
      <w:pPr>
        <w:pStyle w:val="BodyText"/>
      </w:pPr>
      <w:r>
        <w:rPr>
          <w:bCs/>
          <w:b/>
        </w:rPr>
        <w:t xml:space="preserve">S0 – Substances non approuvées.</w:t>
      </w:r>
      <w:r>
        <w:t xml:space="preserve"> </w:t>
      </w:r>
      <w:r>
        <w:t xml:space="preserve">Sont interdites les substances pharmacologiquement actives qui ne sont mentionnées dans aucune autre section de la liste et qui ne sont approuvées par aucune autorité sanitaire pour un usage chez l’humain – par exemple les substances en développement préclinique ou clinique, les développements abandonnés, les drogues de synthèse et les substances autorisées uniquement à usage vétérinaire. De nombreux peptides du marché gris relèvent de ce groupe. À notre connaissance, le BPC-157 est expressément cité comme exemple dans la liste.</w:t>
      </w:r>
    </w:p>
    <w:p>
      <w:pPr>
        <w:pStyle w:val="BodyText"/>
      </w:pPr>
      <w:r>
        <w:rPr>
          <w:bCs/>
          <w:b/>
        </w:rPr>
        <w:t xml:space="preserve">S2 – Hormones peptidiques, facteurs de croissance, substances apparentées et mimétiques.</w:t>
      </w:r>
      <w:r>
        <w:t xml:space="preserve"> </w:t>
      </w:r>
      <w:r>
        <w:t xml:space="preserve">En font partie notamment :</w:t>
      </w:r>
    </w:p>
    <w:p>
      <w:pPr>
        <w:numPr>
          <w:ilvl w:val="0"/>
          <w:numId w:val="1032"/>
        </w:numPr>
        <w:pStyle w:val="Compact"/>
      </w:pPr>
      <w:r>
        <w:t xml:space="preserve">l’hormone de croissance et ses fragments (par exemple l’AOD-9604),</w:t>
      </w:r>
    </w:p>
    <w:p>
      <w:pPr>
        <w:numPr>
          <w:ilvl w:val="0"/>
          <w:numId w:val="1032"/>
        </w:numPr>
        <w:pStyle w:val="Compact"/>
      </w:pPr>
      <w:r>
        <w:t xml:space="preserve">l’hormone de libération de l’hormone de croissance et ses analogues (par exemple le CJC-1295, la sermoréline, la tésamoréline),</w:t>
      </w:r>
    </w:p>
    <w:p>
      <w:pPr>
        <w:numPr>
          <w:ilvl w:val="0"/>
          <w:numId w:val="1032"/>
        </w:numPr>
        <w:pStyle w:val="Compact"/>
      </w:pPr>
      <w:r>
        <w:t xml:space="preserve">les sécrétagogues de l’hormone de croissance et les peptides libérateurs d’hormone de croissance (par exemple l’ipamoréline, le GHRP-2, le GHRP-6, l’hexaréline, la macimoréline et, à notre connaissance, aussi l’ibutamorène, qui n’est pas un peptide),</w:t>
      </w:r>
    </w:p>
    <w:p>
      <w:pPr>
        <w:numPr>
          <w:ilvl w:val="0"/>
          <w:numId w:val="1032"/>
        </w:numPr>
        <w:pStyle w:val="Compact"/>
      </w:pPr>
      <w:r>
        <w:t xml:space="preserve">les facteurs de croissance comme l’IGF-1 et ses analogues ainsi que la thymosine bêta-4 et ses dérivés (par exemple le TB-500),</w:t>
      </w:r>
    </w:p>
    <w:p>
      <w:pPr>
        <w:numPr>
          <w:ilvl w:val="0"/>
          <w:numId w:val="1032"/>
        </w:numPr>
        <w:pStyle w:val="Compact"/>
      </w:pPr>
      <w:r>
        <w:t xml:space="preserve">chez les hommes, les hormones et facteurs de libération de l’axe des hormones sexuelles (par exemple la gonadoréline et la kisspeptine).</w:t>
      </w:r>
    </w:p>
    <w:p>
      <w:pPr>
        <w:pStyle w:val="FirstParagraph"/>
      </w:pPr>
      <w:r>
        <w:t xml:space="preserve">En outre, la section S4 interdit notamment les insulines en tant que modulateurs métaboliques. Les médicaments GLP-1 comme le sémaglutide ou le tirzépatide ne figurent pas actuellement sur la liste des interdictions, à notre connaissance. La liste cite des exemples, mais n’est pas exhaustive : des substances non mentionnées ayant une structure chimique ou un effet biologique similaires peuvent aussi être interdites.</w:t>
      </w:r>
    </w:p>
    <w:p>
      <w:pPr>
        <w:pStyle w:val="BodyText"/>
      </w:pPr>
      <w:r>
        <w:t xml:space="preserve">En droit antidopage s’applique le principe de la</w:t>
      </w:r>
      <w:r>
        <w:t xml:space="preserve"> </w:t>
      </w:r>
      <w:r>
        <w:rPr>
          <w:bCs/>
          <w:b/>
        </w:rPr>
        <w:t xml:space="preserve">responsabilité objective</w:t>
      </w:r>
      <w:r>
        <w:t xml:space="preserve"> </w:t>
      </w:r>
      <w:r>
        <w:t xml:space="preserve">: si une substance interdite est trouvée dans un échantillon, il s’agit d’une violation – qu’elle ait été prise intentionnellement ou qu’elle provienne par exemple d’un complément alimentaire contaminé. Une personne qui a besoin, pour des raisons médicales, d’un médicament autorisé mais interdit peut demander une</w:t>
      </w:r>
      <w:r>
        <w:t xml:space="preserve"> </w:t>
      </w:r>
      <w:r>
        <w:rPr>
          <w:bCs/>
          <w:b/>
        </w:rPr>
        <w:t xml:space="preserve">autorisation d’usage à des fins thérapeutiques</w:t>
      </w:r>
      <w:r>
        <w:t xml:space="preserve"> </w:t>
      </w:r>
      <w:r>
        <w:t xml:space="preserve">(AUT, en anglais Therapeutic Use Exemption, TUE). Pour les substances non approuvées de la section S0, c’est pratiquement exclu.</w:t>
      </w:r>
    </w:p>
    <w:p>
      <w:pPr>
        <w:pStyle w:val="BodyText"/>
      </w:pPr>
      <w:r>
        <w:t xml:space="preserve">Les laboratoires de contrôle antidopage développent en permanence des méthodes de détection pour de nouveaux peptides, souvent à partir de produits saisis</w:t>
      </w:r>
      <w:r>
        <w:rPr>
          <w:rStyle w:val="FootnoteReference"/>
        </w:rPr>
        <w:footnoteReference w:id="225"/>
      </w:r>
      <w:r>
        <w:t xml:space="preserve">. Qu’une substance n’ait pas été détectable hier ne signifie pas qu’elle ne le sera pas demain – et des échantillons congelés peuvent être réanalysés des années plus tard.</w:t>
      </w:r>
    </w:p>
    <w:p>
      <w:pPr>
        <w:pStyle w:val="BodyText"/>
      </w:pPr>
      <w:r>
        <w:t xml:space="preserve">État 2026, vérifie la liste des interdictions actuelle de l’AMA.</w:t>
      </w:r>
    </w:p>
    <w:bookmarkEnd w:id="226"/>
    <w:bookmarkStart w:id="227" w:name="responsabilité-qui-supporte-le-risque"/>
    <w:p>
      <w:pPr>
        <w:pStyle w:val="Heading3"/>
      </w:pPr>
      <w:r>
        <w:t xml:space="preserve">Responsabilité : qui supporte le risque ?</w:t>
      </w:r>
    </w:p>
    <w:p>
      <w:pPr>
        <w:pStyle w:val="FirstParagraph"/>
      </w:pPr>
      <w:r>
        <w:t xml:space="preserve">Pour les</w:t>
      </w:r>
      <w:r>
        <w:t xml:space="preserve"> </w:t>
      </w:r>
      <w:r>
        <w:rPr>
          <w:bCs/>
          <w:b/>
        </w:rPr>
        <w:t xml:space="preserve">médicaments autorisés</w:t>
      </w:r>
      <w:r>
        <w:t xml:space="preserve">, les fabricants, les pharmacies et les médecins prescripteurs sont intégrés dans un système de responsabilité. En Allemagne, la loi sur les médicaments prévoit une responsabilité particulière du fabricant pour les dommages causés par des médicaments autorisés, indépendante de toute faute ; en Autriche, ce sont le droit général de la responsabilité civile et la loi sur la responsabilité du fait des produits qui s’appliquent. Les effets indésirables sont signalés, analysés et peuvent conduire à des mises en garde ou à des retraits du marché.</w:t>
      </w:r>
    </w:p>
    <w:p>
      <w:pPr>
        <w:pStyle w:val="BodyText"/>
      </w:pPr>
      <w:r>
        <w:t xml:space="preserve">Pour les</w:t>
      </w:r>
      <w:r>
        <w:t xml:space="preserve"> </w:t>
      </w:r>
      <w:r>
        <w:rPr>
          <w:bCs/>
          <w:b/>
        </w:rPr>
        <w:t xml:space="preserve">produits du marché gris</w:t>
      </w:r>
      <w:r>
        <w:t xml:space="preserve">, ce système fait largement défaut :</w:t>
      </w:r>
    </w:p>
    <w:p>
      <w:pPr>
        <w:numPr>
          <w:ilvl w:val="0"/>
          <w:numId w:val="1033"/>
        </w:numPr>
        <w:pStyle w:val="Compact"/>
      </w:pPr>
      <w:r>
        <w:t xml:space="preserve">Les vendeurs sont souvent établis à l’étranger, changent fréquemment de nom et de site web et sont pratiquement insaisissables.</w:t>
      </w:r>
    </w:p>
    <w:p>
      <w:pPr>
        <w:numPr>
          <w:ilvl w:val="0"/>
          <w:numId w:val="1033"/>
        </w:numPr>
        <w:pStyle w:val="Compact"/>
      </w:pPr>
      <w:r>
        <w:t xml:space="preserve">Avec la mention « pas pour un usage chez l’humain », ils tentent de rejeter toute responsabilité.</w:t>
      </w:r>
    </w:p>
    <w:p>
      <w:pPr>
        <w:numPr>
          <w:ilvl w:val="0"/>
          <w:numId w:val="1033"/>
        </w:numPr>
        <w:pStyle w:val="Compact"/>
      </w:pPr>
      <w:r>
        <w:t xml:space="preserve">Quiconque utilise lui-même un tel produit supporte en grande partie seul le risque sanitaire et financier.</w:t>
      </w:r>
    </w:p>
    <w:p>
      <w:pPr>
        <w:numPr>
          <w:ilvl w:val="0"/>
          <w:numId w:val="1033"/>
        </w:numPr>
        <w:pStyle w:val="Compact"/>
      </w:pPr>
      <w:r>
        <w:t xml:space="preserve">Quiconque cède un tel produit à d’autres ou l’utilise sur d’autres personnes – par exemple dans une salle de sport, un institut de beauté ou un établissement de bien-être – peut être pénalement poursuivi et, le cas échéant, être tenu responsable des dommages.</w:t>
      </w:r>
    </w:p>
    <w:p>
      <w:pPr>
        <w:pStyle w:val="FirstParagraph"/>
      </w:pPr>
      <w:r>
        <w:t xml:space="preserve">Des critères stricts s’appliquent aussi à l’</w:t>
      </w:r>
      <w:r>
        <w:rPr>
          <w:bCs/>
          <w:b/>
        </w:rPr>
        <w:t xml:space="preserve">utilisation par des médecins</w:t>
      </w:r>
      <w:r>
        <w:t xml:space="preserve">. Quiconque administre des substances non autorisées doit informer de manière complète sur l’incertitude des données et engage sa responsabilité en cas d’erreur de traitement. Des conséquences disciplinaires sont possibles.</w:t>
      </w:r>
    </w:p>
    <w:bookmarkEnd w:id="227"/>
    <w:bookmarkStart w:id="228" w:name="la-situation-juridique-en-un-coup-dœil"/>
    <w:p>
      <w:pPr>
        <w:pStyle w:val="Heading3"/>
      </w:pPr>
      <w:r>
        <w:t xml:space="preserve">La situation juridique en un coup d’œil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Classement (simplifié)</w:t>
            </w:r>
          </w:p>
        </w:tc>
      </w:tr>
      <w:tr>
        <w:tc>
          <w:tcPr/>
          <w:p>
            <w:pPr>
              <w:pStyle w:val="Compact"/>
              <w:jc w:val="left"/>
            </w:pPr>
            <w:r>
              <w:t xml:space="preserve">Peptide autorisé sur ordonnance, délivré en pharmacie</w:t>
            </w:r>
          </w:p>
        </w:tc>
        <w:tc>
          <w:tcPr/>
          <w:p>
            <w:pPr>
              <w:pStyle w:val="Compact"/>
              <w:jc w:val="left"/>
            </w:pPr>
            <w:r>
              <w:t xml:space="preserve">légal, avec accompagnement médical</w:t>
            </w:r>
          </w:p>
        </w:tc>
      </w:tr>
      <w:tr>
        <w:tc>
          <w:tcPr/>
          <w:p>
            <w:pPr>
              <w:pStyle w:val="Compact"/>
              <w:jc w:val="left"/>
            </w:pPr>
            <w:r>
              <w:t xml:space="preserve">Peptide autorisé sans ordonnance, acheté sur Internet</w:t>
            </w:r>
          </w:p>
        </w:tc>
        <w:tc>
          <w:tcPr/>
          <w:p>
            <w:pPr>
              <w:pStyle w:val="Compact"/>
              <w:jc w:val="left"/>
            </w:pPr>
            <w:r>
              <w:t xml:space="preserve">en règle générale illégal, risque de contrefaçon</w:t>
            </w:r>
          </w:p>
        </w:tc>
      </w:tr>
      <w:tr>
        <w:tc>
          <w:tcPr/>
          <w:p>
            <w:pPr>
              <w:pStyle w:val="Compact"/>
              <w:jc w:val="left"/>
            </w:pPr>
            <w:r>
              <w:t xml:space="preserve">Peptide non autorisé vendu comme « produit chimique de recherche »</w:t>
            </w:r>
          </w:p>
        </w:tc>
        <w:tc>
          <w:tcPr/>
          <w:p>
            <w:pPr>
              <w:pStyle w:val="Compact"/>
              <w:jc w:val="left"/>
            </w:pPr>
            <w:r>
              <w:t xml:space="preserve">en règle générale médicament non commercialisable</w:t>
            </w:r>
          </w:p>
        </w:tc>
      </w:tr>
      <w:tr>
        <w:tc>
          <w:tcPr/>
          <w:p>
            <w:pPr>
              <w:pStyle w:val="Compact"/>
              <w:jc w:val="left"/>
            </w:pPr>
            <w:r>
              <w:t xml:space="preserve">Peptides de collagène en tant que denrée alimentaire</w:t>
            </w:r>
          </w:p>
        </w:tc>
        <w:tc>
          <w:tcPr/>
          <w:p>
            <w:pPr>
              <w:pStyle w:val="Compact"/>
              <w:jc w:val="left"/>
            </w:pPr>
            <w:r>
              <w:t xml:space="preserve">légal, allégations publicitaires restreintes</w:t>
            </w:r>
          </w:p>
        </w:tc>
      </w:tr>
      <w:tr>
        <w:tc>
          <w:tcPr/>
          <w:p>
            <w:pPr>
              <w:pStyle w:val="Compact"/>
              <w:jc w:val="left"/>
            </w:pPr>
            <w:r>
              <w:t xml:space="preserve">Crème aux peptides en tant que cosmétique</w:t>
            </w:r>
          </w:p>
        </w:tc>
        <w:tc>
          <w:tcPr/>
          <w:p>
            <w:pPr>
              <w:pStyle w:val="Compact"/>
              <w:jc w:val="left"/>
            </w:pPr>
            <w:r>
              <w:t xml:space="preserve">légal, à condition d’être sûre et de ne pas être promue comme remède</w:t>
            </w:r>
          </w:p>
        </w:tc>
      </w:tr>
      <w:tr>
        <w:tc>
          <w:tcPr/>
          <w:p>
            <w:pPr>
              <w:pStyle w:val="Compact"/>
              <w:jc w:val="left"/>
            </w:pPr>
            <w:r>
              <w:t xml:space="preserve">Peptide interdit dans le sport contrôlé</w:t>
            </w:r>
          </w:p>
        </w:tc>
        <w:tc>
          <w:tcPr/>
          <w:p>
            <w:pPr>
              <w:pStyle w:val="Compact"/>
              <w:jc w:val="left"/>
            </w:pPr>
            <w:r>
              <w:t xml:space="preserve">violation des règles antidopage, parfois punissable</w:t>
            </w:r>
          </w:p>
        </w:tc>
      </w:tr>
    </w:tbl>
    <w:bookmarkEnd w:id="228"/>
    <w:bookmarkStart w:id="229" w:name="lessentiel-en-bref-4"/>
    <w:p>
      <w:pPr>
        <w:pStyle w:val="Heading3"/>
      </w:pPr>
      <w:r>
        <w:t xml:space="preserve">L’essentiel en bref</w:t>
      </w:r>
    </w:p>
    <w:p>
      <w:pPr>
        <w:numPr>
          <w:ilvl w:val="0"/>
          <w:numId w:val="1034"/>
        </w:numPr>
        <w:pStyle w:val="Compact"/>
      </w:pPr>
      <w:r>
        <w:t xml:space="preserve">Qu’un peptide soit un médicament, une denrée alimentaire ou un cosmétique dépend de son effet, de sa destination et de sa présentation. En cas d’effet pharmacologique, le droit du médicament prévaut.</w:t>
      </w:r>
    </w:p>
    <w:p>
      <w:pPr>
        <w:numPr>
          <w:ilvl w:val="0"/>
          <w:numId w:val="1034"/>
        </w:numPr>
        <w:pStyle w:val="Compact"/>
      </w:pPr>
      <w:r>
        <w:t xml:space="preserve">Les médicaments nécessitent une autorisation. La plupart des médicaments peptidiques sont soumis à prescription.</w:t>
      </w:r>
    </w:p>
    <w:p>
      <w:pPr>
        <w:numPr>
          <w:ilvl w:val="0"/>
          <w:numId w:val="1034"/>
        </w:numPr>
        <w:pStyle w:val="Compact"/>
      </w:pPr>
      <w:r>
        <w:t xml:space="preserve">La mention « uniquement à des fins de recherche » ne rend pas la vente aux particuliers légale et ne les protège pas.</w:t>
      </w:r>
    </w:p>
    <w:p>
      <w:pPr>
        <w:numPr>
          <w:ilvl w:val="0"/>
          <w:numId w:val="1034"/>
        </w:numPr>
        <w:pStyle w:val="Compact"/>
      </w:pPr>
      <w:r>
        <w:t xml:space="preserve">De nombreux peptides du marché gris sont interdits dans le sport, souvent au titre des sections S0 et S2 de la liste de l’AMA.</w:t>
      </w:r>
    </w:p>
    <w:p>
      <w:pPr>
        <w:numPr>
          <w:ilvl w:val="0"/>
          <w:numId w:val="1034"/>
        </w:numPr>
        <w:pStyle w:val="Compact"/>
      </w:pPr>
      <w:r>
        <w:t xml:space="preserve">Pour les produits du marché gris, les utilisatrices et utilisateurs supportent en grande partie seuls le risque.</w:t>
      </w:r>
    </w:p>
    <w:p>
      <w:pPr>
        <w:pStyle w:val="FirstParagraph"/>
      </w:pPr>
      <w:r>
        <w:t xml:space="preserve">Toutes les indications de ce chapitre : état 2026, pas de conseil juridique, à vérifier.</w:t>
      </w:r>
    </w:p>
    <w:bookmarkEnd w:id="229"/>
    <w:bookmarkEnd w:id="230"/>
    <w:bookmarkEnd w:id="231"/>
    <w:bookmarkStart w:id="893" w:name="partie-ii-a-métabolisme-et-poids"/>
    <w:p>
      <w:pPr>
        <w:pStyle w:val="Heading1"/>
      </w:pPr>
      <w:r>
        <w:t xml:space="preserve">Partie II · A – Métabolisme et poids</w:t>
      </w:r>
    </w:p>
    <w:p>
      <w:pPr>
        <w:pStyle w:val="FirstParagraph"/>
      </w:pPr>
      <w:r>
        <w:t xml:space="preserve">Aucun groupe de peptides n’a autant transformé la médecine ces dernières années que les substances de cette section. Développées à l’origine pour le diabète de type 2, elles sont ensuite devenues les médicaments amaigrissants les plus efficaces qui aient jamais existé, et elles sont désormais étudiées dans l’insuffisance cardiaque, l’apnée du sommeil, la stéatose hépatique et les maladies rénales. Dans le même temps, peu de domaines sont aussi touchés par le marché gris : des substances encore à l’étude sont vendues sur Internet comme « Research Peptides ».</w:t>
      </w:r>
    </w:p>
    <w:bookmarkStart w:id="232" w:name="X85be9525894a33b06bc76be80df6b36b6023ba3"/>
    <w:p>
      <w:pPr>
        <w:pStyle w:val="Heading3"/>
      </w:pPr>
      <w:r>
        <w:t xml:space="preserve">Ce qui relie ces substances : des hormones de l’intestin et du pancréas</w:t>
      </w:r>
    </w:p>
    <w:p>
      <w:pPr>
        <w:pStyle w:val="FirstParagraph"/>
      </w:pPr>
      <w:r>
        <w:t xml:space="preserve">Presque toutes les substances de ce groupe imitent des hormones que l’organisme sécrète autour d’un repas. Quatre d’entre elles méritent d’être connues :</w:t>
      </w:r>
    </w:p>
    <w:p>
      <w:pPr>
        <w:numPr>
          <w:ilvl w:val="0"/>
          <w:numId w:val="1035"/>
        </w:numPr>
        <w:pStyle w:val="Compact"/>
      </w:pPr>
      <w:r>
        <w:t xml:space="preserve">Le</w:t>
      </w:r>
      <w:r>
        <w:t xml:space="preserve"> </w:t>
      </w:r>
      <w:r>
        <w:rPr>
          <w:bCs/>
          <w:b/>
        </w:rPr>
        <w:t xml:space="preserve">GLP-1 (glucagon-like peptide-1)</w:t>
      </w:r>
      <w:r>
        <w:t xml:space="preserve"> </w:t>
      </w:r>
      <w:r>
        <w:t xml:space="preserve">est libéré par des cellules de l’intestin grêle et du côlon dès que la nourriture arrive. Il renforce la sécrétion d’insuline – mais seulement lorsque la glycémie est élevée –, ralentit la vidange gastrique et signale la satiété au cerveau. Le GLP-1 produit par l’organisme est dégradé en quelques minutes ; les médicaments sont modifiés de manière à agir d’un jour à une semaine.</w:t>
      </w:r>
    </w:p>
    <w:p>
      <w:pPr>
        <w:numPr>
          <w:ilvl w:val="0"/>
          <w:numId w:val="1035"/>
        </w:numPr>
        <w:pStyle w:val="Compact"/>
      </w:pPr>
      <w:r>
        <w:t xml:space="preserve">Le</w:t>
      </w:r>
      <w:r>
        <w:t xml:space="preserve"> </w:t>
      </w:r>
      <w:r>
        <w:rPr>
          <w:bCs/>
          <w:b/>
        </w:rPr>
        <w:t xml:space="preserve">GIP (polypeptide insulinotrope dépendant du glucose)</w:t>
      </w:r>
      <w:r>
        <w:t xml:space="preserve"> </w:t>
      </w:r>
      <w:r>
        <w:t xml:space="preserve">provient de la partie haute de l’intestin grêle et renforce lui aussi la sécrétion d’insuline. Son rôle dans l’appétit et le poids corporel est contradictoire : le tirzépatide active le récepteur du GIP, le maridebart cafraglutide le bloque – et tous deux entraînent une perte de poids.</w:t>
      </w:r>
    </w:p>
    <w:p>
      <w:pPr>
        <w:numPr>
          <w:ilvl w:val="0"/>
          <w:numId w:val="1035"/>
        </w:numPr>
        <w:pStyle w:val="Compact"/>
      </w:pPr>
      <w:r>
        <w:t xml:space="preserve">Le</w:t>
      </w:r>
      <w:r>
        <w:t xml:space="preserve"> </w:t>
      </w:r>
      <w:r>
        <w:rPr>
          <w:bCs/>
          <w:b/>
        </w:rPr>
        <w:t xml:space="preserve">glucagon</w:t>
      </w:r>
      <w:r>
        <w:t xml:space="preserve"> </w:t>
      </w:r>
      <w:r>
        <w:t xml:space="preserve">est l’hormone pancréatique antagoniste de l’insuline. Il élève la glycémie, mais augmente aussi la dépense énergétique et la dégradation des graisses dans le foie. Des substances plus récentes exploitent délibérément ce second aspect.</w:t>
      </w:r>
    </w:p>
    <w:p>
      <w:pPr>
        <w:numPr>
          <w:ilvl w:val="0"/>
          <w:numId w:val="1035"/>
        </w:numPr>
        <w:pStyle w:val="Compact"/>
      </w:pPr>
      <w:r>
        <w:t xml:space="preserve">L’</w:t>
      </w:r>
      <w:r>
        <w:rPr>
          <w:bCs/>
          <w:b/>
        </w:rPr>
        <w:t xml:space="preserve">amyline</w:t>
      </w:r>
      <w:r>
        <w:t xml:space="preserve"> </w:t>
      </w:r>
      <w:r>
        <w:t xml:space="preserve">est sécrétée avec l’insuline par les cellules bêta du pancréas. Elle agit dans le tronc cérébral en favorisant la satiété et ralentit la vidange gastrique.</w:t>
      </w:r>
    </w:p>
    <w:p>
      <w:pPr>
        <w:pStyle w:val="FirstParagraph"/>
      </w:pPr>
      <w:r>
        <w:t xml:space="preserve">Le GLP-1 et le GIP sont appelés</w:t>
      </w:r>
      <w:r>
        <w:t xml:space="preserve"> </w:t>
      </w:r>
      <w:r>
        <w:rPr>
          <w:bCs/>
          <w:b/>
        </w:rPr>
        <w:t xml:space="preserve">incrétines</w:t>
      </w:r>
      <w:r>
        <w:t xml:space="preserve"> </w:t>
      </w:r>
      <w:r>
        <w:t xml:space="preserve">(de l’anglais « INtestinal seCRETion of INsulin », c’est-à-dire une sécrétion d’insuline déclenchée par l’intestin) : ils expliquent pourquoi le sucre ingéré libère plus d’insuline que la même quantité de sucre injectée directement dans une veine. Le développement peut se lire comme une succession d’étapes : d’abord des agonistes purs du GLP-1, puis des associations avec le GIP, le glucagon ou l’amyline dans une seule molécule, enfin des comprimés qui ne sont même plus des peptides.</w:t>
      </w:r>
    </w:p>
    <w:p>
      <w:pPr>
        <w:pStyle w:val="BodyText"/>
      </w:pPr>
      <w:r>
        <w:t xml:space="preserve">Deux substances de ce groupe n’entrent pas dans ce schéma : le</w:t>
      </w:r>
      <w:r>
        <w:t xml:space="preserve"> </w:t>
      </w:r>
      <w:r>
        <w:rPr>
          <w:bCs/>
          <w:b/>
        </w:rPr>
        <w:t xml:space="preserve">setmélanotide</w:t>
      </w:r>
      <w:r>
        <w:t xml:space="preserve"> </w:t>
      </w:r>
      <w:r>
        <w:t xml:space="preserve">agit plus profondément dans le cerveau, sur le récepteur de la mélanocortine 4, et n’est destiné qu’à de rares formes génétiques d’obésité. L’</w:t>
      </w:r>
      <w:r>
        <w:rPr>
          <w:bCs/>
          <w:b/>
        </w:rPr>
        <w:t xml:space="preserve">AOD-9604</w:t>
      </w:r>
      <w:r>
        <w:t xml:space="preserve"> </w:t>
      </w:r>
      <w:r>
        <w:t xml:space="preserve">est un fragment de l’hormone de croissance commercialisé comme « brûleur de graisse » sans qu’aucune étude chez l’humain n’ait été publiée.</w:t>
      </w:r>
    </w:p>
    <w:bookmarkEnd w:id="232"/>
    <w:bookmarkStart w:id="233" w:name="vue-densemble"/>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Exénatide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premier agoniste du GLP-1, issu de venin de lézard</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injection quotidienne, génériques</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hebdomadaire, fusion avec un anticorps</w:t>
            </w:r>
          </w:p>
        </w:tc>
      </w:tr>
      <w:tr>
        <w:tc>
          <w:tcPr/>
          <w:p>
            <w:pPr>
              <w:pStyle w:val="Compact"/>
              <w:jc w:val="left"/>
            </w:pPr>
            <w:r>
              <w:t xml:space="preserve">Sémaglutide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injection et comprimé, protection cardiaque démontrée</w:t>
            </w:r>
          </w:p>
        </w:tc>
      </w:tr>
      <w:tr>
        <w:tc>
          <w:tcPr/>
          <w:p>
            <w:pPr>
              <w:pStyle w:val="Compact"/>
              <w:jc w:val="left"/>
            </w:pPr>
            <w:r>
              <w:t xml:space="preserve">Tirzépatide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GIP plus GLP-1, référence en 2026</w:t>
            </w:r>
          </w:p>
        </w:tc>
      </w:tr>
      <w:tr>
        <w:tc>
          <w:tcPr/>
          <w:p>
            <w:pPr>
              <w:pStyle w:val="Compact"/>
              <w:jc w:val="left"/>
            </w:pPr>
            <w:r>
              <w:t xml:space="preserve">Rétatrutide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GIP, GLP-1 et glucagon</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glucagon plus GLP-1, axé sur le foie</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Chine uniquement</w:t>
            </w:r>
          </w:p>
        </w:tc>
        <w:tc>
          <w:tcPr/>
          <w:p>
            <w:pPr>
              <w:pStyle w:val="Compact"/>
              <w:jc w:val="left"/>
            </w:pPr>
            <w:r>
              <w:t xml:space="preserve">glucagon plus GLP-1</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non</w:t>
            </w:r>
          </w:p>
        </w:tc>
        <w:tc>
          <w:tcPr/>
          <w:p>
            <w:pPr>
              <w:pStyle w:val="Compact"/>
              <w:jc w:val="left"/>
            </w:pPr>
            <w:r>
              <w:t xml:space="preserve">amyline, associée au sémaglutide</w:t>
            </w:r>
          </w:p>
        </w:tc>
      </w:tr>
      <w:tr>
        <w:tc>
          <w:tcPr/>
          <w:p>
            <w:pPr>
              <w:pStyle w:val="Compact"/>
              <w:jc w:val="left"/>
            </w:pPr>
            <w:r>
              <w:t xml:space="preserve">Amycrétine (zénagamtide)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amyline et GLP-1 dans une seule molécule</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bloqueur du GIP, administration mensuelle</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États-Unis uniquement</w:t>
            </w:r>
          </w:p>
        </w:tc>
        <w:tc>
          <w:tcPr/>
          <w:p>
            <w:pPr>
              <w:pStyle w:val="Compact"/>
              <w:jc w:val="left"/>
            </w:pPr>
            <w:r>
              <w:t xml:space="preserve">premier médicament à base d’amyline</w:t>
            </w:r>
          </w:p>
        </w:tc>
      </w:tr>
      <w:tr>
        <w:tc>
          <w:tcPr/>
          <w:p>
            <w:pPr>
              <w:pStyle w:val="Compact"/>
              <w:jc w:val="left"/>
            </w:pPr>
            <w:r>
              <w:t xml:space="preserve">Setmélanotide</w:t>
            </w:r>
          </w:p>
        </w:tc>
        <w:tc>
          <w:tcPr/>
          <w:p>
            <w:pPr>
              <w:pStyle w:val="Compact"/>
              <w:jc w:val="left"/>
            </w:pPr>
            <w:r>
              <w:t xml:space="preserve">A</w:t>
            </w:r>
          </w:p>
        </w:tc>
        <w:tc>
          <w:tcPr/>
          <w:p>
            <w:pPr>
              <w:pStyle w:val="Compact"/>
              <w:jc w:val="left"/>
            </w:pPr>
            <w:r>
              <w:t xml:space="preserve">UE, États-Unis</w:t>
            </w:r>
          </w:p>
        </w:tc>
        <w:tc>
          <w:tcPr/>
          <w:p>
            <w:pPr>
              <w:pStyle w:val="Compact"/>
              <w:jc w:val="left"/>
            </w:pPr>
            <w:r>
              <w:t xml:space="preserve">obésité génétique rare</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non</w:t>
            </w:r>
          </w:p>
        </w:tc>
        <w:tc>
          <w:tcPr/>
          <w:p>
            <w:pPr>
              <w:pStyle w:val="Compact"/>
              <w:jc w:val="left"/>
            </w:pPr>
            <w:r>
              <w:t xml:space="preserve">fragment d’hormone de croissance, marché gris</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en suspens</w:t>
            </w:r>
          </w:p>
        </w:tc>
        <w:tc>
          <w:tcPr/>
          <w:p>
            <w:pPr>
              <w:pStyle w:val="Compact"/>
              <w:jc w:val="left"/>
            </w:pPr>
            <w:r>
              <w:t xml:space="preserve">pas un peptide, comprimé (comparaison)</w:t>
            </w:r>
          </w:p>
        </w:tc>
      </w:tr>
    </w:tbl>
    <w:p>
      <w:pPr>
        <w:pStyle w:val="BodyText"/>
      </w:pPr>
      <w:r>
        <w:t xml:space="preserve">Les niveaux de preuve sont expliqués dans la partie I. Les indications d’autorisation correspondent à l’état d’octobre 2026 et à au moins une indication ; les détails figurent dans chaque chapitre. Vérifie la situation actuelle, car c’est précisément dans ce groupe que les autorisations évoluent rapidement.</w:t>
      </w:r>
    </w:p>
    <w:bookmarkEnd w:id="233"/>
    <w:bookmarkStart w:id="234" w:name="conseil-de-lecture"/>
    <w:p>
      <w:pPr>
        <w:pStyle w:val="Heading3"/>
      </w:pPr>
      <w:r>
        <w:t xml:space="preserve">Conseil de lecture</w:t>
      </w:r>
    </w:p>
    <w:p>
      <w:pPr>
        <w:pStyle w:val="FirstParagraph"/>
      </w:pPr>
      <w:r>
        <w:t xml:space="preserve">Les chapitres suivent à peu près l’évolution historique : des agonistes du GLP-1 établis (de l’exénatide au sémaglutide) aux substances combinées (du tirzépatide au maridebart cafraglutide), puis aux cas particuliers (pramlintide, setmélanotide, AOD-9604) et enfin à l’orforglipron, inclus à titre de comparaison en tant que non-peptide.</w:t>
      </w:r>
    </w:p>
    <w:p>
      <w:pPr>
        <w:pStyle w:val="BodyText"/>
      </w:pPr>
      <w:r>
        <w:t xml:space="preserve">Pour une vue d’ensemble rapide, commence par le sémaglutide et le tirzépatide – c’est à eux que tous les autres sont comparés. Tu trouveras dans la partie III les comparaisons directes de la perte de poids, de la baisse de la glycémie, des résultats cardiovasculaires et des effets indésirables pour l’ensemble des substances. La partie IV traite en détail des risques de classe comme les problèmes de vésicule biliaire et de pancréas, la perte musculaire et les questions concernant la thyroïde.</w:t>
      </w:r>
    </w:p>
    <w:p>
      <w:pPr>
        <w:pStyle w:val="BodyText"/>
      </w:pPr>
      <w:r>
        <w:t xml:space="preserve">Deux principes valent pour l’ensemble du groupe : premièrement, les chapitres décrivent des résultats d’études, pas des modes d’emploi thérapeutiques – pour les médicaments autorisés, ce sont le résumé des caractéristiques du produit et l’accompagnement médical qui font foi. Deuxièmement, pour presque toutes les substances, une grande partie du poids perdu est reprise à l’arrêt du traitement. Ces médicaments agissent tant qu’ils sont pris ; ce ne sont pas des cures.</w:t>
      </w:r>
    </w:p>
    <w:bookmarkEnd w:id="234"/>
    <w:bookmarkStart w:id="289" w:name="exénatide"/>
    <w:p>
      <w:pPr>
        <w:pStyle w:val="Heading2"/>
      </w:pPr>
      <w:r>
        <w:t xml:space="preserve">Exénatide</w:t>
      </w:r>
    </w:p>
    <w:bookmarkStart w:id="236" w:name="fiche-signalétique"/>
    <w:p>
      <w:pPr>
        <w:pStyle w:val="Heading3"/>
      </w:pPr>
      <w:r>
        <w:t xml:space="preserve">Fiche signalétique</w:t>
      </w:r>
    </w:p>
    <w:p>
      <w:pPr>
        <w:numPr>
          <w:ilvl w:val="0"/>
          <w:numId w:val="1036"/>
        </w:numPr>
        <w:pStyle w:val="Compact"/>
      </w:pPr>
      <w:r>
        <w:rPr>
          <w:bCs/>
          <w:b/>
        </w:rPr>
        <w:t xml:space="preserve">Type/structure :</w:t>
      </w:r>
      <w:r>
        <w:t xml:space="preserve"> </w:t>
      </w:r>
      <w:r>
        <w:t xml:space="preserve">peptide de 39 acides aminés, forme synthétique de l’exendine-4. Environ la moitié de la séquence est identique à celle de l’hormone intestinale humaine GLP-1.</w:t>
      </w:r>
    </w:p>
    <w:p>
      <w:pPr>
        <w:numPr>
          <w:ilvl w:val="0"/>
          <w:numId w:val="1036"/>
        </w:numPr>
        <w:pStyle w:val="Compact"/>
      </w:pPr>
      <w:r>
        <w:rPr>
          <w:bCs/>
          <w:b/>
        </w:rPr>
        <w:t xml:space="preserve">Origine :</w:t>
      </w:r>
      <w:r>
        <w:t xml:space="preserve"> </w:t>
      </w:r>
      <w:r>
        <w:t xml:space="preserve">l’exendine-4 a été isolée en 1992 à partir du venin du monstre de Gila (</w:t>
      </w:r>
      <w:r>
        <w:rPr>
          <w:iCs/>
          <w:i/>
        </w:rPr>
        <w:t xml:space="preserve">Heloderma suspectum</w:t>
      </w:r>
      <w:r>
        <w:t xml:space="preserve">)</w:t>
      </w:r>
      <w:r>
        <w:rPr>
          <w:rStyle w:val="FootnoteReference"/>
        </w:rPr>
        <w:footnoteReference w:id="235"/>
      </w:r>
      <w:r>
        <w:t xml:space="preserve">.</w:t>
      </w:r>
    </w:p>
    <w:p>
      <w:pPr>
        <w:numPr>
          <w:ilvl w:val="0"/>
          <w:numId w:val="1036"/>
        </w:numPr>
        <w:pStyle w:val="Compact"/>
      </w:pPr>
      <w:r>
        <w:rPr>
          <w:bCs/>
          <w:b/>
        </w:rPr>
        <w:t xml:space="preserve">Principe d’action :</w:t>
      </w:r>
      <w:r>
        <w:t xml:space="preserve"> </w:t>
      </w:r>
      <w:r>
        <w:t xml:space="preserve">agoniste du récepteur du GLP-1. L’exénatide imite l’hormone de satiété et incrétine GLP-1, mais il est dégradé nettement plus lentement.</w:t>
      </w:r>
    </w:p>
    <w:p>
      <w:pPr>
        <w:numPr>
          <w:ilvl w:val="0"/>
          <w:numId w:val="1036"/>
        </w:numPr>
        <w:pStyle w:val="Compact"/>
      </w:pPr>
      <w:r>
        <w:rPr>
          <w:bCs/>
          <w:b/>
        </w:rPr>
        <w:t xml:space="preserve">Formes galéniques :</w:t>
      </w:r>
      <w:r>
        <w:t xml:space="preserve"> </w:t>
      </w:r>
      <w:r>
        <w:t xml:space="preserve">deux fois par jour (Byetta) et une fois par semaine sous forme retard à microsphères (Bydureon, plus tard en stylo prérempli ou auto-injecteur). Dans des études, en outre : implant à pompe (ITCA 650) et variantes pégylées (PB-119, NLY01).</w:t>
      </w:r>
    </w:p>
    <w:p>
      <w:pPr>
        <w:numPr>
          <w:ilvl w:val="0"/>
          <w:numId w:val="1036"/>
        </w:numPr>
        <w:pStyle w:val="Compact"/>
      </w:pPr>
      <w:r>
        <w:rPr>
          <w:bCs/>
          <w:b/>
        </w:rPr>
        <w:t xml:space="preserve">Autorisation UE :</w:t>
      </w:r>
      <w:r>
        <w:t xml:space="preserve"> </w:t>
      </w:r>
      <w:r>
        <w:t xml:space="preserve">oui, pour le traitement du diabète de type 2 (Byetta, Bydureon). Pas d’autorisation pour la perte de poids.</w:t>
      </w:r>
    </w:p>
    <w:p>
      <w:pPr>
        <w:numPr>
          <w:ilvl w:val="0"/>
          <w:numId w:val="1036"/>
        </w:numPr>
        <w:pStyle w:val="Compact"/>
      </w:pPr>
      <w:r>
        <w:rPr>
          <w:bCs/>
          <w:b/>
        </w:rPr>
        <w:t xml:space="preserve">Autorisation États-Unis :</w:t>
      </w:r>
      <w:r>
        <w:t xml:space="preserve"> </w:t>
      </w:r>
      <w:r>
        <w:t xml:space="preserve">oui, diabète de type 2 (Byetta en 2005, premier agoniste du récepteur du GLP-1 de l’histoire, Bydureon/Bydureon BCise), la forme hebdomadaire aussi pour les adolescents à partir de 10 ans. Il existe désormais aussi dans ce pays des copies de la forme biquotidienne. La disponibilité de certaines préparations varie – à vérifier.</w:t>
      </w:r>
    </w:p>
    <w:p>
      <w:pPr>
        <w:numPr>
          <w:ilvl w:val="0"/>
          <w:numId w:val="1036"/>
        </w:numPr>
        <w:pStyle w:val="Compact"/>
      </w:pPr>
      <w:r>
        <w:rPr>
          <w:bCs/>
          <w:b/>
        </w:rPr>
        <w:t xml:space="preserve">AMA :</w:t>
      </w:r>
      <w:r>
        <w:t xml:space="preserve"> </w:t>
      </w:r>
      <w:r>
        <w:t xml:space="preserve">non listé.</w:t>
      </w:r>
    </w:p>
    <w:p>
      <w:pPr>
        <w:numPr>
          <w:ilvl w:val="0"/>
          <w:numId w:val="1036"/>
        </w:numPr>
        <w:pStyle w:val="Compact"/>
      </w:pPr>
      <w:r>
        <w:rPr>
          <w:bCs/>
          <w:b/>
        </w:rPr>
        <w:t xml:space="preserve">Niveau de preuve :</w:t>
      </w:r>
      <w:r>
        <w:t xml:space="preserve"> </w:t>
      </w:r>
      <w:r>
        <w:rPr>
          <w:bCs/>
          <w:b/>
        </w:rPr>
        <w:t xml:space="preserve">A</w:t>
      </w:r>
      <w:r>
        <w:t xml:space="preserve"> </w:t>
      </w:r>
      <w:r>
        <w:t xml:space="preserve">– nombreuses grandes études randomisées, une grande étude cardiovasculaire sur critères cliniques, autorisation depuis 2005.</w:t>
      </w:r>
    </w:p>
    <w:bookmarkEnd w:id="236"/>
    <w:bookmarkStart w:id="237" w:name="mode-daction-supposé"/>
    <w:p>
      <w:pPr>
        <w:pStyle w:val="Heading3"/>
      </w:pPr>
      <w:r>
        <w:t xml:space="preserve">Mode d’action supposé</w:t>
      </w:r>
    </w:p>
    <w:p>
      <w:pPr>
        <w:pStyle w:val="FirstParagraph"/>
      </w:pPr>
      <w:r>
        <w:t xml:space="preserve">Après un repas, l’intestin sécrète l’hormone GLP-1 (glucagon-like peptide-1). Elle signale au pancréas de libérer davantage d’insuline – mais seulement tant que la glycémie est élevée. En même temps, elle freine le glucagon, hormone qui élève la glycémie, ralentit la vidange gastrique et agit dans le cerveau sur les centres qui régulent la faim et la satiété. Comme la libération d’insuline dépend du glucose, les agonistes du récepteur du GLP-1 utilisés seuls provoquent rarement des hypoglycémies.</w:t>
      </w:r>
    </w:p>
    <w:p>
      <w:pPr>
        <w:pStyle w:val="BodyText"/>
      </w:pPr>
      <w:r>
        <w:t xml:space="preserve">Le GLP-1 produit par l’organisme a toutefois un inconvénient décisif : l’enzyme DPP-4 le dégrade en deux minutes environ. Il est donc inutilisable comme médicament. L’exendine-4 issue du venin de lézard se lie elle aussi au récepteur du GLP-1, mais elle est largement insensible à la DPP-4. Cette découverte fortuite a fait de l’exénatide le premier représentant d’une classe de substances qui allait, deux décennies plus tard, transformer la médecine avec le sémaglutide et le tirzépatide.</w:t>
      </w:r>
    </w:p>
    <w:p>
      <w:pPr>
        <w:pStyle w:val="BodyText"/>
      </w:pPr>
      <w:r>
        <w:t xml:space="preserve">La forme d’origine n’agit que quelques heures et doit donc être injectée deux fois par jour avant les repas principaux. Elle réduit surtout l’élévation de la glycémie après le repas, notamment parce qu’elle ralentit nettement la vidange gastrique. La forme hebdomadaire enferme la même substance dans des microsphères de polymère biodégradable (PLGA) à partir desquelles elle est libérée lentement. Le taux reste ainsi plus constant ; l’effet sur la glycémie à jeun est plus fort, celui sur la vidange gastrique s’atténue quelque peu avec le temps.</w:t>
      </w:r>
    </w:p>
    <w:p>
      <w:pPr>
        <w:pStyle w:val="BodyText"/>
      </w:pPr>
      <w:r>
        <w:t xml:space="preserve">Une différence importante par rapport aux substances ultérieures : l’exénatide n’est semblable au GLP-1 humain qu’à environ moitié. Le système immunitaire le reconnaît donc plus souvent comme étranger et forme des anticorps. Chez la plupart des personnes traitées, cela reste sans conséquence ; chez une petite partie présentant des taux d’anticorps élevés, l’effet peut diminuer.</w:t>
      </w:r>
    </w:p>
    <w:bookmarkEnd w:id="237"/>
    <w:bookmarkStart w:id="265" w:name="études-chez-lhumain"/>
    <w:p>
      <w:pPr>
        <w:pStyle w:val="Heading3"/>
      </w:pPr>
      <w:r>
        <w:t xml:space="preserve">Études chez l’humain</w:t>
      </w:r>
    </w:p>
    <w:p>
      <w:pPr>
        <w:pStyle w:val="FirstParagraph"/>
      </w:pPr>
      <w:r>
        <w:t xml:space="preserve">Les données sur l’exénatide sont abondantes. La recherche PubMed analysée pour ce livre (terme « exenatide » dans le titre ou le résumé, date de recherche octobre 2026) a donné 437 études chez l’humain ; ClinicalTrials.gov recense 379 inscriptions concernant l’exénatide. Beaucoup sont de petites études de mécanisme ou d’association. Pour l’évaluation, trois groupes comptent surtout : les programmes d’autorisation AMIGO (forme biquotidienne) et DURATION (forme hebdomadaire), l’étude cardiovasculaire EXSCEL et une série d’études hors diabète, en particulier sur la maladie de Parkinson.</w:t>
      </w:r>
    </w:p>
    <w:bookmarkStart w:id="239" w:name="X7813b2cf73ef5622cf2702d149dd58c85711361"/>
    <w:p>
      <w:pPr>
        <w:pStyle w:val="Heading4"/>
      </w:pPr>
      <w:r>
        <w:t xml:space="preserve">Les études AMIGO : le lancement de la classe</w:t>
      </w:r>
    </w:p>
    <w:p>
      <w:pPr>
        <w:pStyle w:val="FirstParagraph"/>
      </w:pPr>
      <w:r>
        <w:t xml:space="preserve">Trois études contrôlées contre placebo d’une durée de 30 semaines chacune ont constitué la base de la première autorisation. Elles évaluaient l’exénatide deux fois par jour (5 ou 10 microgrammes par administration) en complément de comprimés existants.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 (bras 10 µg vs placebo)</w:t>
            </w:r>
          </w:p>
        </w:tc>
      </w:tr>
      <w:tr>
        <w:tc>
          <w:tcPr/>
          <w:p>
            <w:pPr>
              <w:pStyle w:val="Compact"/>
              <w:jc w:val="left"/>
            </w:pPr>
            <w:r>
              <w:t xml:space="preserve">Buse 2004, PMID 15504997</w:t>
            </w:r>
          </w:p>
        </w:tc>
        <w:tc>
          <w:tcPr/>
          <w:p>
            <w:pPr>
              <w:pStyle w:val="Compact"/>
              <w:jc w:val="left"/>
            </w:pPr>
            <w:r>
              <w:t xml:space="preserve">Diabète de type 2 sous sulfamide hypoglycémiant, ECR contre placebo</w:t>
            </w:r>
          </w:p>
        </w:tc>
        <w:tc>
          <w:tcPr/>
          <w:p>
            <w:pPr>
              <w:pStyle w:val="Compact"/>
              <w:jc w:val="left"/>
            </w:pPr>
            <w:r>
              <w:t xml:space="preserve">30 semaines</w:t>
            </w:r>
          </w:p>
        </w:tc>
        <w:tc>
          <w:tcPr/>
          <w:p>
            <w:pPr>
              <w:pStyle w:val="Compact"/>
              <w:jc w:val="left"/>
            </w:pPr>
            <w:r>
              <w:t xml:space="preserve">HbA1c −0,86 vs +0,12 point de pourcentage ; poids −1,6 kg</w:t>
            </w:r>
          </w:p>
        </w:tc>
      </w:tr>
      <w:tr>
        <w:tc>
          <w:tcPr/>
          <w:p>
            <w:pPr>
              <w:pStyle w:val="Compact"/>
              <w:jc w:val="left"/>
            </w:pPr>
            <w:r>
              <w:t xml:space="preserve">DeFronzo 2005, PMID 15855572</w:t>
            </w:r>
          </w:p>
        </w:tc>
        <w:tc>
          <w:tcPr/>
          <w:p>
            <w:pPr>
              <w:pStyle w:val="Compact"/>
              <w:jc w:val="left"/>
            </w:pPr>
            <w:r>
              <w:t xml:space="preserve">Diabète de type 2 sous metformine, ECR contre placebo</w:t>
            </w:r>
          </w:p>
        </w:tc>
        <w:tc>
          <w:tcPr/>
          <w:p>
            <w:pPr>
              <w:pStyle w:val="Compact"/>
              <w:jc w:val="left"/>
            </w:pPr>
            <w:r>
              <w:t xml:space="preserve">30 semaines</w:t>
            </w:r>
          </w:p>
        </w:tc>
        <w:tc>
          <w:tcPr/>
          <w:p>
            <w:pPr>
              <w:pStyle w:val="Compact"/>
              <w:jc w:val="left"/>
            </w:pPr>
            <w:r>
              <w:t xml:space="preserve">HbA1c −0,78 vs +0,08 ; poids −2,8 kg ; 46 % vs 13 % ont atteint une HbA1c ≤ 7 %</w:t>
            </w:r>
          </w:p>
        </w:tc>
      </w:tr>
      <w:tr>
        <w:tc>
          <w:tcPr/>
          <w:p>
            <w:pPr>
              <w:pStyle w:val="Compact"/>
              <w:jc w:val="left"/>
            </w:pPr>
            <w:r>
              <w:t xml:space="preserve">Kendall 2005, PMID 15855571</w:t>
            </w:r>
          </w:p>
        </w:tc>
        <w:tc>
          <w:tcPr/>
          <w:p>
            <w:pPr>
              <w:pStyle w:val="Compact"/>
              <w:jc w:val="left"/>
            </w:pPr>
            <w:r>
              <w:t xml:space="preserve">Diabète de type 2 sous metformine plus sulfamide, ECR</w:t>
            </w:r>
          </w:p>
        </w:tc>
        <w:tc>
          <w:tcPr/>
          <w:p>
            <w:pPr>
              <w:pStyle w:val="Compact"/>
              <w:jc w:val="left"/>
            </w:pPr>
            <w:r>
              <w:t xml:space="preserve">30 semaines</w:t>
            </w:r>
          </w:p>
        </w:tc>
        <w:tc>
          <w:tcPr/>
          <w:p>
            <w:pPr>
              <w:pStyle w:val="Compact"/>
              <w:jc w:val="left"/>
            </w:pPr>
            <w:r>
              <w:t xml:space="preserve">HbA1c −0,8 vs +0,2 ; hypoglycémies légères 28 % vs 13 %</w:t>
            </w:r>
          </w:p>
        </w:tc>
      </w:tr>
      <w:tr>
        <w:tc>
          <w:tcPr/>
          <w:p>
            <w:pPr>
              <w:pStyle w:val="Compact"/>
              <w:jc w:val="left"/>
            </w:pPr>
            <w:r>
              <w:t xml:space="preserve">Heine 2005, PMID 16230722</w:t>
            </w:r>
          </w:p>
        </w:tc>
        <w:tc>
          <w:tcPr/>
          <w:p>
            <w:pPr>
              <w:pStyle w:val="Compact"/>
              <w:jc w:val="left"/>
            </w:pPr>
            <w:r>
              <w:t xml:space="preserve">551 personnes, comparaison ouverte avec l’insuline glargine</w:t>
            </w:r>
          </w:p>
        </w:tc>
        <w:tc>
          <w:tcPr/>
          <w:p>
            <w:pPr>
              <w:pStyle w:val="Compact"/>
              <w:jc w:val="left"/>
            </w:pPr>
            <w:r>
              <w:t xml:space="preserve">26 semaines</w:t>
            </w:r>
          </w:p>
        </w:tc>
        <w:tc>
          <w:tcPr/>
          <w:p>
            <w:pPr>
              <w:pStyle w:val="Compact"/>
              <w:jc w:val="left"/>
            </w:pPr>
            <w:r>
              <w:t xml:space="preserve">HbA1c −1,11 dans les deux groupes ; poids −2,3 kg vs +1,8 kg</w:t>
            </w:r>
          </w:p>
        </w:tc>
      </w:tr>
    </w:tbl>
    <w:p>
      <w:pPr>
        <w:pStyle w:val="BodyText"/>
      </w:pPr>
      <w:r>
        <w:t xml:space="preserve">La valeur de l’HbA1c (hémoglobine glyquée) décrit la proportion d’hémoglobine « sucrée » et reflète la glycémie des deux à trois derniers mois. Une baisse de 0,8 à 1 point de pourcentage était alors considérée comme cliniquement significative. La nouveauté était que le poids n’augmentait pas, comme c’est habituellement le cas avec l’insuline ou les sulfamides, mais diminuait. L’étude de Kendall montre toutefois aussi qu’en association avec un sulfamide, qui libère de l’insuline indépendamment de la glycémie, les hypoglycémies légères augmentaient.</w:t>
      </w:r>
    </w:p>
    <w:p>
      <w:pPr>
        <w:pStyle w:val="BodyText"/>
      </w:pPr>
      <w:r>
        <w:t xml:space="preserve">En comparaison directe avec l’insuline glargine</w:t>
      </w:r>
      <w:r>
        <w:rPr>
          <w:rStyle w:val="FootnoteReference"/>
        </w:rPr>
        <w:footnoteReference w:id="238"/>
      </w:r>
      <w:r>
        <w:t xml:space="preserve">, les deux traitements ont abaissé l’HbA1c de manière identique. La différence de poids était de 4,1 kg en faveur de l’exénatide, les hypoglycémies nocturnes étaient plus rares (0,9 vs 2,4 événements par année-patient). Le prix à payer : des nausées sont survenues chez 57,1 % contre 8,6 %, des vomissements chez 17,4 % contre 3,7 %. 19,4 % du groupe exénatide ont abandonné l’étude, contre 9,7 % sous insuline.</w:t>
      </w:r>
    </w:p>
    <w:bookmarkEnd w:id="239"/>
    <w:bookmarkStart w:id="243" w:name="X836f5719b1c92a0ddbf3cf435fa94da5853e0f4"/>
    <w:p>
      <w:pPr>
        <w:pStyle w:val="Heading4"/>
      </w:pPr>
      <w:r>
        <w:t xml:space="preserve">Le programme DURATION : une fois par semaine</w:t>
      </w:r>
    </w:p>
    <w:p>
      <w:pPr>
        <w:pStyle w:val="FirstParagraph"/>
      </w:pPr>
      <w:r>
        <w:t xml:space="preserve">La forme hebdomadaire a été évaluée dans une série d’études baptisée DURATION – contre la forme biquotidienne, contre des comprimés, contre l’insuline et contre le liraglutide.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DURATION-1 (Drucker 2008), PMID 18782641</w:t>
            </w:r>
          </w:p>
        </w:tc>
        <w:tc>
          <w:tcPr/>
          <w:p>
            <w:pPr>
              <w:pStyle w:val="Compact"/>
              <w:jc w:val="left"/>
            </w:pPr>
            <w:r>
              <w:t xml:space="preserve">295 personnes, ouverte : exénatide hebdomadaire vs biquotidien</w:t>
            </w:r>
          </w:p>
        </w:tc>
        <w:tc>
          <w:tcPr/>
          <w:p>
            <w:pPr>
              <w:pStyle w:val="Compact"/>
              <w:jc w:val="left"/>
            </w:pPr>
            <w:r>
              <w:t xml:space="preserve">30 semaines</w:t>
            </w:r>
          </w:p>
        </w:tc>
        <w:tc>
          <w:tcPr/>
          <w:p>
            <w:pPr>
              <w:pStyle w:val="Compact"/>
              <w:jc w:val="left"/>
            </w:pPr>
            <w:r>
              <w:t xml:space="preserve">HbA1c −1,9 vs −1,5 ; valeur cible ≤ 7 % chez 77 % vs 61 %</w:t>
            </w:r>
          </w:p>
        </w:tc>
      </w:tr>
      <w:tr>
        <w:tc>
          <w:tcPr/>
          <w:p>
            <w:pPr>
              <w:pStyle w:val="Compact"/>
              <w:jc w:val="left"/>
            </w:pPr>
            <w:r>
              <w:t xml:space="preserve">DURATION-1, données à 5 ans (Wysham 2015), PMID 25744115</w:t>
            </w:r>
          </w:p>
        </w:tc>
        <w:tc>
          <w:tcPr/>
          <w:p>
            <w:pPr>
              <w:pStyle w:val="Compact"/>
              <w:jc w:val="left"/>
            </w:pPr>
            <w:r>
              <w:t xml:space="preserve">258 personnes dans la prolongation, 153 sont restées 5 ans</w:t>
            </w:r>
          </w:p>
        </w:tc>
        <w:tc>
          <w:tcPr/>
          <w:p>
            <w:pPr>
              <w:pStyle w:val="Compact"/>
              <w:jc w:val="left"/>
            </w:pPr>
            <w:r>
              <w:t xml:space="preserve">5 ans</w:t>
            </w:r>
          </w:p>
        </w:tc>
        <w:tc>
          <w:tcPr/>
          <w:p>
            <w:pPr>
              <w:pStyle w:val="Compact"/>
              <w:jc w:val="left"/>
            </w:pPr>
            <w:r>
              <w:t xml:space="preserve">HbA1c toujours −1,6 ; poids −3,0 kg</w:t>
            </w:r>
          </w:p>
        </w:tc>
      </w:tr>
      <w:tr>
        <w:tc>
          <w:tcPr/>
          <w:p>
            <w:pPr>
              <w:pStyle w:val="Compact"/>
              <w:jc w:val="left"/>
            </w:pPr>
            <w:r>
              <w:t xml:space="preserve">DURATION-2 (Bergenstal 2010), PMID 20580422</w:t>
            </w:r>
          </w:p>
        </w:tc>
        <w:tc>
          <w:tcPr/>
          <w:p>
            <w:pPr>
              <w:pStyle w:val="Compact"/>
              <w:jc w:val="left"/>
            </w:pPr>
            <w:r>
              <w:t xml:space="preserve">514 personnes sous metformine, vs sitagliptine ou pioglitazone</w:t>
            </w:r>
          </w:p>
        </w:tc>
        <w:tc>
          <w:tcPr/>
          <w:p>
            <w:pPr>
              <w:pStyle w:val="Compact"/>
              <w:jc w:val="left"/>
            </w:pPr>
            <w:r>
              <w:t xml:space="preserve">26 semaines</w:t>
            </w:r>
          </w:p>
        </w:tc>
        <w:tc>
          <w:tcPr/>
          <w:p>
            <w:pPr>
              <w:pStyle w:val="Compact"/>
              <w:jc w:val="left"/>
            </w:pPr>
            <w:r>
              <w:t xml:space="preserve">HbA1c −1,5 vs −0,9 ou −1,2 ; poids −2,3 kg</w:t>
            </w:r>
          </w:p>
        </w:tc>
      </w:tr>
      <w:tr>
        <w:tc>
          <w:tcPr/>
          <w:p>
            <w:pPr>
              <w:pStyle w:val="Compact"/>
              <w:jc w:val="left"/>
            </w:pPr>
            <w:r>
              <w:t xml:space="preserve">DURATION-3 (Diamant 2010), PMID 20609969</w:t>
            </w:r>
          </w:p>
        </w:tc>
        <w:tc>
          <w:tcPr/>
          <w:p>
            <w:pPr>
              <w:pStyle w:val="Compact"/>
              <w:jc w:val="left"/>
            </w:pPr>
            <w:r>
              <w:t xml:space="preserve">456 personnes, ouverte vs insuline glargine</w:t>
            </w:r>
          </w:p>
        </w:tc>
        <w:tc>
          <w:tcPr/>
          <w:p>
            <w:pPr>
              <w:pStyle w:val="Compact"/>
              <w:jc w:val="left"/>
            </w:pPr>
            <w:r>
              <w:t xml:space="preserve">26 semaines</w:t>
            </w:r>
          </w:p>
        </w:tc>
        <w:tc>
          <w:tcPr/>
          <w:p>
            <w:pPr>
              <w:pStyle w:val="Compact"/>
              <w:jc w:val="left"/>
            </w:pPr>
            <w:r>
              <w:t xml:space="preserve">HbA1c −1,5 vs −1,3 ; arrêt pour effets indésirables 5 % vs 1 %</w:t>
            </w:r>
          </w:p>
        </w:tc>
      </w:tr>
      <w:tr>
        <w:tc>
          <w:tcPr/>
          <w:p>
            <w:pPr>
              <w:pStyle w:val="Compact"/>
              <w:jc w:val="left"/>
            </w:pPr>
            <w:r>
              <w:t xml:space="preserve">DURATION-6 (Buse 2013), PMID 23141817</w:t>
            </w:r>
          </w:p>
        </w:tc>
        <w:tc>
          <w:tcPr/>
          <w:p>
            <w:pPr>
              <w:pStyle w:val="Compact"/>
              <w:jc w:val="left"/>
            </w:pPr>
            <w:r>
              <w:t xml:space="preserve">911 personnes, ouverte vs liraglutide quotidien</w:t>
            </w:r>
          </w:p>
        </w:tc>
        <w:tc>
          <w:tcPr/>
          <w:p>
            <w:pPr>
              <w:pStyle w:val="Compact"/>
              <w:jc w:val="left"/>
            </w:pPr>
            <w:r>
              <w:t xml:space="preserve">26 semaines</w:t>
            </w:r>
          </w:p>
        </w:tc>
        <w:tc>
          <w:tcPr/>
          <w:p>
            <w:pPr>
              <w:pStyle w:val="Compact"/>
              <w:jc w:val="left"/>
            </w:pPr>
            <w:r>
              <w:t xml:space="preserve">HbA1c −1,28 vs −1,48 ; non-infériorité non atteinte</w:t>
            </w:r>
          </w:p>
        </w:tc>
      </w:tr>
    </w:tbl>
    <w:p>
      <w:pPr>
        <w:pStyle w:val="BodyText"/>
      </w:pPr>
      <w:r>
        <w:t xml:space="preserve">Dans DURATION-1, la forme hebdomadaire a abaissé l’HbA1c davantage que la forme quotidienne, avec une perte de poids comparable et sans plus d’hypoglycémies. L’analyse à cinq ans est remarquable</w:t>
      </w:r>
      <w:r>
        <w:rPr>
          <w:rStyle w:val="FootnoteReference"/>
        </w:rPr>
        <w:footnoteReference w:id="240"/>
      </w:r>
      <w:r>
        <w:t xml:space="preserve"> </w:t>
      </w:r>
      <w:r>
        <w:t xml:space="preserve">: sur les 258 personnes de la phase de prolongation, 153 (59,3 %) sont restées cinq ans sous traitement. Chez elles, l’HbA1c restait 1,6 point de pourcentage sous la valeur initiale, et 43,9 % atteignaient une valeur inférieure à 7 %. Ces prolongations comportent toutefois un biais intrinsèque : les personnes qui répondaient mal ou avaient des effets indésirables ne sont souvent plus là.</w:t>
      </w:r>
    </w:p>
    <w:p>
      <w:pPr>
        <w:pStyle w:val="BodyText"/>
      </w:pPr>
      <w:r>
        <w:t xml:space="preserve">Dans DURATION-2</w:t>
      </w:r>
      <w:r>
        <w:rPr>
          <w:rStyle w:val="FootnoteReference"/>
        </w:rPr>
        <w:footnoteReference w:id="241"/>
      </w:r>
      <w:r>
        <w:t xml:space="preserve">, la forme hebdomadaire était supérieure à deux comprimés couramment utilisés à l’époque : la différence avec la sitagliptine était de 0,6 point de pourcentage, avec la pioglitazone de 0,3 point. Pour le poids, la différence avec la pioglitazone, qui entraîne plutôt une prise de poids, était de 5,1 kg. Dans DURATION-3</w:t>
      </w:r>
      <w:r>
        <w:rPr>
          <w:rStyle w:val="FootnoteReference"/>
        </w:rPr>
        <w:footnoteReference w:id="242"/>
      </w:r>
      <w:r>
        <w:t xml:space="preserve">, l’exénatide hebdomadaire était légèrement supérieur à l’insuline basale glargine (différence −0,16 point de pourcentage), mais davantage de personnes ont arrêté le traitement en raison d’effets indésirables.</w:t>
      </w:r>
    </w:p>
    <w:bookmarkEnd w:id="243"/>
    <w:bookmarkStart w:id="246" w:name="Xa7c0a080eaee6d146a7be9220b81bac1259e8cd"/>
    <w:p>
      <w:pPr>
        <w:pStyle w:val="Heading4"/>
      </w:pPr>
      <w:r>
        <w:t xml:space="preserve">Comparaisons directes au sein de la classe GLP-1</w:t>
      </w:r>
    </w:p>
    <w:p>
      <w:pPr>
        <w:pStyle w:val="FirstParagraph"/>
      </w:pPr>
      <w:r>
        <w:t xml:space="preserve">Pour situer l’exénatide, les études face à face avec des substances ultérieures sont particulièrement instructives. Elles montrent que l’exénatide est certes efficace, mais qu’il est dépassé par ses successeurs.</w:t>
      </w:r>
    </w:p>
    <w:p>
      <w:pPr>
        <w:pStyle w:val="BodyText"/>
      </w:pPr>
      <w:r>
        <w:t xml:space="preserve">Dans</w:t>
      </w:r>
      <w:r>
        <w:t xml:space="preserve"> </w:t>
      </w:r>
      <w:r>
        <w:rPr>
          <w:bCs/>
          <w:b/>
        </w:rPr>
        <w:t xml:space="preserve">DURATION-6</w:t>
      </w:r>
      <w:r>
        <w:rPr>
          <w:rStyle w:val="FootnoteReference"/>
        </w:rPr>
        <w:footnoteReference w:id="244"/>
      </w:r>
      <w:r>
        <w:t xml:space="preserve">, la forme hebdomadaire a été opposée au liraglutide une fois par jour. Le liraglutide a abaissé l’HbA1c de 1,48 point de pourcentage, l’exénatide de 1,28. La différence de 0,21 point n’a pas respecté la limite fixée à l’avance pour « pas moins bon ». En revanche, l’exénatide était mieux toléré : des nausées sont survenues chez 9 % contre 21 %, des diarrhées chez 6 % contre 13 %, des vomissements chez 4 % contre 11 %.</w:t>
      </w:r>
    </w:p>
    <w:p>
      <w:pPr>
        <w:pStyle w:val="BodyText"/>
      </w:pPr>
      <w:r>
        <w:t xml:space="preserve">Dans</w:t>
      </w:r>
      <w:r>
        <w:t xml:space="preserve"> </w:t>
      </w:r>
      <w:r>
        <w:rPr>
          <w:bCs/>
          <w:b/>
        </w:rPr>
        <w:t xml:space="preserve">SUSTAIN 3</w:t>
      </w:r>
      <w:r>
        <w:rPr>
          <w:rStyle w:val="FootnoteReference"/>
        </w:rPr>
        <w:footnoteReference w:id="245"/>
      </w:r>
      <w:r>
        <w:t xml:space="preserve">, l’exénatide hebdomadaire a nettement perdu sur 56 semaines face au sémaglutide hebdomadaire. L’HbA1c a baissé de 0,9 contre 1,5 point de pourcentage, le poids de 1,9 contre 5,6 kg. 40 % contre 67 % ont atteint une HbA1c inférieure à 7 %. Les troubles gastro-intestinaux étaient un peu moins fréquents sous exénatide (33,3 % vs 41,8 %), les réactions au point d’injection en revanche beaucoup plus fréquentes (22,0 % vs 1,2 %).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Comparaison</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 (exénatide hebdomadaire vs comparateur)</w:t>
            </w:r>
          </w:p>
        </w:tc>
      </w:tr>
      <w:tr>
        <w:tc>
          <w:tcPr/>
          <w:p>
            <w:pPr>
              <w:pStyle w:val="Compact"/>
              <w:jc w:val="left"/>
            </w:pPr>
            <w:r>
              <w:t xml:space="preserve">DURATION-6 (Buse 2013), PMID 23141817</w:t>
            </w:r>
          </w:p>
        </w:tc>
        <w:tc>
          <w:tcPr/>
          <w:p>
            <w:pPr>
              <w:pStyle w:val="Compact"/>
              <w:jc w:val="left"/>
            </w:pPr>
            <w:r>
              <w:t xml:space="preserve">911 personnes, ouverte vs liraglutide</w:t>
            </w:r>
          </w:p>
        </w:tc>
        <w:tc>
          <w:tcPr/>
          <w:p>
            <w:pPr>
              <w:pStyle w:val="Compact"/>
              <w:jc w:val="left"/>
            </w:pPr>
            <w:r>
              <w:t xml:space="preserve">26 semaines</w:t>
            </w:r>
          </w:p>
        </w:tc>
        <w:tc>
          <w:tcPr/>
          <w:p>
            <w:pPr>
              <w:pStyle w:val="Compact"/>
              <w:jc w:val="left"/>
            </w:pPr>
            <w:r>
              <w:t xml:space="preserve">HbA1c −1,28 vs −1,48 ; nausées 9 % vs 21 %</w:t>
            </w:r>
          </w:p>
        </w:tc>
      </w:tr>
      <w:tr>
        <w:tc>
          <w:tcPr/>
          <w:p>
            <w:pPr>
              <w:pStyle w:val="Compact"/>
              <w:jc w:val="left"/>
            </w:pPr>
            <w:r>
              <w:t xml:space="preserve">SUSTAIN 3 (Ahmann 2018), PMID 29246950</w:t>
            </w:r>
          </w:p>
        </w:tc>
        <w:tc>
          <w:tcPr/>
          <w:p>
            <w:pPr>
              <w:pStyle w:val="Compact"/>
              <w:jc w:val="left"/>
            </w:pPr>
            <w:r>
              <w:t xml:space="preserve">ouverte vs sémaglutide hebdomadaire</w:t>
            </w:r>
          </w:p>
        </w:tc>
        <w:tc>
          <w:tcPr/>
          <w:p>
            <w:pPr>
              <w:pStyle w:val="Compact"/>
              <w:jc w:val="left"/>
            </w:pPr>
            <w:r>
              <w:t xml:space="preserve">56 semaines</w:t>
            </w:r>
          </w:p>
        </w:tc>
        <w:tc>
          <w:tcPr/>
          <w:p>
            <w:pPr>
              <w:pStyle w:val="Compact"/>
              <w:jc w:val="left"/>
            </w:pPr>
            <w:r>
              <w:t xml:space="preserve">HbA1c −0,9 vs −1,5 ; poids −1,9 vs −5,6 kg</w:t>
            </w:r>
          </w:p>
        </w:tc>
      </w:tr>
    </w:tbl>
    <w:p>
      <w:pPr>
        <w:pStyle w:val="BodyText"/>
      </w:pPr>
      <w:r>
        <w:t xml:space="preserve">La comparaison avec le dulaglutide et le liraglutide deux fois par jour (études AWARD-1 et LEAD-6) est examinée dans les chapitres correspondants.</w:t>
      </w:r>
    </w:p>
    <w:p>
      <w:pPr>
        <w:pStyle w:val="BodyText"/>
      </w:pPr>
      <w:r>
        <w:t xml:space="preserve">En résumé, l’exénatide se situe dans la moyenne basse de sa classe : plus puissant que les inhibiteurs de la DPP-4 (gliptines), moins que le liraglutide, le dulaglutide et surtout le sémaglutide.</w:t>
      </w:r>
    </w:p>
    <w:bookmarkEnd w:id="246"/>
    <w:bookmarkStart w:id="250" w:name="exscel-létude-cardiovasculaire"/>
    <w:p>
      <w:pPr>
        <w:pStyle w:val="Heading4"/>
      </w:pPr>
      <w:r>
        <w:t xml:space="preserve">EXSCEL : l’étude cardiovasculaire</w:t>
      </w:r>
    </w:p>
    <w:p>
      <w:pPr>
        <w:pStyle w:val="FirstParagraph"/>
      </w:pPr>
      <w:r>
        <w:t xml:space="preserve">Depuis 2008, l’autorité américaine du médicament, la FDA, exige des nouveaux antidiabétiques la preuve qu’ils n’augmentent pas le risque cardiovasculaire. Pour l’exénatide hebdomadaire, c’est EXSCEL qui a été menée à cette fin – l’une des plus grandes études de ce type.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EXSCEL (Holman 2017), PMID 28910237</w:t>
            </w:r>
          </w:p>
        </w:tc>
        <w:tc>
          <w:tcPr/>
          <w:p>
            <w:pPr>
              <w:pStyle w:val="Compact"/>
              <w:jc w:val="left"/>
            </w:pPr>
            <w:r>
              <w:t xml:space="preserve">14 752 personnes atteintes de diabète de type 2, dont 73,1 % avec antécédents cardiovasculaires, ECR contre placebo</w:t>
            </w:r>
          </w:p>
        </w:tc>
        <w:tc>
          <w:tcPr/>
          <w:p>
            <w:pPr>
              <w:pStyle w:val="Compact"/>
              <w:jc w:val="left"/>
            </w:pPr>
            <w:r>
              <w:t xml:space="preserve">médiane 3,2 ans</w:t>
            </w:r>
          </w:p>
        </w:tc>
        <w:tc>
          <w:tcPr/>
          <w:p>
            <w:pPr>
              <w:pStyle w:val="Compact"/>
              <w:jc w:val="left"/>
            </w:pPr>
            <w:r>
              <w:t xml:space="preserve">Événements cardiovasculaires graves 11,4 % vs 12,2 % ; HR 0,91 (0,83–1,00), supériorité manquée de peu (p = 0,06)</w:t>
            </w:r>
          </w:p>
        </w:tc>
      </w:tr>
      <w:tr>
        <w:tc>
          <w:tcPr/>
          <w:p>
            <w:pPr>
              <w:pStyle w:val="Compact"/>
              <w:jc w:val="left"/>
            </w:pPr>
            <w:r>
              <w:t xml:space="preserve">FREEDOM-CVO (Ruff 2022), PMID 34873344</w:t>
            </w:r>
          </w:p>
        </w:tc>
        <w:tc>
          <w:tcPr/>
          <w:p>
            <w:pPr>
              <w:pStyle w:val="Compact"/>
              <w:jc w:val="left"/>
            </w:pPr>
            <w:r>
              <w:t xml:space="preserve">4 156 personnes, implant à pompe d’exénatide ITCA 650 vs placebo</w:t>
            </w:r>
          </w:p>
        </w:tc>
        <w:tc>
          <w:tcPr/>
          <w:p>
            <w:pPr>
              <w:pStyle w:val="Compact"/>
              <w:jc w:val="left"/>
            </w:pPr>
            <w:r>
              <w:t xml:space="preserve">médiane 16 mois</w:t>
            </w:r>
          </w:p>
        </w:tc>
        <w:tc>
          <w:tcPr/>
          <w:p>
            <w:pPr>
              <w:pStyle w:val="Compact"/>
              <w:jc w:val="left"/>
            </w:pPr>
            <w:r>
              <w:t xml:space="preserve">Événements 4,6 % vs 3,8 % ; HR 1,21 (0,90–1,63), critère de sécurité rempli</w:t>
            </w:r>
          </w:p>
        </w:tc>
      </w:tr>
    </w:tbl>
    <w:p>
      <w:pPr>
        <w:pStyle w:val="BodyText"/>
      </w:pPr>
      <w:r>
        <w:t xml:space="preserve">Le critère principal combiné d’EXSCEL</w:t>
      </w:r>
      <w:r>
        <w:rPr>
          <w:rStyle w:val="FootnoteReference"/>
        </w:rPr>
        <w:footnoteReference w:id="247"/>
      </w:r>
      <w:r>
        <w:t xml:space="preserve"> </w:t>
      </w:r>
      <w:r>
        <w:t xml:space="preserve">– décès de cause cardiovasculaire, infarctus du myocarde non mortel ou AVC – est survenu sous exénatide chez 839 personnes sur 7 356 (11,4 %), sous placebo chez 905 sur 7 396 (12,2 %). Cela correspond à un hazard ratio (risque relatif au cours du temps) de 0,91. L’exénatide était donc sûr, mais pas protecteur de façon démontrée. Les pancréatites aiguës, les cancers du pancréas et les carcinomes médullaires de la thyroïde n’ont pas été plus fréquents que sous placebo.</w:t>
      </w:r>
    </w:p>
    <w:p>
      <w:pPr>
        <w:pStyle w:val="BodyText"/>
      </w:pPr>
      <w:r>
        <w:t xml:space="preserve">Pourquoi l’exénatide a obtenu dans EXSCEL des résultats plus faibles que le liraglutide dans LEADER ou le dulaglutide dans REWIND n’est pas définitivement établi. Les hypothèses évoquées sont un effet plus faible de la molécule elle-même, le taux d’abandon élevé de l’étude et un plan pragmatique avec peu de contrôle. Dans une méta-analyse commune des sept grandes études GLP-1 sur critères cliniques, totalisant 56 004 participants</w:t>
      </w:r>
      <w:r>
        <w:rPr>
          <w:rStyle w:val="FootnoteReference"/>
        </w:rPr>
        <w:footnoteReference w:id="248"/>
      </w:r>
      <w:r>
        <w:t xml:space="preserve">, la classe a réduit de 12 % les événements cardiovasculaires graves (HR 0,88) – sans différences notables entre les sous-groupes. EXSCEL s’inscrit donc dans le tableau d’ensemble, mais en se situant à sa limite inférieure.</w:t>
      </w:r>
    </w:p>
    <w:p>
      <w:pPr>
        <w:pStyle w:val="BodyText"/>
      </w:pPr>
      <w:r>
        <w:t xml:space="preserve">L’implant à pompe ITCA 650, un dispositif de la taille d’une allumette censé délivrer l’exénatide de manière régulière pendant des mois, n’a satisfait dans FREEDOM-CVO</w:t>
      </w:r>
      <w:r>
        <w:rPr>
          <w:rStyle w:val="FootnoteReference"/>
        </w:rPr>
        <w:footnoteReference w:id="249"/>
      </w:r>
      <w:r>
        <w:t xml:space="preserve"> </w:t>
      </w:r>
      <w:r>
        <w:t xml:space="preserve">qu’à la limite de sécurité généreuse de 2008. L’estimation ponctuelle se situait défavorablement au-dessus de 1, les effets indésirables étaient plus fréquents que sous placebo (72 % vs 63,9 %). Le système n’a pas obtenu d’autorisation.</w:t>
      </w:r>
    </w:p>
    <w:bookmarkEnd w:id="250"/>
    <w:bookmarkStart w:id="254" w:name="X2185dd54928cecbd01f2c8739e1cc1d89c32dc6"/>
    <w:p>
      <w:pPr>
        <w:pStyle w:val="Heading4"/>
      </w:pPr>
      <w:r>
        <w:t xml:space="preserve">Le poids sans diabète et chez les adolescents</w:t>
      </w:r>
    </w:p>
    <w:p>
      <w:pPr>
        <w:pStyle w:val="FirstParagraph"/>
      </w:pPr>
      <w:r>
        <w:t xml:space="preserve">L’exénatide n’est pas autorisé pour la perte de poids, mais il a été étudié dans ce but dans des études de plus petite taille. Chez 152 adultes obèses sans diabète, les participants sous exénatide deux fois par jour associé à un programme d’hygiène de vie ont perdu 5,1 kg en 24 semaines, contre 1,6 kg sous placebo</w:t>
      </w:r>
      <w:r>
        <w:rPr>
          <w:rStyle w:val="FootnoteReference"/>
        </w:rPr>
        <w:footnoteReference w:id="251"/>
      </w:r>
      <w:r>
        <w:t xml:space="preserve">. Une méta-analyse de six petites études totalisant 362 participants a trouvé une perte supplémentaire moyenne de 4,47 kg par rapport aux témoins</w:t>
      </w:r>
      <w:r>
        <w:rPr>
          <w:rStyle w:val="FootnoteReference"/>
        </w:rPr>
        <w:footnoteReference w:id="252"/>
      </w:r>
      <w:r>
        <w:t xml:space="preserve">. C’est une fraction de ce qui a été obtenu plus tard avec le sémaglutide ou le tirzépatide.</w:t>
      </w:r>
    </w:p>
    <w:p>
      <w:pPr>
        <w:pStyle w:val="BodyText"/>
      </w:pPr>
      <w:r>
        <w:t xml:space="preserve">Chez des adolescents atteints de diabète de type 2, la forme hebdomadaire a abaissé l’HbA1c après 24 semaines de 0,85 point de pourcentage de plus que le placebo dans une étude portant sur 83 participants</w:t>
      </w:r>
      <w:r>
        <w:rPr>
          <w:rStyle w:val="FootnoteReference"/>
        </w:rPr>
        <w:footnoteReference w:id="253"/>
      </w:r>
      <w:r>
        <w:t xml:space="preserve">. Une différence de poids de −1,22 kg n’était pas statistiquement significative. Cette étude a servi de base à l’extension de l’autorisation aux adolescents.</w:t>
      </w:r>
    </w:p>
    <w:bookmarkEnd w:id="254"/>
    <w:bookmarkStart w:id="259" w:name="Xca44f83d2a7f0dfe3dfedd6f45ca070d89b241b"/>
    <w:p>
      <w:pPr>
        <w:pStyle w:val="Heading4"/>
      </w:pPr>
      <w:r>
        <w:t xml:space="preserve">Parkinson : espoir, désillusion et une expression of concern</w:t>
      </w:r>
    </w:p>
    <w:p>
      <w:pPr>
        <w:pStyle w:val="FirstParagraph"/>
      </w:pPr>
      <w:r>
        <w:t xml:space="preserve">Aucun autre domaine d’utilisation n’a valu à l’exénatide autant d’attention hors du diabète que la maladie de Parkinson. Le point de départ était des expériences animales et cellulaires dans lesquelles les agonistes du récepteur du GLP-1 protégeaient les cellules nerveuses.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Exenatide-PD (Athauda 2017), PMID 28781108</w:t>
            </w:r>
          </w:p>
        </w:tc>
        <w:tc>
          <w:tcPr/>
          <w:p>
            <w:pPr>
              <w:pStyle w:val="Compact"/>
              <w:jc w:val="left"/>
            </w:pPr>
            <w:r>
              <w:t xml:space="preserve">62 personnes atteintes de Parkinson modéré, ECR contre placebo</w:t>
            </w:r>
          </w:p>
        </w:tc>
        <w:tc>
          <w:tcPr/>
          <w:p>
            <w:pPr>
              <w:pStyle w:val="Compact"/>
              <w:jc w:val="left"/>
            </w:pPr>
            <w:r>
              <w:t xml:space="preserve">48 semaines + 12 semaines de sevrage</w:t>
            </w:r>
          </w:p>
        </w:tc>
        <w:tc>
          <w:tcPr/>
          <w:p>
            <w:pPr>
              <w:pStyle w:val="Compact"/>
              <w:jc w:val="left"/>
            </w:pPr>
            <w:r>
              <w:t xml:space="preserve">Score moteur meilleur de 3,5 points que sous placebo (p = 0,0318)</w:t>
            </w:r>
          </w:p>
        </w:tc>
      </w:tr>
      <w:tr>
        <w:tc>
          <w:tcPr/>
          <w:p>
            <w:pPr>
              <w:pStyle w:val="Compact"/>
              <w:jc w:val="left"/>
            </w:pPr>
            <w:r>
              <w:t xml:space="preserve">Exenatide-PD3 (Vijiaratnam 2025), PMID 39919773</w:t>
            </w:r>
          </w:p>
        </w:tc>
        <w:tc>
          <w:tcPr/>
          <w:p>
            <w:pPr>
              <w:pStyle w:val="Compact"/>
              <w:jc w:val="left"/>
            </w:pPr>
            <w:r>
              <w:t xml:space="preserve">194 personnes, ECR contre placebo, six centres</w:t>
            </w:r>
          </w:p>
        </w:tc>
        <w:tc>
          <w:tcPr/>
          <w:p>
            <w:pPr>
              <w:pStyle w:val="Compact"/>
              <w:jc w:val="left"/>
            </w:pPr>
            <w:r>
              <w:t xml:space="preserve">96 semaines</w:t>
            </w:r>
          </w:p>
        </w:tc>
        <w:tc>
          <w:tcPr/>
          <w:p>
            <w:pPr>
              <w:pStyle w:val="Compact"/>
              <w:jc w:val="left"/>
            </w:pPr>
            <w:r>
              <w:t xml:space="preserve">Aucune différence : aggravation de +5,7 vs +4,5 points (p = 0,47)</w:t>
            </w:r>
          </w:p>
        </w:tc>
      </w:tr>
      <w:tr>
        <w:tc>
          <w:tcPr/>
          <w:p>
            <w:pPr>
              <w:pStyle w:val="Compact"/>
              <w:jc w:val="left"/>
            </w:pPr>
            <w:r>
              <w:t xml:space="preserve">NLY01 (McGarry 2024), PMID 38101901</w:t>
            </w:r>
          </w:p>
        </w:tc>
        <w:tc>
          <w:tcPr/>
          <w:p>
            <w:pPr>
              <w:pStyle w:val="Compact"/>
              <w:jc w:val="left"/>
            </w:pPr>
            <w:r>
              <w:t xml:space="preserve">255 personnes atteintes de Parkinson débutant non traité, exénatide pégylé vs placebo</w:t>
            </w:r>
          </w:p>
        </w:tc>
        <w:tc>
          <w:tcPr/>
          <w:p>
            <w:pPr>
              <w:pStyle w:val="Compact"/>
              <w:jc w:val="left"/>
            </w:pPr>
            <w:r>
              <w:t xml:space="preserve">36 semaines</w:t>
            </w:r>
          </w:p>
        </w:tc>
        <w:tc>
          <w:tcPr/>
          <w:p>
            <w:pPr>
              <w:pStyle w:val="Compact"/>
              <w:jc w:val="left"/>
            </w:pPr>
            <w:r>
              <w:t xml:space="preserve">Aucune différence dans les deux groupes de dose</w:t>
            </w:r>
          </w:p>
        </w:tc>
      </w:tr>
    </w:tbl>
    <w:p>
      <w:pPr>
        <w:pStyle w:val="BodyText"/>
      </w:pPr>
      <w:r>
        <w:t xml:space="preserve">La petite étude d’Athauda 2017</w:t>
      </w:r>
      <w:r>
        <w:rPr>
          <w:rStyle w:val="FootnoteReference"/>
        </w:rPr>
        <w:footnoteReference w:id="255"/>
      </w:r>
      <w:r>
        <w:t xml:space="preserve"> </w:t>
      </w:r>
      <w:r>
        <w:t xml:space="preserve">a trouvé après 60 semaines une différence de 3,5 points sur l’échelle d’évaluation motrice MDS-UPDRS partie III, qui persistait même après l’arrêt. Cela a souvent été interprété comme un premier indice possible d’un effet ralentissant la maladie. Les autrices et auteurs sont restés prudents : il n’était pas clair, selon eux, si l’exénatide influençait l’évolution de la maladie ou avait seulement des effets symptomatiques durables.</w:t>
      </w:r>
    </w:p>
    <w:p>
      <w:pPr>
        <w:pStyle w:val="BodyText"/>
      </w:pPr>
      <w:r>
        <w:t xml:space="preserve">L’étude de phase 3 plus grande Exenatide-PD3</w:t>
      </w:r>
      <w:r>
        <w:rPr>
          <w:rStyle w:val="FootnoteReference"/>
        </w:rPr>
        <w:footnoteReference w:id="256"/>
      </w:r>
      <w:r>
        <w:t xml:space="preserve"> </w:t>
      </w:r>
      <w:r>
        <w:t xml:space="preserve">n’a pas pu le confirmer. Après 96 semaines, le score moteur s’était dégradé de façon similaire dans les deux groupes. Les chercheurs ont conclu qu’il n’existait aucune preuve de l’exénatide comme traitement modificateur de la maladie. La revue a publié en 2026 au sujet de cette publication une « expression of concern » (Expression of Concern, The Lancet 2026, PMID 42330995) – un avertissement éditorial signalant que des questions concernant une publication sont en cours d’examen. L’entrée PubMed ne contient aucun résumé des raisons ; l’étude devrait donc être évaluée avec réserve jusqu’à clarification. Une variante d’exénatide pégylée à action prolongée (NLY01) n’a pas non plus montré de bénéfice dans la maladie de Parkinson débutante</w:t>
      </w:r>
      <w:r>
        <w:rPr>
          <w:rStyle w:val="FootnoteReference"/>
        </w:rPr>
        <w:footnoteReference w:id="257"/>
      </w:r>
      <w:r>
        <w:t xml:space="preserve">.</w:t>
      </w:r>
    </w:p>
    <w:p>
      <w:pPr>
        <w:pStyle w:val="BodyText"/>
      </w:pPr>
      <w:r>
        <w:t xml:space="preserve">Dans l’atrophie multisystématisée, une maladie rare apparentée, une étude ouverte portant sur 50 participants a trouvé un avantage sur le critère principal, mais aucune différence dans des mesures objectives comme les biomarqueurs ou l’imagerie</w:t>
      </w:r>
      <w:r>
        <w:rPr>
          <w:rStyle w:val="FootnoteReference"/>
        </w:rPr>
        <w:footnoteReference w:id="258"/>
      </w:r>
      <w:r>
        <w:t xml:space="preserve">. Les autrices et auteurs eux-mêmes jugent possible un effet placebo ou un effet observateur.</w:t>
      </w:r>
    </w:p>
    <w:bookmarkEnd w:id="259"/>
    <w:bookmarkStart w:id="264" w:name="autres-domaines-dutilisation-étudiés"/>
    <w:p>
      <w:pPr>
        <w:pStyle w:val="Heading4"/>
      </w:pPr>
      <w:r>
        <w:t xml:space="preserve">Autres domaines d’utilisation étudiés</w:t>
      </w:r>
    </w:p>
    <w:p>
      <w:pPr>
        <w:numPr>
          <w:ilvl w:val="0"/>
          <w:numId w:val="1037"/>
        </w:numPr>
        <w:pStyle w:val="Compact"/>
      </w:pPr>
      <w:r>
        <w:rPr>
          <w:bCs/>
          <w:b/>
        </w:rPr>
        <w:t xml:space="preserve">Maladie d’Alzheimer et trouble cognitif léger :</w:t>
      </w:r>
      <w:r>
        <w:t xml:space="preserve"> </w:t>
      </w:r>
      <w:r>
        <w:t xml:space="preserve">une étude pilote arrêtée prématurément n’a trouvé aucune différence dans les mesures de mémoire ou d’imagerie</w:t>
      </w:r>
      <w:r>
        <w:rPr>
          <w:rStyle w:val="FootnoteReference"/>
        </w:rPr>
        <w:footnoteReference w:id="260"/>
      </w:r>
      <w:r>
        <w:t xml:space="preserve">. Une étude de 32 semaines dans le trouble cognitif léger n’a pas non plus montré de bénéfice</w:t>
      </w:r>
      <w:r>
        <w:rPr>
          <w:rStyle w:val="FootnoteReference"/>
        </w:rPr>
        <w:footnoteReference w:id="261"/>
      </w:r>
      <w:r>
        <w:t xml:space="preserve">.</w:t>
      </w:r>
    </w:p>
    <w:p>
      <w:pPr>
        <w:numPr>
          <w:ilvl w:val="0"/>
          <w:numId w:val="1037"/>
        </w:numPr>
        <w:pStyle w:val="Compact"/>
      </w:pPr>
      <w:r>
        <w:rPr>
          <w:bCs/>
          <w:b/>
        </w:rPr>
        <w:t xml:space="preserve">Dépendance à l’alcool :</w:t>
      </w:r>
      <w:r>
        <w:t xml:space="preserve"> </w:t>
      </w:r>
      <w:r>
        <w:t xml:space="preserve">dans une étude portant sur 127 participants, l’exénatide hebdomadaire n’a pas réduit significativement le nombre de jours de forte consommation. Dans une analyse de sous-groupe a posteriori chez des personnes obèses, un effet était visible ; à l’IRM cérébrale, la réaction aux stimuli liés à l’alcool était atténuée</w:t>
      </w:r>
      <w:r>
        <w:rPr>
          <w:rStyle w:val="FootnoteReference"/>
        </w:rPr>
        <w:footnoteReference w:id="262"/>
      </w:r>
      <w:r>
        <w:t xml:space="preserve">. De tels résultats de sous-groupes sont des hypothèses, pas des preuves.</w:t>
      </w:r>
    </w:p>
    <w:p>
      <w:pPr>
        <w:numPr>
          <w:ilvl w:val="0"/>
          <w:numId w:val="1037"/>
        </w:numPr>
        <w:pStyle w:val="Compact"/>
      </w:pPr>
      <w:r>
        <w:rPr>
          <w:bCs/>
          <w:b/>
        </w:rPr>
        <w:t xml:space="preserve">Hypertension intracrânienne idiopathique</w:t>
      </w:r>
      <w:r>
        <w:t xml:space="preserve"> </w:t>
      </w:r>
      <w:r>
        <w:t xml:space="preserve">(pression intracrânienne élevée sans cause identifiable, surtout chez des jeunes femmes en surpoids) : chez 16 femmes, l’exénatide a abaissé la pression intracrânienne mesurée après 24 heures de 6,4 cm d’eau en moyenne par rapport au placebo</w:t>
      </w:r>
      <w:r>
        <w:rPr>
          <w:rStyle w:val="FootnoteReference"/>
        </w:rPr>
        <w:footnoteReference w:id="263"/>
      </w:r>
      <w:r>
        <w:t xml:space="preserve">. L’étude est très petite ; une étude plus grande est attendue.</w:t>
      </w:r>
    </w:p>
    <w:bookmarkEnd w:id="264"/>
    <w:bookmarkEnd w:id="265"/>
    <w:bookmarkStart w:id="269" w:name="études-animales-et-de-laboratoire"/>
    <w:p>
      <w:pPr>
        <w:pStyle w:val="Heading3"/>
      </w:pPr>
      <w:r>
        <w:t xml:space="preserve">Études animales et de laboratoire</w:t>
      </w:r>
    </w:p>
    <w:p>
      <w:pPr>
        <w:pStyle w:val="FirstParagraph"/>
      </w:pPr>
      <w:r>
        <w:t xml:space="preserve">À l’origine, l’exendine-4 n’était pas du tout recherchée comme antidiabétique. Dans la première description de 1992, les chercheurs ont étudié son effet sur des cellules de pancréas de cobaye</w:t>
      </w:r>
      <w:r>
        <w:rPr>
          <w:rStyle w:val="FootnoteReference"/>
        </w:rPr>
        <w:footnoteReference w:id="266"/>
      </w:r>
      <w:r>
        <w:t xml:space="preserve">. Ce n’est que plus tard qu’il est apparu qu’elle agit sur le récepteur du GLP-1.</w:t>
      </w:r>
    </w:p>
    <w:p>
      <w:pPr>
        <w:pStyle w:val="BodyText"/>
      </w:pPr>
      <w:r>
        <w:t xml:space="preserve">Un grand nombre d’études animales ont suivi. Chez des rats auxquels on avait retiré une partie du pancréas, l’exendine-4 a favorisé la néoformation et la division des cellules bêta productrices d’insuline et atténué le développement d’un diabète</w:t>
      </w:r>
      <w:r>
        <w:rPr>
          <w:rStyle w:val="FootnoteReference"/>
        </w:rPr>
        <w:footnoteReference w:id="267"/>
      </w:r>
      <w:r>
        <w:t xml:space="preserve">. Qu’une telle régénération des cellules bêta puisse être obtenue dans une mesure notable chez l’humain n’est toujours pas démontré.</w:t>
      </w:r>
    </w:p>
    <w:p>
      <w:pPr>
        <w:pStyle w:val="BodyText"/>
      </w:pPr>
      <w:r>
        <w:t xml:space="preserve">S’y sont ajoutées des expériences chez des rongeurs sur la neuroprotection (Parkinson, Alzheimer, AVC), la consommation d’alcool et les comportements addictifs ainsi que la pression intracrânienne. Ces données animales ont motivé les études chez l’humain décrites plus haut – dont les résultats sont jusqu’ici nettement plus modestes. C’est un exemple instructif de la difficulté à transposer à l’humain les résultats obtenus chez le rat et la souris.</w:t>
      </w:r>
    </w:p>
    <w:p>
      <w:pPr>
        <w:pStyle w:val="BodyText"/>
      </w:pPr>
      <w:r>
        <w:t xml:space="preserve">Concernant la thyroïde : chez le rat et la souris, les agonistes du récepteur du GLP-1 provoquent une prolifération des cellules C de la thyroïde, alors que chez les primates et l’humain, ces cellules ne portent pratiquement pas de récepteur</w:t>
      </w:r>
      <w:r>
        <w:rPr>
          <w:rStyle w:val="FootnoteReference"/>
        </w:rPr>
        <w:footnoteReference w:id="268"/>
      </w:r>
      <w:r>
        <w:t xml:space="preserve">. Pour en savoir plus, voir le chapitre Liraglutide et la partie IV.</w:t>
      </w:r>
    </w:p>
    <w:bookmarkEnd w:id="269"/>
    <w:bookmarkStart w:id="279" w:name="risques-et-effets-indésirables"/>
    <w:p>
      <w:pPr>
        <w:pStyle w:val="Heading3"/>
      </w:pPr>
      <w:r>
        <w:t xml:space="preserve">Risques et effets indésirables</w:t>
      </w:r>
    </w:p>
    <w:p>
      <w:pPr>
        <w:pStyle w:val="FirstParagraph"/>
      </w:pPr>
      <w:r>
        <w:rPr>
          <w:bCs/>
          <w:b/>
        </w:rPr>
        <w:t xml:space="preserve">Démontrés dans des études randomisées :</w:t>
      </w:r>
    </w:p>
    <w:p>
      <w:pPr>
        <w:numPr>
          <w:ilvl w:val="0"/>
          <w:numId w:val="1038"/>
        </w:numPr>
        <w:pStyle w:val="Compact"/>
      </w:pPr>
      <w:r>
        <w:t xml:space="preserve">Les</w:t>
      </w:r>
      <w:r>
        <w:t xml:space="preserve"> </w:t>
      </w:r>
      <w:r>
        <w:rPr>
          <w:bCs/>
          <w:b/>
        </w:rPr>
        <w:t xml:space="preserve">troubles gastro-intestinaux</w:t>
      </w:r>
      <w:r>
        <w:t xml:space="preserve"> </w:t>
      </w:r>
      <w:r>
        <w:t xml:space="preserve">sont l’effet indésirable le plus fréquent. Avec la forme biquotidienne, des nausées sont survenues chez 57,1 % des personnes traitées dans la comparaison avec l’insuline glargine, des vomissements chez 17,4 %</w:t>
      </w:r>
      <w:r>
        <w:rPr>
          <w:rStyle w:val="FootnoteReference"/>
        </w:rPr>
        <w:footnoteReference w:id="270"/>
      </w:r>
      <w:r>
        <w:t xml:space="preserve">. La forme hebdomadaire provoque moins de nausées ; dans DURATION-6, elles touchaient 9 %</w:t>
      </w:r>
      <w:r>
        <w:rPr>
          <w:rStyle w:val="FootnoteReference"/>
        </w:rPr>
        <w:footnoteReference w:id="271"/>
      </w:r>
      <w:r>
        <w:t xml:space="preserve">. Les troubles diminuent généralement avec le temps.</w:t>
      </w:r>
    </w:p>
    <w:p>
      <w:pPr>
        <w:numPr>
          <w:ilvl w:val="0"/>
          <w:numId w:val="1038"/>
        </w:numPr>
        <w:pStyle w:val="Compact"/>
      </w:pPr>
      <w:r>
        <w:t xml:space="preserve">L’</w:t>
      </w:r>
      <w:r>
        <w:rPr>
          <w:bCs/>
          <w:b/>
        </w:rPr>
        <w:t xml:space="preserve">hypoglycémie</w:t>
      </w:r>
      <w:r>
        <w:t xml:space="preserve"> </w:t>
      </w:r>
      <w:r>
        <w:t xml:space="preserve">est rare en monothérapie, mais devient plus fréquente en association avec des sulfamides ou de l’insuline</w:t>
      </w:r>
      <w:r>
        <w:rPr>
          <w:rStyle w:val="FootnoteReference"/>
        </w:rPr>
        <w:footnoteReference w:id="272"/>
      </w:r>
      <w:r>
        <w:t xml:space="preserve">.</w:t>
      </w:r>
    </w:p>
    <w:p>
      <w:pPr>
        <w:numPr>
          <w:ilvl w:val="0"/>
          <w:numId w:val="1038"/>
        </w:numPr>
        <w:pStyle w:val="Compact"/>
      </w:pPr>
      <w:r>
        <w:rPr>
          <w:bCs/>
          <w:b/>
        </w:rPr>
        <w:t xml:space="preserve">Réactions au point d’injection :</w:t>
      </w:r>
      <w:r>
        <w:t xml:space="preserve"> </w:t>
      </w:r>
      <w:r>
        <w:t xml:space="preserve">avec la forme hebdomadaire, des nodules palpables se forment fréquemment sous la peau, parce que les microsphères y sont lentement dégradées. Dans l’analyse à cinq ans de DURATION-1, ces réactions sont devenues plus rares avec le temps</w:t>
      </w:r>
      <w:r>
        <w:rPr>
          <w:rStyle w:val="FootnoteReference"/>
        </w:rPr>
        <w:footnoteReference w:id="273"/>
      </w:r>
      <w:r>
        <w:t xml:space="preserve">.</w:t>
      </w:r>
    </w:p>
    <w:p>
      <w:pPr>
        <w:numPr>
          <w:ilvl w:val="0"/>
          <w:numId w:val="1038"/>
        </w:numPr>
        <w:pStyle w:val="Compact"/>
      </w:pPr>
      <w:r>
        <w:rPr>
          <w:bCs/>
          <w:b/>
        </w:rPr>
        <w:t xml:space="preserve">Formation d’anticorps :</w:t>
      </w:r>
      <w:r>
        <w:t xml:space="preserve"> </w:t>
      </w:r>
      <w:r>
        <w:t xml:space="preserve">en raison de son origine (venin de lézard), une partie des personnes traitées forme des anticorps. Ce point est décrit plus en détail dans la partie IV.</w:t>
      </w:r>
    </w:p>
    <w:p>
      <w:pPr>
        <w:pStyle w:val="FirstParagraph"/>
      </w:pPr>
      <w:r>
        <w:rPr>
          <w:bCs/>
          <w:b/>
        </w:rPr>
        <w:t xml:space="preserve">Étudiés, mais non confirmés ou incertains :</w:t>
      </w:r>
    </w:p>
    <w:p>
      <w:pPr>
        <w:numPr>
          <w:ilvl w:val="0"/>
          <w:numId w:val="1039"/>
        </w:numPr>
        <w:pStyle w:val="Compact"/>
      </w:pPr>
      <w:r>
        <w:rPr>
          <w:bCs/>
          <w:b/>
        </w:rPr>
        <w:t xml:space="preserve">Pancréatite aiguë (inflammation du pancréas) :</w:t>
      </w:r>
      <w:r>
        <w:t xml:space="preserve"> </w:t>
      </w:r>
      <w:r>
        <w:t xml:space="preserve">peu après la mise sur le marché, des notifications spontanées ont conduit à des mises en garde. Dans une analyse poolée de deux bases de données d’assurance portant sur 49 956 personnes sous exénatide deux fois par jour, le risque n’était pas augmenté sans correction (risque relatif 1,0) et légèrement augmenté après correction pour erreur de classification (1,3 ; intervalle de confiance 1,0–1,7)</w:t>
      </w:r>
      <w:r>
        <w:rPr>
          <w:rStyle w:val="FootnoteReference"/>
        </w:rPr>
        <w:footnoteReference w:id="274"/>
      </w:r>
      <w:r>
        <w:t xml:space="preserve">. Dans EXSCEL, la pancréatite n’a pas été plus fréquente que sous placebo</w:t>
      </w:r>
      <w:r>
        <w:rPr>
          <w:rStyle w:val="FootnoteReference"/>
        </w:rPr>
        <w:footnoteReference w:id="275"/>
      </w:r>
      <w:r>
        <w:t xml:space="preserve">. La pancréatite reste mentionnée comme effet indésirable rare dans le résumé des caractéristiques du produit.</w:t>
      </w:r>
    </w:p>
    <w:p>
      <w:pPr>
        <w:numPr>
          <w:ilvl w:val="0"/>
          <w:numId w:val="1039"/>
        </w:numPr>
        <w:pStyle w:val="Compact"/>
      </w:pPr>
      <w:r>
        <w:rPr>
          <w:bCs/>
          <w:b/>
        </w:rPr>
        <w:t xml:space="preserve">Cancer du pancréas et de la thyroïde :</w:t>
      </w:r>
      <w:r>
        <w:t xml:space="preserve"> </w:t>
      </w:r>
      <w:r>
        <w:t xml:space="preserve">dans une étude de cohorte américaine portant sur 33 629 personnes sous exénatide, le risque de cancer du pancréas n’était pas augmenté (HR 0,76) ; pour le cancer de la thyroïde, l’estimation était de 1,46, avec un intervalle de confiance de 0,98 à 2,19, donc sans signification statistique</w:t>
      </w:r>
      <w:r>
        <w:rPr>
          <w:rStyle w:val="FootnoteReference"/>
        </w:rPr>
        <w:footnoteReference w:id="276"/>
      </w:r>
      <w:r>
        <w:t xml:space="preserve">. Une méta-analyse de 50 études randomisées portant sur l’ensemble de la classe GLP-1 n’a globalement pas trouvé de risque accru de cancer, mais un signal pour le cancer de la thyroïde (odds ratio 1,55), qui doit faire l’objet d’études complémentaires</w:t>
      </w:r>
      <w:r>
        <w:rPr>
          <w:rStyle w:val="FootnoteReference"/>
        </w:rPr>
        <w:footnoteReference w:id="277"/>
      </w:r>
      <w:r>
        <w:t xml:space="preserve">. Une étude de sécurité européenne sur le cancer du pancréas sous exénatide est en cours</w:t>
      </w:r>
      <w:r>
        <w:rPr>
          <w:rStyle w:val="FootnoteReference"/>
        </w:rPr>
        <w:footnoteReference w:id="278"/>
      </w:r>
      <w:r>
        <w:t xml:space="preserve">.</w:t>
      </w:r>
    </w:p>
    <w:p>
      <w:pPr>
        <w:numPr>
          <w:ilvl w:val="0"/>
          <w:numId w:val="1039"/>
        </w:numPr>
        <w:pStyle w:val="Compact"/>
      </w:pPr>
      <w:r>
        <w:rPr>
          <w:bCs/>
          <w:b/>
        </w:rPr>
        <w:t xml:space="preserve">Risque cardiovasculaire :</w:t>
      </w:r>
      <w:r>
        <w:t xml:space="preserve"> </w:t>
      </w:r>
      <w:r>
        <w:t xml:space="preserve">non augmenté dans EXSCEL.</w:t>
      </w:r>
    </w:p>
    <w:p>
      <w:pPr>
        <w:pStyle w:val="FirstParagraph"/>
      </w:pPr>
      <w:r>
        <w:rPr>
          <w:bCs/>
          <w:b/>
        </w:rPr>
        <w:t xml:space="preserve">Remarques pour la pratique :</w:t>
      </w:r>
      <w:r>
        <w:t xml:space="preserve"> </w:t>
      </w:r>
      <w:r>
        <w:t xml:space="preserve">l’exénatide est éliminé par les reins ; il n’est pas recommandé en cas d’insuffisance rénale sévère. Comme tous les agonistes du récepteur du GLP-1, il ralentit la vidange gastrique et peut ainsi influencer l’absorption d’autres médicaments. Pour l’utilisation, les contre-indications et les interactions, c’est le résumé des caractéristiques du produit en vigueur qui fait foi ; le traitement relève du médecin.</w:t>
      </w:r>
    </w:p>
    <w:bookmarkEnd w:id="279"/>
    <w:bookmarkStart w:id="280" w:name="statut-juridique"/>
    <w:p>
      <w:pPr>
        <w:pStyle w:val="Heading3"/>
      </w:pPr>
      <w:r>
        <w:t xml:space="preserve">Statut juridique</w:t>
      </w:r>
    </w:p>
    <w:p>
      <w:pPr>
        <w:numPr>
          <w:ilvl w:val="0"/>
          <w:numId w:val="1040"/>
        </w:numPr>
        <w:pStyle w:val="Compact"/>
      </w:pPr>
      <w:r>
        <w:rPr>
          <w:bCs/>
          <w:b/>
        </w:rPr>
        <w:t xml:space="preserve">UE :</w:t>
      </w:r>
      <w:r>
        <w:t xml:space="preserve"> </w:t>
      </w:r>
      <w:r>
        <w:t xml:space="preserve">l’exénatide est autorisé par procédure centralisée en tant que médicament soumis à prescription pour le traitement du diabète de type 2 (Byetta depuis 2006, Bydureon depuis 2011). Il n’est pas autorisé pour la perte de poids.</w:t>
      </w:r>
    </w:p>
    <w:p>
      <w:pPr>
        <w:numPr>
          <w:ilvl w:val="0"/>
          <w:numId w:val="1040"/>
        </w:numPr>
        <w:pStyle w:val="Compact"/>
      </w:pPr>
      <w:r>
        <w:rPr>
          <w:bCs/>
          <w:b/>
        </w:rPr>
        <w:t xml:space="preserve">Allemagne et Autriche :</w:t>
      </w:r>
      <w:r>
        <w:t xml:space="preserve"> </w:t>
      </w:r>
      <w:r>
        <w:t xml:space="preserve">soumis à prescription. La prescription dans le seul but de perdre du poids serait un usage hors AMM et n’est en règle générale pas prise en charge par les caisses d’assurance maladie. Certaines formes galéniques ne sont pas commercialisées durablement dans tous les pays – à vérifier.</w:t>
      </w:r>
    </w:p>
    <w:p>
      <w:pPr>
        <w:numPr>
          <w:ilvl w:val="0"/>
          <w:numId w:val="1040"/>
        </w:numPr>
        <w:pStyle w:val="Compact"/>
      </w:pPr>
      <w:r>
        <w:rPr>
          <w:bCs/>
          <w:b/>
        </w:rPr>
        <w:t xml:space="preserve">États-Unis :</w:t>
      </w:r>
      <w:r>
        <w:t xml:space="preserve"> </w:t>
      </w:r>
      <w:r>
        <w:t xml:space="preserve">autorisé pour le diabète de type 2 ; la forme hebdomadaire aussi pour les adolescents à partir de 10 ans. Des génériques sont autorisés pour la forme biquotidienne.</w:t>
      </w:r>
    </w:p>
    <w:p>
      <w:pPr>
        <w:numPr>
          <w:ilvl w:val="0"/>
          <w:numId w:val="1040"/>
        </w:numPr>
        <w:pStyle w:val="Compact"/>
      </w:pPr>
      <w:r>
        <w:rPr>
          <w:bCs/>
          <w:b/>
        </w:rPr>
        <w:t xml:space="preserve">Sport (AMA) :</w:t>
      </w:r>
      <w:r>
        <w:t xml:space="preserve"> </w:t>
      </w:r>
      <w:r>
        <w:t xml:space="preserve">les agonistes du récepteur du GLP-1 ne figurent pas sur la liste des interdictions (état 2026, à vérifier).</w:t>
      </w:r>
    </w:p>
    <w:p>
      <w:pPr>
        <w:numPr>
          <w:ilvl w:val="0"/>
          <w:numId w:val="1040"/>
        </w:numPr>
        <w:pStyle w:val="Compact"/>
      </w:pPr>
      <w:r>
        <w:rPr>
          <w:bCs/>
          <w:b/>
        </w:rPr>
        <w:t xml:space="preserve">Marché gris :</w:t>
      </w:r>
      <w:r>
        <w:t xml:space="preserve"> </w:t>
      </w:r>
      <w:r>
        <w:t xml:space="preserve">l’exénatide ne joue guère de rôle sur le marché gris à côté du sémaglutide et du tirzépatide. La partie I décrit les risques généraux des circuits d’approvisionnement non autorisés.</w:t>
      </w:r>
    </w:p>
    <w:bookmarkEnd w:id="280"/>
    <w:bookmarkStart w:id="287" w:name="études-en-cours-et-perspectives"/>
    <w:p>
      <w:pPr>
        <w:pStyle w:val="Heading3"/>
      </w:pPr>
      <w:r>
        <w:t xml:space="preserve">Études en cours et perspectives</w:t>
      </w:r>
    </w:p>
    <w:p>
      <w:pPr>
        <w:pStyle w:val="FirstParagraph"/>
      </w:pPr>
      <w:r>
        <w:rPr>
          <w:bCs/>
          <w:b/>
        </w:rPr>
        <w:t xml:space="preserve">Établi (études enregistrées) :</w:t>
      </w:r>
      <w:r>
        <w:t xml:space="preserve"> </w:t>
      </w:r>
      <w:r>
        <w:t xml:space="preserve">en tant qu’antidiabétique, l’exénatide est largement « exploré » ; il n’y a pratiquement plus de nouvelles études d’autorisation dans cette indication. Les inscriptions actuelles aux registres concernent surtout :</w:t>
      </w:r>
    </w:p>
    <w:p>
      <w:pPr>
        <w:numPr>
          <w:ilvl w:val="0"/>
          <w:numId w:val="1041"/>
        </w:numPr>
        <w:pStyle w:val="Compact"/>
      </w:pPr>
      <w:r>
        <w:t xml:space="preserve">Des modifications de la molécule : en Chine, des variantes pégylées sont en développement. Pour le PB-119, une étude de phase 2 portant sur 251 participants a abaissé l’HbA1c après 12 semaines jusqu’à 1,18 point de pourcentage de plus que le placebo</w:t>
      </w:r>
      <w:r>
        <w:rPr>
          <w:rStyle w:val="FootnoteReference"/>
        </w:rPr>
        <w:footnoteReference w:id="281"/>
      </w:r>
      <w:r>
        <w:t xml:space="preserve">. Un autre candidat, le JY09 – exendine-4 couplée à un fragment d’anticorps (protéine de fusion Fc), injecté toutes les deux semaines dans les études –, est évalué dans des études de phase 3 contre placebo et contre dulaglutide</w:t>
      </w:r>
      <w:r>
        <w:rPr>
          <w:rStyle w:val="FootnoteReference"/>
        </w:rPr>
        <w:footnoteReference w:id="282"/>
      </w:r>
      <w:r>
        <w:t xml:space="preserve">.</w:t>
      </w:r>
    </w:p>
    <w:p>
      <w:pPr>
        <w:numPr>
          <w:ilvl w:val="0"/>
          <w:numId w:val="1041"/>
        </w:numPr>
        <w:pStyle w:val="Compact"/>
      </w:pPr>
      <w:r>
        <w:t xml:space="preserve">La neurologie : la variante pégylée NLY01 est étudiée dans la sclérose en plaques dans une étude de phase 2 portant sur 120 participants</w:t>
      </w:r>
      <w:r>
        <w:rPr>
          <w:rStyle w:val="FootnoteReference"/>
        </w:rPr>
        <w:footnoteReference w:id="283"/>
      </w:r>
      <w:r>
        <w:t xml:space="preserve">.</w:t>
      </w:r>
    </w:p>
    <w:p>
      <w:pPr>
        <w:numPr>
          <w:ilvl w:val="0"/>
          <w:numId w:val="1041"/>
        </w:numPr>
        <w:pStyle w:val="Compact"/>
      </w:pPr>
      <w:r>
        <w:t xml:space="preserve">La sécurité : outre l’étude européenne sur le cancer du pancréas</w:t>
      </w:r>
      <w:r>
        <w:rPr>
          <w:rStyle w:val="FootnoteReference"/>
        </w:rPr>
        <w:footnoteReference w:id="284"/>
      </w:r>
      <w:r>
        <w:t xml:space="preserve">, un programme de surveillance à long terme des carcinomes médullaires de la thyroïde sous agonistes du récepteur du GLP-1 est en cours</w:t>
      </w:r>
      <w:r>
        <w:rPr>
          <w:rStyle w:val="FootnoteReference"/>
        </w:rPr>
        <w:footnoteReference w:id="285"/>
      </w:r>
      <w:r>
        <w:t xml:space="preserve">.</w:t>
      </w:r>
    </w:p>
    <w:p>
      <w:pPr>
        <w:numPr>
          <w:ilvl w:val="0"/>
          <w:numId w:val="1041"/>
        </w:numPr>
        <w:pStyle w:val="Compact"/>
      </w:pPr>
      <w:r>
        <w:t xml:space="preserve">Le diagnostic : l’exendine-4 marquée radioactivement est utilisée comme traceur en imagerie TEP des insulinomes (tumeurs rares produisant de l’insuline)</w:t>
      </w:r>
      <w:r>
        <w:rPr>
          <w:rStyle w:val="FootnoteReference"/>
        </w:rPr>
        <w:footnoteReference w:id="286"/>
      </w:r>
      <w:r>
        <w:t xml:space="preserve">.</w:t>
      </w:r>
    </w:p>
    <w:p>
      <w:pPr>
        <w:pStyle w:val="FirstParagraph"/>
      </w:pPr>
      <w:r>
        <w:rPr>
          <w:bCs/>
          <w:b/>
        </w:rPr>
        <w:t xml:space="preserve">Estimation :</w:t>
      </w:r>
      <w:r>
        <w:t xml:space="preserve"> </w:t>
      </w:r>
      <w:r>
        <w:t xml:space="preserve">l’exénatide continuera de perdre de l’importance dans le traitement du diabète, car des successeurs plus puissants et plus pratiques sont disponibles. Son rôle durable est celui d’un pionnier et d’un outil pour la recherche. La renaissance éventuelle de l’hypothèse parkinsonienne dépend de substances pénétrant mieux dans le cerveau et de la clarification concernant Exenatide-PD3.</w:t>
      </w:r>
    </w:p>
    <w:bookmarkEnd w:id="287"/>
    <w:bookmarkStart w:id="288" w:name="conclusion"/>
    <w:p>
      <w:pPr>
        <w:pStyle w:val="Heading3"/>
      </w:pPr>
      <w:r>
        <w:t xml:space="preserve">Conclusion</w:t>
      </w:r>
    </w:p>
    <w:p>
      <w:pPr>
        <w:pStyle w:val="FirstParagraph"/>
      </w:pPr>
      <w:r>
        <w:t xml:space="preserve">L’exénatide a été en 2005 le premier agoniste du récepteur du GLP-1 sur le marché et fait partie des médicaments peptidiques les mieux étudiés. Dans de grandes études, il a abaissé l’HbA1c d’environ 1 à 1,5 point de pourcentage et le poids de quelques kilogrammes ; dans EXSCEL, avec 14 752 participants, sans augmentation du risque cardiovasculaire, mais aussi sans protection démontrée. En comparaison directe, il est inférieur au liraglutide et au sémaglutide. Les données initialement prometteuses sur la maladie de Parkinson ne se sont pas confirmées dans l’étude de phase 3 plus grande. Pour les personnes atteintes de diabète de type 2, l’exénatide reste une option éprouvée, mais n’est plus un premier choix – la décision relève du médecin.</w:t>
      </w:r>
    </w:p>
    <w:bookmarkEnd w:id="288"/>
    <w:bookmarkEnd w:id="289"/>
    <w:bookmarkStart w:id="342" w:name="liraglutide"/>
    <w:p>
      <w:pPr>
        <w:pStyle w:val="Heading2"/>
      </w:pPr>
      <w:r>
        <w:t xml:space="preserve">Liraglutide</w:t>
      </w:r>
    </w:p>
    <w:bookmarkStart w:id="291" w:name="fiche-signalétique-1"/>
    <w:p>
      <w:pPr>
        <w:pStyle w:val="Heading3"/>
      </w:pPr>
      <w:r>
        <w:t xml:space="preserve">Fiche signalétique</w:t>
      </w:r>
    </w:p>
    <w:p>
      <w:pPr>
        <w:numPr>
          <w:ilvl w:val="0"/>
          <w:numId w:val="1042"/>
        </w:numPr>
        <w:pStyle w:val="Compact"/>
      </w:pPr>
      <w:r>
        <w:rPr>
          <w:bCs/>
          <w:b/>
        </w:rPr>
        <w:t xml:space="preserve">Type/structure :</w:t>
      </w:r>
      <w:r>
        <w:t xml:space="preserve"> </w:t>
      </w:r>
      <w:r>
        <w:t xml:space="preserve">GLP-1 humain modifié de 31 acides aminés. Il est identique à 97 % à l’hormone de l’organisme ; un acide aminé est remplacé à une position, et à une autre est fixé, par l’intermédiaire d’un court bras de liaison, un acide gras à 16 atomes de carbone.</w:t>
      </w:r>
    </w:p>
    <w:p>
      <w:pPr>
        <w:numPr>
          <w:ilvl w:val="0"/>
          <w:numId w:val="1042"/>
        </w:numPr>
        <w:pStyle w:val="Compact"/>
      </w:pPr>
      <w:r>
        <w:rPr>
          <w:bCs/>
          <w:b/>
        </w:rPr>
        <w:t xml:space="preserve">Origine :</w:t>
      </w:r>
      <w:r>
        <w:t xml:space="preserve"> </w:t>
      </w:r>
      <w:r>
        <w:t xml:space="preserve">développé par Novo Nordisk</w:t>
      </w:r>
      <w:r>
        <w:rPr>
          <w:rStyle w:val="FootnoteReference"/>
        </w:rPr>
        <w:footnoteReference w:id="290"/>
      </w:r>
      <w:r>
        <w:t xml:space="preserve">, fabriqué par génie génétique dans des levures.</w:t>
      </w:r>
    </w:p>
    <w:p>
      <w:pPr>
        <w:numPr>
          <w:ilvl w:val="0"/>
          <w:numId w:val="1042"/>
        </w:numPr>
        <w:pStyle w:val="Compact"/>
      </w:pPr>
      <w:r>
        <w:rPr>
          <w:bCs/>
          <w:b/>
        </w:rPr>
        <w:t xml:space="preserve">Principe d’action :</w:t>
      </w:r>
      <w:r>
        <w:t xml:space="preserve"> </w:t>
      </w:r>
      <w:r>
        <w:t xml:space="preserve">agoniste du récepteur du GLP-1. L’acide gras permet à la molécule de se lier à l’albumine, une protéine du sang ; une injection par jour suffit ainsi.</w:t>
      </w:r>
    </w:p>
    <w:p>
      <w:pPr>
        <w:numPr>
          <w:ilvl w:val="0"/>
          <w:numId w:val="1042"/>
        </w:numPr>
        <w:pStyle w:val="Compact"/>
      </w:pPr>
      <w:r>
        <w:rPr>
          <w:bCs/>
          <w:b/>
        </w:rPr>
        <w:t xml:space="preserve">Préparations :</w:t>
      </w:r>
      <w:r>
        <w:t xml:space="preserve"> </w:t>
      </w:r>
      <w:r>
        <w:t xml:space="preserve">Victoza (diabète de type 2, jusqu’à 1,8 mg par jour), Saxenda (gestion du poids, jusqu’à 3,0 mg par jour), Xultophy (association fixe avec l’insuline dégludec). Des copies existent depuis 2024.</w:t>
      </w:r>
    </w:p>
    <w:p>
      <w:pPr>
        <w:numPr>
          <w:ilvl w:val="0"/>
          <w:numId w:val="1042"/>
        </w:numPr>
        <w:pStyle w:val="Compact"/>
      </w:pPr>
      <w:r>
        <w:rPr>
          <w:bCs/>
          <w:b/>
        </w:rPr>
        <w:t xml:space="preserve">Autorisation UE :</w:t>
      </w:r>
      <w:r>
        <w:t xml:space="preserve"> </w:t>
      </w:r>
      <w:r>
        <w:t xml:space="preserve">oui – diabète de type 2 (depuis 2009) et gestion du poids (depuis 2015), dans les deux cas aussi pour les adolescents.</w:t>
      </w:r>
    </w:p>
    <w:p>
      <w:pPr>
        <w:numPr>
          <w:ilvl w:val="0"/>
          <w:numId w:val="1042"/>
        </w:numPr>
        <w:pStyle w:val="Compact"/>
      </w:pPr>
      <w:r>
        <w:rPr>
          <w:bCs/>
          <w:b/>
        </w:rPr>
        <w:t xml:space="preserve">Autorisation États-Unis :</w:t>
      </w:r>
      <w:r>
        <w:t xml:space="preserve"> </w:t>
      </w:r>
      <w:r>
        <w:t xml:space="preserve">oui – diabète de type 2 (depuis 2010, à partir de 10 ans), réduction du risque cardiovasculaire dans le diabète de type 2 et gestion du poids (depuis 2014, à partir de 12 ans). Des génériques sont autorisés pour les deux indications.</w:t>
      </w:r>
    </w:p>
    <w:p>
      <w:pPr>
        <w:numPr>
          <w:ilvl w:val="0"/>
          <w:numId w:val="1042"/>
        </w:numPr>
        <w:pStyle w:val="Compact"/>
      </w:pPr>
      <w:r>
        <w:rPr>
          <w:bCs/>
          <w:b/>
        </w:rPr>
        <w:t xml:space="preserve">AMA :</w:t>
      </w:r>
      <w:r>
        <w:t xml:space="preserve"> </w:t>
      </w:r>
      <w:r>
        <w:t xml:space="preserve">non listé.</w:t>
      </w:r>
    </w:p>
    <w:p>
      <w:pPr>
        <w:numPr>
          <w:ilvl w:val="0"/>
          <w:numId w:val="1042"/>
        </w:numPr>
        <w:pStyle w:val="Compact"/>
      </w:pPr>
      <w:r>
        <w:rPr>
          <w:bCs/>
          <w:b/>
        </w:rPr>
        <w:t xml:space="preserve">Niveau de preuve :</w:t>
      </w:r>
      <w:r>
        <w:t xml:space="preserve"> </w:t>
      </w:r>
      <w:r>
        <w:rPr>
          <w:bCs/>
          <w:b/>
        </w:rPr>
        <w:t xml:space="preserve">A</w:t>
      </w:r>
      <w:r>
        <w:t xml:space="preserve"> </w:t>
      </w:r>
      <w:r>
        <w:t xml:space="preserve">– deux grands programmes d’autorisation (LEAD, SCALE), une grande étude sur critères cliniques (LEADER), des études chez l’enfant et l’adolescent.</w:t>
      </w:r>
    </w:p>
    <w:bookmarkEnd w:id="291"/>
    <w:bookmarkStart w:id="294" w:name="mode-daction-supposé-1"/>
    <w:p>
      <w:pPr>
        <w:pStyle w:val="Heading3"/>
      </w:pPr>
      <w:r>
        <w:t xml:space="preserve">Mode d’action supposé</w:t>
      </w:r>
    </w:p>
    <w:p>
      <w:pPr>
        <w:pStyle w:val="FirstParagraph"/>
      </w:pPr>
      <w:r>
        <w:t xml:space="preserve">Le liraglutide agit comme l’hormone intestinale GLP-1 de l’organisme : il renforce la sécrétion d’insuline dépendante du glucose, inhibe le glucagon qui élève la glycémie, ralentit la vidange gastrique et atténue l’appétit dans le cerveau. Le mécanisme fondamental de la classe est décrit dans le chapitre Exénatide.</w:t>
      </w:r>
    </w:p>
    <w:p>
      <w:pPr>
        <w:pStyle w:val="BodyText"/>
      </w:pPr>
      <w:r>
        <w:t xml:space="preserve">La différence réside dans la construction. Alors que l’exénatide provient du venin d’un lézard et ne ressemble qu’à moitié à l’hormone humaine, le liraglutide est presque identique au GLP-1 de l’organisme. L’astuce qui le rend durable est l’acide gras qui lui est fixé. Celui-ci fait en sorte que la molécule se lie dans le sang à l’albumine, s’assemble en petits agrégats et soit ainsi protégée contre la dégradation par l’enzyme DPP-4 et contre l’élimination rénale. La demi-vie passe ainsi de quelques minutes à environ une demi-journée.</w:t>
      </w:r>
    </w:p>
    <w:p>
      <w:pPr>
        <w:pStyle w:val="BodyText"/>
      </w:pPr>
      <w:r>
        <w:t xml:space="preserve">Ce sont surtout des effets dans le cerveau qui sont responsables de la perte de poids. Chez la souris et le rat, le liraglutide marqué atteint certaines régions de l’hypothalamus, le centre de contrôle de la faim et de la satiété, et y active des cellules nerveuses qui favorisent la sensation de satiété</w:t>
      </w:r>
      <w:r>
        <w:rPr>
          <w:rStyle w:val="FootnoteReference"/>
        </w:rPr>
        <w:footnoteReference w:id="292"/>
      </w:r>
      <w:r>
        <w:t xml:space="preserve">. Chez l’humain, cela se traduit par une moindre prise alimentaire ; une augmentation notable de la dépense énergétique n’est pas démontrée.</w:t>
      </w:r>
    </w:p>
    <w:p>
      <w:pPr>
        <w:pStyle w:val="BodyText"/>
      </w:pPr>
      <w:r>
        <w:t xml:space="preserve">Le sémaglutide est ensuite issu du liraglutide : même idée de base, mais avec une liaison à l’albumine plus forte permettant une injection par semaine</w:t>
      </w:r>
      <w:r>
        <w:rPr>
          <w:rStyle w:val="FootnoteReference"/>
        </w:rPr>
        <w:footnoteReference w:id="293"/>
      </w:r>
      <w:r>
        <w:t xml:space="preserve">.</w:t>
      </w:r>
    </w:p>
    <w:bookmarkEnd w:id="294"/>
    <w:bookmarkStart w:id="320" w:name="études-chez-lhumain-1"/>
    <w:p>
      <w:pPr>
        <w:pStyle w:val="Heading3"/>
      </w:pPr>
      <w:r>
        <w:t xml:space="preserve">Études chez l’humain</w:t>
      </w:r>
    </w:p>
    <w:p>
      <w:pPr>
        <w:pStyle w:val="FirstParagraph"/>
      </w:pPr>
      <w:r>
        <w:t xml:space="preserve">Le liraglutide fait partie des médicaments peptidiques les mieux étudiés. La recherche PubMed analysée pour ce livre (terme « liraglutide » dans le titre ou le résumé, date de recherche octobre 2026) a donné 613 études chez l’humain – plus que pour tout autre peptide de ce livre. ClinicalTrials.gov recense 517 inscriptions. Ce qui suit se concentre sur les études d’autorisation et sur critères cliniques ; il existe en outre des centaines d’études plus petites sur le foie, le cœur, le cerveau, la fertilité et les troubles du comportement alimentaire.</w:t>
      </w:r>
    </w:p>
    <w:bookmarkStart w:id="297" w:name="diabète-de-type-2-le-programme-lead"/>
    <w:p>
      <w:pPr>
        <w:pStyle w:val="Heading4"/>
      </w:pPr>
      <w:r>
        <w:t xml:space="preserve">Diabète de type 2 : le programme LEAD</w:t>
      </w:r>
    </w:p>
    <w:p>
      <w:pPr>
        <w:pStyle w:val="FirstParagraph"/>
      </w:pPr>
      <w:r>
        <w:t xml:space="preserve">Pour l’autorisation dans le diabète, le liraglutide a été évalué dans six études regroupées sous le nom LEAD (Liraglutide Effect and Action in Diabetes), chaque fois à 1,2 ou 1,8 mg par jour. Deux d’entre elles sont particulièrement instructives, car elles l’opposaient à des traitements établis à l’époque. S’y ajoute la comparaison avec l’inhibiteur de la DPP-4 sitagliptine.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LEAD-3 Mono (Garber 2009), PMID 18819705</w:t>
            </w:r>
          </w:p>
        </w:tc>
        <w:tc>
          <w:tcPr/>
          <w:p>
            <w:pPr>
              <w:pStyle w:val="Compact"/>
              <w:jc w:val="left"/>
            </w:pPr>
            <w:r>
              <w:t xml:space="preserve">746 personnes atteintes de diabète de type 2 débutant, double aveugle vs glimépiride</w:t>
            </w:r>
          </w:p>
        </w:tc>
        <w:tc>
          <w:tcPr/>
          <w:p>
            <w:pPr>
              <w:pStyle w:val="Compact"/>
              <w:jc w:val="left"/>
            </w:pPr>
            <w:r>
              <w:t xml:space="preserve">52 semaines</w:t>
            </w:r>
          </w:p>
        </w:tc>
        <w:tc>
          <w:tcPr/>
          <w:p>
            <w:pPr>
              <w:pStyle w:val="Compact"/>
              <w:jc w:val="left"/>
            </w:pPr>
            <w:r>
              <w:t xml:space="preserve">HbA1c −1,14 (1,8 mg) vs −0,51 point de pourcentage</w:t>
            </w:r>
          </w:p>
        </w:tc>
      </w:tr>
      <w:tr>
        <w:tc>
          <w:tcPr/>
          <w:p>
            <w:pPr>
              <w:pStyle w:val="Compact"/>
              <w:jc w:val="left"/>
            </w:pPr>
            <w:r>
              <w:t xml:space="preserve">LEAD-6 (Buse 2009), PMID 19515413</w:t>
            </w:r>
          </w:p>
        </w:tc>
        <w:tc>
          <w:tcPr/>
          <w:p>
            <w:pPr>
              <w:pStyle w:val="Compact"/>
              <w:jc w:val="left"/>
            </w:pPr>
            <w:r>
              <w:t xml:space="preserve">ouverte vs exénatide deux fois par jour</w:t>
            </w:r>
          </w:p>
        </w:tc>
        <w:tc>
          <w:tcPr/>
          <w:p>
            <w:pPr>
              <w:pStyle w:val="Compact"/>
              <w:jc w:val="left"/>
            </w:pPr>
            <w:r>
              <w:t xml:space="preserve">26 semaines</w:t>
            </w:r>
          </w:p>
        </w:tc>
        <w:tc>
          <w:tcPr/>
          <w:p>
            <w:pPr>
              <w:pStyle w:val="Compact"/>
              <w:jc w:val="left"/>
            </w:pPr>
            <w:r>
              <w:t xml:space="preserve">HbA1c −1,12 vs −0,79 ; poids −3,24 vs −2,87 kg</w:t>
            </w:r>
          </w:p>
        </w:tc>
      </w:tr>
      <w:tr>
        <w:tc>
          <w:tcPr/>
          <w:p>
            <w:pPr>
              <w:pStyle w:val="Compact"/>
              <w:jc w:val="left"/>
            </w:pPr>
            <w:r>
              <w:t xml:space="preserve">Pratley 2010, PMID 20417856</w:t>
            </w:r>
          </w:p>
        </w:tc>
        <w:tc>
          <w:tcPr/>
          <w:p>
            <w:pPr>
              <w:pStyle w:val="Compact"/>
              <w:jc w:val="left"/>
            </w:pPr>
            <w:r>
              <w:t xml:space="preserve">658 personnes sous metformine, ouverte vs sitagliptine</w:t>
            </w:r>
          </w:p>
        </w:tc>
        <w:tc>
          <w:tcPr/>
          <w:p>
            <w:pPr>
              <w:pStyle w:val="Compact"/>
              <w:jc w:val="left"/>
            </w:pPr>
            <w:r>
              <w:t xml:space="preserve">26 semaines</w:t>
            </w:r>
          </w:p>
        </w:tc>
        <w:tc>
          <w:tcPr/>
          <w:p>
            <w:pPr>
              <w:pStyle w:val="Compact"/>
              <w:jc w:val="left"/>
            </w:pPr>
            <w:r>
              <w:t xml:space="preserve">HbA1c −1,50 (1,8 mg) vs −0,90 ; nausées 27 % vs 5 %</w:t>
            </w:r>
          </w:p>
        </w:tc>
      </w:tr>
    </w:tbl>
    <w:p>
      <w:pPr>
        <w:pStyle w:val="BodyText"/>
      </w:pPr>
      <w:r>
        <w:t xml:space="preserve">Dans ces études, l’HbA1c a baissé sous liraglutide de 1,1 à 1,5 point de pourcentage. Dans LEAD-3</w:t>
      </w:r>
      <w:r>
        <w:rPr>
          <w:rStyle w:val="FootnoteReference"/>
        </w:rPr>
        <w:footnoteReference w:id="295"/>
      </w:r>
      <w:r>
        <w:t xml:space="preserve">, le liraglutide a été le premier antidiabétique supérieur au sulfamide glimépiride, qui abaisse la glycémie indépendamment des repas et provoque plus souvent des hypoglycémies. Face à la sitagliptine</w:t>
      </w:r>
      <w:r>
        <w:rPr>
          <w:rStyle w:val="FootnoteReference"/>
        </w:rPr>
        <w:footnoteReference w:id="296"/>
      </w:r>
      <w:r>
        <w:t xml:space="preserve">, l’avantage était de 0,6 point de pourcentage, mais avec nettement plus de nausées.</w:t>
      </w:r>
    </w:p>
    <w:bookmarkEnd w:id="297"/>
    <w:bookmarkStart w:id="302" w:name="X2af113e59034ba899de63f7274a834a29a68b0b"/>
    <w:p>
      <w:pPr>
        <w:pStyle w:val="Heading4"/>
      </w:pPr>
      <w:r>
        <w:t xml:space="preserve">Comparaisons directes au sein de la classe GLP-1</w:t>
      </w:r>
    </w:p>
    <w:p>
      <w:pPr>
        <w:pStyle w:val="FirstParagraph"/>
      </w:pPr>
      <w:r>
        <w:t xml:space="preserve">Le liraglutide est le comparateur le plus souvent utilisé de la classe. Les résultats dessinent un classement clair : le liraglutide est plus puissant que l’exénatide, à peu près aussi puissant que le dulaglutide et moins puissant que le sémaglutide.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 (liraglutide vs comparateur)</w:t>
            </w:r>
          </w:p>
        </w:tc>
      </w:tr>
      <w:tr>
        <w:tc>
          <w:tcPr/>
          <w:p>
            <w:pPr>
              <w:pStyle w:val="Compact"/>
              <w:jc w:val="left"/>
            </w:pPr>
            <w:r>
              <w:t xml:space="preserve">LEAD-6 (Buse 2009), PMID 19515413</w:t>
            </w:r>
          </w:p>
        </w:tc>
        <w:tc>
          <w:tcPr/>
          <w:p>
            <w:pPr>
              <w:pStyle w:val="Compact"/>
              <w:jc w:val="left"/>
            </w:pPr>
            <w:r>
              <w:t xml:space="preserve">vs exénatide deux fois par jour</w:t>
            </w:r>
          </w:p>
        </w:tc>
        <w:tc>
          <w:tcPr/>
          <w:p>
            <w:pPr>
              <w:pStyle w:val="Compact"/>
              <w:jc w:val="left"/>
            </w:pPr>
            <w:r>
              <w:t xml:space="preserve">26 semaines</w:t>
            </w:r>
          </w:p>
        </w:tc>
        <w:tc>
          <w:tcPr/>
          <w:p>
            <w:pPr>
              <w:pStyle w:val="Compact"/>
              <w:jc w:val="left"/>
            </w:pPr>
            <w:r>
              <w:t xml:space="preserve">HbA1c −1,12 vs −0,79 ; valeur cible &lt; 7 % chez 54 % vs 43 %</w:t>
            </w:r>
          </w:p>
        </w:tc>
      </w:tr>
      <w:tr>
        <w:tc>
          <w:tcPr/>
          <w:p>
            <w:pPr>
              <w:pStyle w:val="Compact"/>
              <w:jc w:val="left"/>
            </w:pPr>
            <w:r>
              <w:t xml:space="preserve">DURATION-6 (Buse 2013), PMID 23141817</w:t>
            </w:r>
          </w:p>
        </w:tc>
        <w:tc>
          <w:tcPr/>
          <w:p>
            <w:pPr>
              <w:pStyle w:val="Compact"/>
              <w:jc w:val="left"/>
            </w:pPr>
            <w:r>
              <w:t xml:space="preserve">911 personnes, vs exénatide hebdomadaire</w:t>
            </w:r>
          </w:p>
        </w:tc>
        <w:tc>
          <w:tcPr/>
          <w:p>
            <w:pPr>
              <w:pStyle w:val="Compact"/>
              <w:jc w:val="left"/>
            </w:pPr>
            <w:r>
              <w:t xml:space="preserve">26 semaines</w:t>
            </w:r>
          </w:p>
        </w:tc>
        <w:tc>
          <w:tcPr/>
          <w:p>
            <w:pPr>
              <w:pStyle w:val="Compact"/>
              <w:jc w:val="left"/>
            </w:pPr>
            <w:r>
              <w:t xml:space="preserve">HbA1c −1,48 vs −1,28 ; nausées 21 % vs 9 %</w:t>
            </w:r>
          </w:p>
        </w:tc>
      </w:tr>
      <w:tr>
        <w:tc>
          <w:tcPr/>
          <w:p>
            <w:pPr>
              <w:pStyle w:val="Compact"/>
              <w:jc w:val="left"/>
            </w:pPr>
            <w:r>
              <w:t xml:space="preserve">AWARD-6 (Dungan 2014), PMID 25018121</w:t>
            </w:r>
          </w:p>
        </w:tc>
        <w:tc>
          <w:tcPr/>
          <w:p>
            <w:pPr>
              <w:pStyle w:val="Compact"/>
              <w:jc w:val="left"/>
            </w:pPr>
            <w:r>
              <w:t xml:space="preserve">599 personnes, vs dulaglutide hebdomadaire</w:t>
            </w:r>
          </w:p>
        </w:tc>
        <w:tc>
          <w:tcPr/>
          <w:p>
            <w:pPr>
              <w:pStyle w:val="Compact"/>
              <w:jc w:val="left"/>
            </w:pPr>
            <w:r>
              <w:t xml:space="preserve">26 semaines</w:t>
            </w:r>
          </w:p>
        </w:tc>
        <w:tc>
          <w:tcPr/>
          <w:p>
            <w:pPr>
              <w:pStyle w:val="Compact"/>
              <w:jc w:val="left"/>
            </w:pPr>
            <w:r>
              <w:t xml:space="preserve">HbA1c −1,36 vs −1,42 ; équivalents</w:t>
            </w:r>
          </w:p>
        </w:tc>
      </w:tr>
      <w:tr>
        <w:tc>
          <w:tcPr/>
          <w:p>
            <w:pPr>
              <w:pStyle w:val="Compact"/>
              <w:jc w:val="left"/>
            </w:pPr>
            <w:r>
              <w:t xml:space="preserve">PIONEER 4 (Pratley 2019), PMID 31186120</w:t>
            </w:r>
          </w:p>
        </w:tc>
        <w:tc>
          <w:tcPr/>
          <w:p>
            <w:pPr>
              <w:pStyle w:val="Compact"/>
              <w:jc w:val="left"/>
            </w:pPr>
            <w:r>
              <w:t xml:space="preserve">711 personnes, vs sémaglutide en comprimé et placebo</w:t>
            </w:r>
          </w:p>
        </w:tc>
        <w:tc>
          <w:tcPr/>
          <w:p>
            <w:pPr>
              <w:pStyle w:val="Compact"/>
              <w:jc w:val="left"/>
            </w:pPr>
            <w:r>
              <w:t xml:space="preserve">52 semaines</w:t>
            </w:r>
          </w:p>
        </w:tc>
        <w:tc>
          <w:tcPr/>
          <w:p>
            <w:pPr>
              <w:pStyle w:val="Compact"/>
              <w:jc w:val="left"/>
            </w:pPr>
            <w:r>
              <w:t xml:space="preserve">HbA1c −1,1 vs −1,2 après 26 semaines ; poids −3,1 vs −4,4 kg</w:t>
            </w:r>
          </w:p>
        </w:tc>
      </w:tr>
      <w:tr>
        <w:tc>
          <w:tcPr/>
          <w:p>
            <w:pPr>
              <w:pStyle w:val="Compact"/>
              <w:jc w:val="left"/>
            </w:pPr>
            <w:r>
              <w:t xml:space="preserve">SUSTAIN 10 (Capehorn 2020), PMID 31539622</w:t>
            </w:r>
          </w:p>
        </w:tc>
        <w:tc>
          <w:tcPr/>
          <w:p>
            <w:pPr>
              <w:pStyle w:val="Compact"/>
              <w:jc w:val="left"/>
            </w:pPr>
            <w:r>
              <w:t xml:space="preserve">liraglutide 1,2 mg vs sémaglutide 1,0 mg hebdomadaire</w:t>
            </w:r>
          </w:p>
        </w:tc>
        <w:tc>
          <w:tcPr/>
          <w:p>
            <w:pPr>
              <w:pStyle w:val="Compact"/>
              <w:jc w:val="left"/>
            </w:pPr>
            <w:r>
              <w:t xml:space="preserve">30 semaines</w:t>
            </w:r>
          </w:p>
        </w:tc>
        <w:tc>
          <w:tcPr/>
          <w:p>
            <w:pPr>
              <w:pStyle w:val="Compact"/>
              <w:jc w:val="left"/>
            </w:pPr>
            <w:r>
              <w:t xml:space="preserve">HbA1c −1,0 vs −1,7 ; poids −1,9 vs −5,8 kg</w:t>
            </w:r>
          </w:p>
        </w:tc>
      </w:tr>
      <w:tr>
        <w:tc>
          <w:tcPr/>
          <w:p>
            <w:pPr>
              <w:pStyle w:val="Compact"/>
              <w:jc w:val="left"/>
            </w:pPr>
            <w:r>
              <w:t xml:space="preserve">STEP 8 (Rubino 2022), PMID 35015037</w:t>
            </w:r>
          </w:p>
        </w:tc>
        <w:tc>
          <w:tcPr/>
          <w:p>
            <w:pPr>
              <w:pStyle w:val="Compact"/>
              <w:jc w:val="left"/>
            </w:pPr>
            <w:r>
              <w:t xml:space="preserve">338 personnes obèses sans diabète, liraglutide 3,0 mg vs sémaglutide 2,4 mg</w:t>
            </w:r>
          </w:p>
        </w:tc>
        <w:tc>
          <w:tcPr/>
          <w:p>
            <w:pPr>
              <w:pStyle w:val="Compact"/>
              <w:jc w:val="left"/>
            </w:pPr>
            <w:r>
              <w:t xml:space="preserve">68 semaines</w:t>
            </w:r>
          </w:p>
        </w:tc>
        <w:tc>
          <w:tcPr/>
          <w:p>
            <w:pPr>
              <w:pStyle w:val="Compact"/>
              <w:jc w:val="left"/>
            </w:pPr>
            <w:r>
              <w:t xml:space="preserve">poids −6,4 % vs −15,8 %</w:t>
            </w:r>
          </w:p>
        </w:tc>
      </w:tr>
    </w:tbl>
    <w:p>
      <w:pPr>
        <w:pStyle w:val="BodyText"/>
      </w:pPr>
      <w:r>
        <w:t xml:space="preserve">Dans LEAD-6</w:t>
      </w:r>
      <w:r>
        <w:rPr>
          <w:rStyle w:val="FootnoteReference"/>
        </w:rPr>
        <w:footnoteReference w:id="298"/>
      </w:r>
      <w:r>
        <w:t xml:space="preserve">, le liraglutide a abaissé la glycémie à jeun nettement plus que l’exénatide deux fois par jour, mais l’élévation glycémique après le petit-déjeuner et le dîner moins fortement – un indice que les formes à action courte agissent davantage via la vidange gastrique. Les nausées duraient moins longtemps sous liraglutide, les hypoglycémies légères étaient plus rares (25,5 % vs 33,6 % des participants).</w:t>
      </w:r>
    </w:p>
    <w:p>
      <w:pPr>
        <w:pStyle w:val="BodyText"/>
      </w:pPr>
      <w:r>
        <w:t xml:space="preserve">Face au dulaglutide, le liraglutide était équivalent dans AWARD-6</w:t>
      </w:r>
      <w:r>
        <w:rPr>
          <w:rStyle w:val="FootnoteReference"/>
        </w:rPr>
        <w:footnoteReference w:id="299"/>
      </w:r>
      <w:r>
        <w:t xml:space="preserve">, avec une tolérance similaire ; des nausées sont survenues chez 18 % contre 20 %.</w:t>
      </w:r>
    </w:p>
    <w:p>
      <w:pPr>
        <w:pStyle w:val="BodyText"/>
      </w:pPr>
      <w:r>
        <w:t xml:space="preserve">Face au sémaglutide, le liraglutide a perdu dans toutes les comparaisons. C’était le plus net dans STEP 8</w:t>
      </w:r>
      <w:r>
        <w:rPr>
          <w:rStyle w:val="FootnoteReference"/>
        </w:rPr>
        <w:footnoteReference w:id="300"/>
      </w:r>
      <w:r>
        <w:t xml:space="preserve"> </w:t>
      </w:r>
      <w:r>
        <w:t xml:space="preserve">pour le poids : avec la dose autorisée pour l’obésité dans chaque cas, les participants sous sémaglutide ont perdu en moyenne 15,8 %, sous liraglutide 6,4 % (placebo : 1,9 %). Une perte d’au moins 15 % a été atteinte par 55,6 % contre 12,0 %. 27,6 % sous liraglutide et 13,5 % sous sémaglutide avaient arrêté le traitement prématurément. Avec le comprimé de sémaglutide, la différence était plus faible dans PIONEER 4</w:t>
      </w:r>
      <w:r>
        <w:rPr>
          <w:rStyle w:val="FootnoteReference"/>
        </w:rPr>
        <w:footnoteReference w:id="301"/>
      </w:r>
      <w:r>
        <w:t xml:space="preserve"> </w:t>
      </w:r>
      <w:r>
        <w:t xml:space="preserve">: pour l’HbA1c, le comprimé n’était pas inférieur selon la méthode d’analyse principale ; pour le poids, il était supérieur de 1,2 kg. Les détails de ces études figurent dans le chapitre Sémaglutide.</w:t>
      </w:r>
    </w:p>
    <w:bookmarkEnd w:id="302"/>
    <w:bookmarkStart w:id="306" w:name="leader-cœur-circulation-et-reins"/>
    <w:p>
      <w:pPr>
        <w:pStyle w:val="Heading4"/>
      </w:pPr>
      <w:r>
        <w:t xml:space="preserve">LEADER : cœur, circulation et reins</w:t>
      </w:r>
    </w:p>
    <w:p>
      <w:pPr>
        <w:pStyle w:val="FirstParagraph"/>
      </w:pPr>
      <w:r>
        <w:t xml:space="preserve">LEADER a été la première grande étude à montrer, pour un agoniste du récepteur du GLP-1, une protection contre les événements cardiovasculaires. Elle a modifié le rôle de toute la classe dans les recommandations sur le diabète.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LEADER (Marso 2016), PMID 27295427</w:t>
            </w:r>
          </w:p>
        </w:tc>
        <w:tc>
          <w:tcPr/>
          <w:p>
            <w:pPr>
              <w:pStyle w:val="Compact"/>
              <w:jc w:val="left"/>
            </w:pPr>
            <w:r>
              <w:t xml:space="preserve">9 340 personnes atteintes de diabète de type 2 et à haut risque cardiovasculaire, ECR contre placebo</w:t>
            </w:r>
          </w:p>
        </w:tc>
        <w:tc>
          <w:tcPr/>
          <w:p>
            <w:pPr>
              <w:pStyle w:val="Compact"/>
              <w:jc w:val="left"/>
            </w:pPr>
            <w:r>
              <w:t xml:space="preserve">médiane 3,8 ans</w:t>
            </w:r>
          </w:p>
        </w:tc>
        <w:tc>
          <w:tcPr/>
          <w:p>
            <w:pPr>
              <w:pStyle w:val="Compact"/>
              <w:jc w:val="left"/>
            </w:pPr>
            <w:r>
              <w:t xml:space="preserve">Événements cardiovasculaires graves 13,0 % vs 14,9 % ; HR 0,87 (0,78–0,97)</w:t>
            </w:r>
          </w:p>
        </w:tc>
      </w:tr>
      <w:tr>
        <w:tc>
          <w:tcPr/>
          <w:p>
            <w:pPr>
              <w:pStyle w:val="Compact"/>
              <w:jc w:val="left"/>
            </w:pPr>
            <w:r>
              <w:t xml:space="preserve">LEADER, analyse rénale (Mann 2017), PMID 28854085</w:t>
            </w:r>
          </w:p>
        </w:tc>
        <w:tc>
          <w:tcPr/>
          <w:p>
            <w:pPr>
              <w:pStyle w:val="Compact"/>
              <w:jc w:val="left"/>
            </w:pPr>
            <w:r>
              <w:t xml:space="preserve">les mêmes 9 340 personnes, analyse prévue à l’avance</w:t>
            </w:r>
          </w:p>
        </w:tc>
        <w:tc>
          <w:tcPr/>
          <w:p>
            <w:pPr>
              <w:pStyle w:val="Compact"/>
              <w:jc w:val="left"/>
            </w:pPr>
            <w:r>
              <w:t xml:space="preserve">médiane 3,84 ans</w:t>
            </w:r>
          </w:p>
        </w:tc>
        <w:tc>
          <w:tcPr/>
          <w:p>
            <w:pPr>
              <w:pStyle w:val="Compact"/>
              <w:jc w:val="left"/>
            </w:pPr>
            <w:r>
              <w:t xml:space="preserve">Critère rénal 268 vs 337 cas ; HR 0,78, surtout moins de nouvelles macroalbuminuries</w:t>
            </w:r>
          </w:p>
        </w:tc>
      </w:tr>
    </w:tbl>
    <w:p>
      <w:pPr>
        <w:pStyle w:val="BodyText"/>
      </w:pPr>
      <w:r>
        <w:t xml:space="preserve">Le critère principal – décès de cause cardiovasculaire, infarctus du myocarde non mortel ou AVC – est survenu sous liraglutide chez 608 personnes sur 4 668 (13,0 %), sous placebo chez 694 sur 4 672 (14,9 %)</w:t>
      </w:r>
      <w:r>
        <w:rPr>
          <w:rStyle w:val="FootnoteReference"/>
        </w:rPr>
        <w:footnoteReference w:id="303"/>
      </w:r>
      <w:r>
        <w:t xml:space="preserve">. Cela correspond à une réduction relative du risque de 13 %. L’effet était porté surtout par une diminution des décès cardiovasculaires (4,7 % vs 6,0 % ; HR 0,78). La mortalité totale était également plus faible (8,2 % vs 9,6 % ; HR 0,85). Pris isolément, les composants infarctus, AVC et hospitalisation pour insuffisance cardiaque n’étaient pas significativement réduits.</w:t>
      </w:r>
    </w:p>
    <w:p>
      <w:pPr>
        <w:pStyle w:val="BodyText"/>
      </w:pPr>
      <w:r>
        <w:t xml:space="preserve">En chiffres absolus, cela signifie que sur près de quatre ans, environ deux personnes traitées sur cent ont eu un événement cardiovasculaire grave de moins. Pour un groupe à haut risque, c’est un effet pertinent.</w:t>
      </w:r>
    </w:p>
    <w:p>
      <w:pPr>
        <w:pStyle w:val="BodyText"/>
      </w:pPr>
      <w:r>
        <w:t xml:space="preserve">L’analyse rénale</w:t>
      </w:r>
      <w:r>
        <w:rPr>
          <w:rStyle w:val="FootnoteReference"/>
        </w:rPr>
        <w:footnoteReference w:id="304"/>
      </w:r>
      <w:r>
        <w:t xml:space="preserve"> </w:t>
      </w:r>
      <w:r>
        <w:t xml:space="preserve">a montré moins de cas d’apparition d’une excrétion urinaire importante de protéines (macroalbuminurie). Les critères rénaux durs comme le recours à la dialyse étaient rares et ne différaient pas nettement. L’insuffisance rénale aiguë est survenue à une fréquence similaire à celle observée sous placebo.</w:t>
      </w:r>
    </w:p>
    <w:p>
      <w:pPr>
        <w:pStyle w:val="BodyText"/>
      </w:pPr>
      <w:r>
        <w:t xml:space="preserve">Tous les groupes de patients cardiaques n’en bénéficient pas. Dans l’étude FIGHT portant sur 300 personnes récemment hospitalisées pour une insuffisance cardiaque sévère avec fonction de pompage fortement réduite, le liraglutide n’a pas amélioré l’évolution</w:t>
      </w:r>
      <w:r>
        <w:rPr>
          <w:rStyle w:val="FootnoteReference"/>
        </w:rPr>
        <w:footnoteReference w:id="305"/>
      </w:r>
      <w:r>
        <w:t xml:space="preserve">. Il y a même eu un peu plus de réhospitalisations pour insuffisance cardiaque (41 % vs 34 %), sans que la différence soit statistiquement significative. Les autrices et auteurs n’ont vu aucune justification à son utilisation dans cette situation.</w:t>
      </w:r>
    </w:p>
    <w:bookmarkEnd w:id="306"/>
    <w:bookmarkStart w:id="311" w:name="obésité-le-programme-scale"/>
    <w:p>
      <w:pPr>
        <w:pStyle w:val="Heading4"/>
      </w:pPr>
      <w:r>
        <w:t xml:space="preserve">Obésité : le programme SCALE</w:t>
      </w:r>
    </w:p>
    <w:p>
      <w:pPr>
        <w:pStyle w:val="FirstParagraph"/>
      </w:pPr>
      <w:r>
        <w:t xml:space="preserve">À 3,0 mg par jour – près du double de la dose maximale pour le diabète –, le liraglutide a été autorisé en 2014/2015 comme premier médicament GLP-1 pour la perte de poids. La base en était le programme d’études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SCALE Obesity and Prediabetes (Pi-Sunyer 2015), PMID 26132939</w:t>
            </w:r>
          </w:p>
        </w:tc>
        <w:tc>
          <w:tcPr/>
          <w:p>
            <w:pPr>
              <w:pStyle w:val="Compact"/>
              <w:jc w:val="left"/>
            </w:pPr>
            <w:r>
              <w:t xml:space="preserve">3 731 adultes obèses sans diabète, ECR contre placebo</w:t>
            </w:r>
          </w:p>
        </w:tc>
        <w:tc>
          <w:tcPr/>
          <w:p>
            <w:pPr>
              <w:pStyle w:val="Compact"/>
              <w:jc w:val="left"/>
            </w:pPr>
            <w:r>
              <w:t xml:space="preserve">56 semaines</w:t>
            </w:r>
          </w:p>
        </w:tc>
        <w:tc>
          <w:tcPr/>
          <w:p>
            <w:pPr>
              <w:pStyle w:val="Compact"/>
              <w:jc w:val="left"/>
            </w:pPr>
            <w:r>
              <w:t xml:space="preserve">−8,4 kg vs −2,8 kg ; perte ≥ 5 % chez 63,2 % vs 27,1 %</w:t>
            </w:r>
          </w:p>
        </w:tc>
      </w:tr>
      <w:tr>
        <w:tc>
          <w:tcPr/>
          <w:p>
            <w:pPr>
              <w:pStyle w:val="Compact"/>
              <w:jc w:val="left"/>
            </w:pPr>
            <w:r>
              <w:t xml:space="preserve">SCALE, partie à 3 ans (le Roux 2017), PMID 28237263</w:t>
            </w:r>
          </w:p>
        </w:tc>
        <w:tc>
          <w:tcPr/>
          <w:p>
            <w:pPr>
              <w:pStyle w:val="Compact"/>
              <w:jc w:val="left"/>
            </w:pPr>
            <w:r>
              <w:t xml:space="preserve">2 254 personnes atteintes de prédiabète</w:t>
            </w:r>
          </w:p>
        </w:tc>
        <w:tc>
          <w:tcPr/>
          <w:p>
            <w:pPr>
              <w:pStyle w:val="Compact"/>
              <w:jc w:val="left"/>
            </w:pPr>
            <w:r>
              <w:t xml:space="preserve">160 semaines</w:t>
            </w:r>
          </w:p>
        </w:tc>
        <w:tc>
          <w:tcPr/>
          <w:p>
            <w:pPr>
              <w:pStyle w:val="Compact"/>
              <w:jc w:val="left"/>
            </w:pPr>
            <w:r>
              <w:t xml:space="preserve">Nouveau diabète chez 2 % vs 6 % ; poids −6,1 % vs −1,9 %</w:t>
            </w:r>
          </w:p>
        </w:tc>
      </w:tr>
      <w:tr>
        <w:tc>
          <w:tcPr/>
          <w:p>
            <w:pPr>
              <w:pStyle w:val="Compact"/>
              <w:jc w:val="left"/>
            </w:pPr>
            <w:r>
              <w:t xml:space="preserve">SCALE Diabetes (Davies 2015), PMID 26284720</w:t>
            </w:r>
          </w:p>
        </w:tc>
        <w:tc>
          <w:tcPr/>
          <w:p>
            <w:pPr>
              <w:pStyle w:val="Compact"/>
              <w:jc w:val="left"/>
            </w:pPr>
            <w:r>
              <w:t xml:space="preserve">846 personnes atteintes de diabète de type 2 et en surpoids</w:t>
            </w:r>
          </w:p>
        </w:tc>
        <w:tc>
          <w:tcPr/>
          <w:p>
            <w:pPr>
              <w:pStyle w:val="Compact"/>
              <w:jc w:val="left"/>
            </w:pPr>
            <w:r>
              <w:t xml:space="preserve">56 semaines</w:t>
            </w:r>
          </w:p>
        </w:tc>
        <w:tc>
          <w:tcPr/>
          <w:p>
            <w:pPr>
              <w:pStyle w:val="Compact"/>
              <w:jc w:val="left"/>
            </w:pPr>
            <w:r>
              <w:t xml:space="preserve">−6,0 % (3,0 mg) vs −2,0 %</w:t>
            </w:r>
          </w:p>
        </w:tc>
      </w:tr>
      <w:tr>
        <w:tc>
          <w:tcPr/>
          <w:p>
            <w:pPr>
              <w:pStyle w:val="Compact"/>
              <w:jc w:val="left"/>
            </w:pPr>
            <w:r>
              <w:t xml:space="preserve">SCALE Maintenance (Wadden 2013), PMID 23812094</w:t>
            </w:r>
          </w:p>
        </w:tc>
        <w:tc>
          <w:tcPr/>
          <w:p>
            <w:pPr>
              <w:pStyle w:val="Compact"/>
              <w:jc w:val="left"/>
            </w:pPr>
            <w:r>
              <w:t xml:space="preserve">422 personnes après un régime avec perte ≥ 5 %</w:t>
            </w:r>
          </w:p>
        </w:tc>
        <w:tc>
          <w:tcPr/>
          <w:p>
            <w:pPr>
              <w:pStyle w:val="Compact"/>
              <w:jc w:val="left"/>
            </w:pPr>
            <w:r>
              <w:t xml:space="preserve">56 semaines</w:t>
            </w:r>
          </w:p>
        </w:tc>
        <w:tc>
          <w:tcPr/>
          <w:p>
            <w:pPr>
              <w:pStyle w:val="Compact"/>
              <w:jc w:val="left"/>
            </w:pPr>
            <w:r>
              <w:t xml:space="preserve">−6,2 % supplémentaires vs −0,2 %</w:t>
            </w:r>
          </w:p>
        </w:tc>
      </w:tr>
      <w:tr>
        <w:tc>
          <w:tcPr/>
          <w:p>
            <w:pPr>
              <w:pStyle w:val="Compact"/>
              <w:jc w:val="left"/>
            </w:pPr>
            <w:r>
              <w:t xml:space="preserve">SCALE Sleep Apnea (Blackman 2016), PMID 27005405</w:t>
            </w:r>
          </w:p>
        </w:tc>
        <w:tc>
          <w:tcPr/>
          <w:p>
            <w:pPr>
              <w:pStyle w:val="Compact"/>
              <w:jc w:val="left"/>
            </w:pPr>
            <w:r>
              <w:t xml:space="preserve">adultes obèses avec apnée du sommeil modérée à sévère</w:t>
            </w:r>
          </w:p>
        </w:tc>
        <w:tc>
          <w:tcPr/>
          <w:p>
            <w:pPr>
              <w:pStyle w:val="Compact"/>
              <w:jc w:val="left"/>
            </w:pPr>
            <w:r>
              <w:t xml:space="preserve">32 semaines</w:t>
            </w:r>
          </w:p>
        </w:tc>
        <w:tc>
          <w:tcPr/>
          <w:p>
            <w:pPr>
              <w:pStyle w:val="Compact"/>
              <w:jc w:val="left"/>
            </w:pPr>
            <w:r>
              <w:t xml:space="preserve">Apnées −12,2 vs −6,1 par heure ; poids −5,7 % vs −1,6 %</w:t>
            </w:r>
          </w:p>
        </w:tc>
      </w:tr>
    </w:tbl>
    <w:p>
      <w:pPr>
        <w:pStyle w:val="BodyText"/>
      </w:pPr>
      <w:r>
        <w:t xml:space="preserve">Dans la plus grande étude</w:t>
      </w:r>
      <w:r>
        <w:rPr>
          <w:rStyle w:val="FootnoteReference"/>
        </w:rPr>
        <w:footnoteReference w:id="307"/>
      </w:r>
      <w:r>
        <w:t xml:space="preserve">, les participants sous liraglutide ont perdu en moyenne 8,4 kg, sous placebo 2,8 kg – dans les deux cas avec des conseils diététiques et d’activité physique. Un tiers (33,1 %) a perdu plus de 10 % de son poids corporel, contre 10,6 % sous placebo. Des événements indésirables graves sont survenus chez 6,2 % contre 5,0 %.</w:t>
      </w:r>
    </w:p>
    <w:p>
      <w:pPr>
        <w:pStyle w:val="BodyText"/>
      </w:pPr>
      <w:r>
        <w:t xml:space="preserve">Les participants atteints de prédiabète (stade précurseur du diabète) ont été traités pendant trois ans</w:t>
      </w:r>
      <w:r>
        <w:rPr>
          <w:rStyle w:val="FootnoteReference"/>
        </w:rPr>
        <w:footnoteReference w:id="308"/>
      </w:r>
      <w:r>
        <w:t xml:space="preserve">. Sous liraglutide, 2 % ont développé un diabète de type 2, sous placebo 6 %. L’étude présente cependant une faiblesse importante : seule la moitié des participants (50 %) est restée jusqu’à la fin, et ceux qui sont sortis n’ont plus été suivis. Les résultats doivent donc être lus avec prudence.</w:t>
      </w:r>
    </w:p>
    <w:p>
      <w:pPr>
        <w:pStyle w:val="BodyText"/>
      </w:pPr>
      <w:r>
        <w:t xml:space="preserve">Chez les personnes atteintes de diabète de type 2, la perte de poids était plus faible</w:t>
      </w:r>
      <w:r>
        <w:rPr>
          <w:rStyle w:val="FootnoteReference"/>
        </w:rPr>
        <w:footnoteReference w:id="309"/>
      </w:r>
      <w:r>
        <w:t xml:space="preserve"> </w:t>
      </w:r>
      <w:r>
        <w:t xml:space="preserve">– un schéma qui se répète avec tous les médicaments GLP-1. Dans SCALE Maintenance</w:t>
      </w:r>
      <w:r>
        <w:rPr>
          <w:rStyle w:val="FootnoteReference"/>
        </w:rPr>
        <w:footnoteReference w:id="310"/>
      </w:r>
      <w:r>
        <w:t xml:space="preserve">, le liraglutide a aidé à maintenir le poids après une phase de régime : 81,4 % ont conservé la perte de poids obtenue auparavant, contre 48,9 % sous placebo.</w:t>
      </w:r>
    </w:p>
    <w:p>
      <w:pPr>
        <w:pStyle w:val="BodyText"/>
      </w:pPr>
      <w:r>
        <w:t xml:space="preserve">Rétrospectivement, l’effet du liraglutide sur le poids paraît modeste depuis que le sémaglutide et le tirzépatide atteignent en moyenne 15 à plus de 20 %. Pour son époque, ce fut une percée : aucun médicament autorisé auparavant n’avait montré des valeurs similaires dans des études de cette taille.</w:t>
      </w:r>
    </w:p>
    <w:bookmarkEnd w:id="311"/>
    <w:bookmarkStart w:id="315" w:name="enfants-et-adolescents"/>
    <w:p>
      <w:pPr>
        <w:pStyle w:val="Heading4"/>
      </w:pPr>
      <w:r>
        <w:t xml:space="preserve">Enfants et adolescents</w:t>
      </w:r>
    </w:p>
    <w:p>
      <w:pPr>
        <w:pStyle w:val="FirstParagraph"/>
      </w:pPr>
      <w:r>
        <w:t xml:space="preserve">Le liraglutide est l’une des rares substances de cette classe à avoir été étudiées spécifiquement chez l’enfant et l’adolescent.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ELLIPSE (Tamborlane 2019), PMID 31034184</w:t>
            </w:r>
          </w:p>
        </w:tc>
        <w:tc>
          <w:tcPr/>
          <w:p>
            <w:pPr>
              <w:pStyle w:val="Compact"/>
              <w:jc w:val="left"/>
            </w:pPr>
            <w:r>
              <w:t xml:space="preserve">134 enfants et adolescents (10 à moins de 17 ans) atteints de diabète de type 2, ECR contre placebo</w:t>
            </w:r>
          </w:p>
        </w:tc>
        <w:tc>
          <w:tcPr/>
          <w:p>
            <w:pPr>
              <w:pStyle w:val="Compact"/>
              <w:jc w:val="left"/>
            </w:pPr>
            <w:r>
              <w:t xml:space="preserve">52 semaines</w:t>
            </w:r>
          </w:p>
        </w:tc>
        <w:tc>
          <w:tcPr/>
          <w:p>
            <w:pPr>
              <w:pStyle w:val="Compact"/>
              <w:jc w:val="left"/>
            </w:pPr>
            <w:r>
              <w:t xml:space="preserve">HbA1c −1,06 point de pourcentage par rapport au placebo après 26 semaines, −1,30 après 52 semaines</w:t>
            </w:r>
          </w:p>
        </w:tc>
      </w:tr>
      <w:tr>
        <w:tc>
          <w:tcPr/>
          <w:p>
            <w:pPr>
              <w:pStyle w:val="Compact"/>
              <w:jc w:val="left"/>
            </w:pPr>
            <w:r>
              <w:t xml:space="preserve">SCALE Teens (Kelly 2020), PMID 32233338</w:t>
            </w:r>
          </w:p>
        </w:tc>
        <w:tc>
          <w:tcPr/>
          <w:p>
            <w:pPr>
              <w:pStyle w:val="Compact"/>
              <w:jc w:val="left"/>
            </w:pPr>
            <w:r>
              <w:t xml:space="preserve">251 adolescents (12 à moins de 18 ans) obèses, ECR contre placebo</w:t>
            </w:r>
          </w:p>
        </w:tc>
        <w:tc>
          <w:tcPr/>
          <w:p>
            <w:pPr>
              <w:pStyle w:val="Compact"/>
              <w:jc w:val="left"/>
            </w:pPr>
            <w:r>
              <w:t xml:space="preserve">56 semaines</w:t>
            </w:r>
          </w:p>
        </w:tc>
        <w:tc>
          <w:tcPr/>
          <w:p>
            <w:pPr>
              <w:pStyle w:val="Compact"/>
              <w:jc w:val="left"/>
            </w:pPr>
            <w:r>
              <w:t xml:space="preserve">Baisse de l’IMC ≥ 5 % chez 43,3 % vs 18,7 % ; poids −4,50 kg par rapport au placebo</w:t>
            </w:r>
          </w:p>
        </w:tc>
      </w:tr>
      <w:tr>
        <w:tc>
          <w:tcPr/>
          <w:p>
            <w:pPr>
              <w:pStyle w:val="Compact"/>
              <w:jc w:val="left"/>
            </w:pPr>
            <w:r>
              <w:t xml:space="preserve">SCALE Kids (Fox 2025), PMID 39258838</w:t>
            </w:r>
          </w:p>
        </w:tc>
        <w:tc>
          <w:tcPr/>
          <w:p>
            <w:pPr>
              <w:pStyle w:val="Compact"/>
              <w:jc w:val="left"/>
            </w:pPr>
            <w:r>
              <w:t xml:space="preserve">82 enfants (6 à moins de 12 ans) obèses, ECR contre placebo</w:t>
            </w:r>
          </w:p>
        </w:tc>
        <w:tc>
          <w:tcPr/>
          <w:p>
            <w:pPr>
              <w:pStyle w:val="Compact"/>
              <w:jc w:val="left"/>
            </w:pPr>
            <w:r>
              <w:t xml:space="preserve">56 semaines</w:t>
            </w:r>
          </w:p>
        </w:tc>
        <w:tc>
          <w:tcPr/>
          <w:p>
            <w:pPr>
              <w:pStyle w:val="Compact"/>
              <w:jc w:val="left"/>
            </w:pPr>
            <w:r>
              <w:t xml:space="preserve">IMC −5,8 % vs +1,6 %</w:t>
            </w:r>
          </w:p>
        </w:tc>
      </w:tr>
    </w:tbl>
    <w:p>
      <w:pPr>
        <w:pStyle w:val="BodyText"/>
      </w:pPr>
      <w:r>
        <w:t xml:space="preserve">Dans SCALE Teens</w:t>
      </w:r>
      <w:r>
        <w:rPr>
          <w:rStyle w:val="FootnoteReference"/>
        </w:rPr>
        <w:footnoteReference w:id="312"/>
      </w:r>
      <w:r>
        <w:t xml:space="preserve">, une remontée de l’IMC est apparue après l’arrêt, plus forte que sous placebo. Les troubles gastro-intestinaux ont touché 64,8 % contre 36,5 % ; 10,4 % ont arrêté le traitement en raison d’effets indésirables. Dans le groupe liraglutide, il y a eu un suicide, que les investigateurs ont jugé probablement sans lien avec le traitement.</w:t>
      </w:r>
    </w:p>
    <w:p>
      <w:pPr>
        <w:pStyle w:val="BodyText"/>
      </w:pPr>
      <w:r>
        <w:t xml:space="preserve">Dans SCALE Kids</w:t>
      </w:r>
      <w:r>
        <w:rPr>
          <w:rStyle w:val="FootnoteReference"/>
        </w:rPr>
        <w:footnoteReference w:id="313"/>
      </w:r>
      <w:r>
        <w:t xml:space="preserve">, le poids corporel des enfants en croissance a augmenté en moyenne de 1,6 % sous liraglutide, de 10,0 % sous placebo. Des troubles gastro-intestinaux sont survenus chez 80 % contre 54 %, des événements indésirables graves chez 12 % contre 8 %. Chez l’enfant se pose particulièrement la question de la durée d’un tel traitement et de ses effets à long terme sur la croissance et les os. Une étude sur le métabolisme osseux chez les 12-21 ans sous traitement GLP-1 est notamment en cours à ce sujet</w:t>
      </w:r>
      <w:r>
        <w:rPr>
          <w:rStyle w:val="FootnoteReference"/>
        </w:rPr>
        <w:footnoteReference w:id="314"/>
      </w:r>
      <w:r>
        <w:t xml:space="preserve">.</w:t>
      </w:r>
    </w:p>
    <w:bookmarkEnd w:id="315"/>
    <w:bookmarkStart w:id="319" w:name="autres-domaines-dutilisation-étudiés-1"/>
    <w:p>
      <w:pPr>
        <w:pStyle w:val="Heading4"/>
      </w:pPr>
      <w:r>
        <w:t xml:space="preserve">Autres domaines d’utilisation étudiés</w:t>
      </w:r>
    </w:p>
    <w:p>
      <w:pPr>
        <w:numPr>
          <w:ilvl w:val="0"/>
          <w:numId w:val="1043"/>
        </w:numPr>
        <w:pStyle w:val="Compact"/>
      </w:pPr>
      <w:r>
        <w:rPr>
          <w:bCs/>
          <w:b/>
        </w:rPr>
        <w:t xml:space="preserve">Stéatohépatite (NASH/MASH) :</w:t>
      </w:r>
      <w:r>
        <w:t xml:space="preserve"> </w:t>
      </w:r>
      <w:r>
        <w:t xml:space="preserve">dans la petite étude de phase 2 LEAN portant sur 52 participants, l’inflammation à la biopsie hépatique a régressé chez 39 % sous liraglutide et chez 9 % sous placebo ; une aggravation de la cicatrisation (fibrose) a été plus rare (9 % vs 36 %)</w:t>
      </w:r>
      <w:r>
        <w:rPr>
          <w:rStyle w:val="FootnoteReference"/>
        </w:rPr>
        <w:footnoteReference w:id="316"/>
      </w:r>
      <w:r>
        <w:t xml:space="preserve">. Des études plus grandes ont été menées ensuite avec le sémaglutide.</w:t>
      </w:r>
    </w:p>
    <w:p>
      <w:pPr>
        <w:numPr>
          <w:ilvl w:val="0"/>
          <w:numId w:val="1043"/>
        </w:numPr>
        <w:pStyle w:val="Compact"/>
      </w:pPr>
      <w:r>
        <w:rPr>
          <w:bCs/>
          <w:b/>
        </w:rPr>
        <w:t xml:space="preserve">Maladie d’Alzheimer :</w:t>
      </w:r>
      <w:r>
        <w:t xml:space="preserve"> </w:t>
      </w:r>
      <w:r>
        <w:t xml:space="preserve">dans l’étude de phase 2b ELAD portant sur 204 personnes sans diabète, le critère principal, le métabolisme du glucose dans le cerveau, n’a pas changé</w:t>
      </w:r>
      <w:r>
        <w:rPr>
          <w:rStyle w:val="FootnoteReference"/>
        </w:rPr>
        <w:footnoteReference w:id="317"/>
      </w:r>
      <w:r>
        <w:t xml:space="preserve">. Pour un critère secondaire portant sur les fonctions exécutives, le liraglutide a obtenu de meilleurs résultats, mais pas pour les capacités de la vie quotidienne ni la sévérité de la démence. Les critères secondaires sans correction pour tests multiples ne sont que des indices.</w:t>
      </w:r>
    </w:p>
    <w:p>
      <w:pPr>
        <w:numPr>
          <w:ilvl w:val="0"/>
          <w:numId w:val="1043"/>
        </w:numPr>
        <w:pStyle w:val="Compact"/>
      </w:pPr>
      <w:r>
        <w:rPr>
          <w:bCs/>
          <w:b/>
        </w:rPr>
        <w:t xml:space="preserve">Alcool et autres addictions :</w:t>
      </w:r>
      <w:r>
        <w:t xml:space="preserve"> </w:t>
      </w:r>
      <w:r>
        <w:t xml:space="preserve">dans une étude de registre suédoise portant sur 227 866 personnes dépendantes à l’alcool, la prise de liraglutide était associée à un risque d’hospitalisation liée à l’alcool inférieur de 28 %</w:t>
      </w:r>
      <w:r>
        <w:rPr>
          <w:rStyle w:val="FootnoteReference"/>
        </w:rPr>
        <w:footnoteReference w:id="318"/>
      </w:r>
      <w:r>
        <w:t xml:space="preserve">. Les données observationnelles de ce type montrent des associations, pas une relation de cause à effet.</w:t>
      </w:r>
    </w:p>
    <w:bookmarkEnd w:id="319"/>
    <w:bookmarkEnd w:id="320"/>
    <w:bookmarkStart w:id="323" w:name="études-animales-et-de-laboratoire-1"/>
    <w:p>
      <w:pPr>
        <w:pStyle w:val="Heading3"/>
      </w:pPr>
      <w:r>
        <w:t xml:space="preserve">Études animales et de laboratoire</w:t>
      </w:r>
    </w:p>
    <w:p>
      <w:pPr>
        <w:pStyle w:val="FirstParagraph"/>
      </w:pPr>
      <w:r>
        <w:t xml:space="preserve">Une grande partie de la compréhension actuelle de l’action du GLP-1 dans le cerveau provient d’expérimentations animales avec le liraglutide. Chez le rat et la souris, on a montré que la molécule, malgré sa taille, atteint certaines régions cérébrales dépourvues de barrière hémato-encéphalique étanche et y stimule des cellules nerveuses coupe-faim</w:t>
      </w:r>
      <w:r>
        <w:rPr>
          <w:rStyle w:val="FootnoteReference"/>
        </w:rPr>
        <w:footnoteReference w:id="321"/>
      </w:r>
      <w:r>
        <w:t xml:space="preserve">.</w:t>
      </w:r>
    </w:p>
    <w:p>
      <w:pPr>
        <w:pStyle w:val="BodyText"/>
      </w:pPr>
      <w:r>
        <w:t xml:space="preserve">Les constats concernant la thyroïde ont eu des conséquences particulièrement importantes. Dans des expériences à long terme chez le rat et la souris, le liraglutide a entraîné une prolifération des cellules C (qui produisent l’hormone calcitonine) et des tumeurs à cellules C. L’étude du mécanisme a montré que les cellules C des rongeurs portent de nombreux récepteurs du GLP-1, alors que celles de l’humain et du singe en portent à peine</w:t>
      </w:r>
      <w:r>
        <w:rPr>
          <w:rStyle w:val="FootnoteReference"/>
        </w:rPr>
        <w:footnoteReference w:id="322"/>
      </w:r>
      <w:r>
        <w:t xml:space="preserve">. Chez le macaque crabier, 20 mois de liraglutide à une exposition plus de 60 fois supérieure à celle de l’humain n’ont pas entraîné de prolifération des cellules C. Néanmoins, une mise en garde concernant le carcinome médullaire de la thyroïde figure depuis lors dans le résumé des caractéristiques du produit de toute la classe, en particulier aux États-Unis.</w:t>
      </w:r>
    </w:p>
    <w:p>
      <w:pPr>
        <w:pStyle w:val="BodyText"/>
      </w:pPr>
      <w:r>
        <w:t xml:space="preserve">D’autres études animales ont porté sur la protection cardiaque, la neuroprotection (modèles d’Alzheimer et de Parkinson), la stéatose hépatique et les atteintes rénales. Comme pour l’exénatide, la transposabilité à l’humain est limitée : l’étude ELAD sur la maladie d’Alzheimer, par exemple, a manqué son critère principal, alors que les données animales étaient positives.</w:t>
      </w:r>
    </w:p>
    <w:bookmarkEnd w:id="323"/>
    <w:bookmarkStart w:id="333" w:name="risques-et-effets-indésirables-1"/>
    <w:p>
      <w:pPr>
        <w:pStyle w:val="Heading3"/>
      </w:pPr>
      <w:r>
        <w:t xml:space="preserve">Risques et effets indésirables</w:t>
      </w:r>
    </w:p>
    <w:p>
      <w:pPr>
        <w:pStyle w:val="FirstParagraph"/>
      </w:pPr>
      <w:r>
        <w:rPr>
          <w:bCs/>
          <w:b/>
        </w:rPr>
        <w:t xml:space="preserve">Démontrés dans des études randomisées :</w:t>
      </w:r>
    </w:p>
    <w:p>
      <w:pPr>
        <w:numPr>
          <w:ilvl w:val="0"/>
          <w:numId w:val="1044"/>
        </w:numPr>
        <w:pStyle w:val="Compact"/>
      </w:pPr>
      <w:r>
        <w:rPr>
          <w:bCs/>
          <w:b/>
        </w:rPr>
        <w:t xml:space="preserve">Troubles gastro-intestinaux :</w:t>
      </w:r>
      <w:r>
        <w:t xml:space="preserve"> </w:t>
      </w:r>
      <w:r>
        <w:t xml:space="preserve">nausées, diarrhées, vomissements et constipation sont les effets indésirables les plus fréquents et la raison la plus courante des arrêts de traitement</w:t>
      </w:r>
      <w:r>
        <w:rPr>
          <w:rStyle w:val="FootnoteReference"/>
        </w:rPr>
        <w:footnoteReference w:id="324"/>
      </w:r>
      <w:r>
        <w:t xml:space="preserve">. Ils surviennent surtout au début et après les augmentations de dose. À la dose plus élevée utilisée dans l’obésité, ils sont plus fréquents qu’à la dose utilisée dans le diabète</w:t>
      </w:r>
      <w:r>
        <w:rPr>
          <w:rStyle w:val="FootnoteReference"/>
        </w:rPr>
        <w:footnoteReference w:id="325"/>
      </w:r>
      <w:r>
        <w:t xml:space="preserve">.</w:t>
      </w:r>
    </w:p>
    <w:p>
      <w:pPr>
        <w:numPr>
          <w:ilvl w:val="0"/>
          <w:numId w:val="1044"/>
        </w:numPr>
        <w:pStyle w:val="Compact"/>
      </w:pPr>
      <w:r>
        <w:rPr>
          <w:bCs/>
          <w:b/>
        </w:rPr>
        <w:t xml:space="preserve">Vésicule biliaire :</w:t>
      </w:r>
      <w:r>
        <w:t xml:space="preserve"> </w:t>
      </w:r>
      <w:r>
        <w:t xml:space="preserve">une méta-analyse de 76 études randomisées portant sur 103 371 participants a trouvé pour la classe GLP-1 un risque relatif augmenté de 37 % de maladies de la vésicule et des voies biliaires comme les calculs biliaires et la cholécystite</w:t>
      </w:r>
      <w:r>
        <w:rPr>
          <w:rStyle w:val="FootnoteReference"/>
        </w:rPr>
        <w:footnoteReference w:id="326"/>
      </w:r>
      <w:r>
        <w:t xml:space="preserve">. Le risque était plus élevé avec les doses plus fortes, une utilisation plus longue et dans les études sur la perte de poids (risque relatif 2,29). Une partie de ce risque est probablement liée à la perte de poids rapide elle-même.</w:t>
      </w:r>
    </w:p>
    <w:p>
      <w:pPr>
        <w:numPr>
          <w:ilvl w:val="0"/>
          <w:numId w:val="1044"/>
        </w:numPr>
        <w:pStyle w:val="Compact"/>
      </w:pPr>
      <w:r>
        <w:rPr>
          <w:bCs/>
          <w:b/>
        </w:rPr>
        <w:t xml:space="preserve">Hypoglycémie :</w:t>
      </w:r>
      <w:r>
        <w:t xml:space="preserve"> </w:t>
      </w:r>
      <w:r>
        <w:t xml:space="preserve">rare en monothérapie, plus fréquente en association avec des sulfamides ou de l’insuline.</w:t>
      </w:r>
    </w:p>
    <w:p>
      <w:pPr>
        <w:numPr>
          <w:ilvl w:val="0"/>
          <w:numId w:val="1044"/>
        </w:numPr>
        <w:pStyle w:val="Compact"/>
      </w:pPr>
      <w:r>
        <w:rPr>
          <w:bCs/>
          <w:b/>
        </w:rPr>
        <w:t xml:space="preserve">Fréquence cardiaque :</w:t>
      </w:r>
      <w:r>
        <w:t xml:space="preserve"> </w:t>
      </w:r>
      <w:r>
        <w:t xml:space="preserve">le liraglutide augmente légèrement le pouls au repos de quelques battements par minute ; au vu des résultats de LEADER, la portée clinique est jugée faible.</w:t>
      </w:r>
    </w:p>
    <w:p>
      <w:pPr>
        <w:pStyle w:val="FirstParagraph"/>
      </w:pPr>
      <w:r>
        <w:rPr>
          <w:bCs/>
          <w:b/>
        </w:rPr>
        <w:t xml:space="preserve">Étudiés, mais incertains ou non confirmés :</w:t>
      </w:r>
    </w:p>
    <w:p>
      <w:pPr>
        <w:numPr>
          <w:ilvl w:val="0"/>
          <w:numId w:val="1045"/>
        </w:numPr>
        <w:pStyle w:val="Compact"/>
      </w:pPr>
      <w:r>
        <w:rPr>
          <w:bCs/>
          <w:b/>
        </w:rPr>
        <w:t xml:space="preserve">Pancréatite :</w:t>
      </w:r>
      <w:r>
        <w:t xml:space="preserve"> </w:t>
      </w:r>
      <w:r>
        <w:t xml:space="preserve">dans LEADER, elle n’a pas été plus fréquente sous liraglutide que sous placebo</w:t>
      </w:r>
      <w:r>
        <w:rPr>
          <w:rStyle w:val="FootnoteReference"/>
        </w:rPr>
        <w:footnoteReference w:id="327"/>
      </w:r>
      <w:r>
        <w:t xml:space="preserve">. Une méta-analyse plus ancienne n’a pas non plus trouvé de risque accru</w:t>
      </w:r>
      <w:r>
        <w:rPr>
          <w:rStyle w:val="FootnoteReference"/>
        </w:rPr>
        <w:footnoteReference w:id="328"/>
      </w:r>
      <w:r>
        <w:t xml:space="preserve">. Le résumé des caractéristiques du produit la mentionne néanmoins comme effet indésirable rare ; en cas de douleurs abdominales fortes et persistantes, un examen médical est nécessaire.</w:t>
      </w:r>
    </w:p>
    <w:p>
      <w:pPr>
        <w:numPr>
          <w:ilvl w:val="0"/>
          <w:numId w:val="1045"/>
        </w:numPr>
        <w:pStyle w:val="Compact"/>
      </w:pPr>
      <w:r>
        <w:rPr>
          <w:bCs/>
          <w:b/>
        </w:rPr>
        <w:t xml:space="preserve">Cancer de la thyroïde :</w:t>
      </w:r>
      <w:r>
        <w:t xml:space="preserve"> </w:t>
      </w:r>
      <w:r>
        <w:t xml:space="preserve">les constats chez l’animal sont décrits plus haut. Chez l’humain, les données sont contradictoires. Une étude cas-témoins française portant sur 2 562 cas a trouvé, après un à trois ans de traitement GLP-1, un risque accru de cancer de la thyroïde dans son ensemble (HR 1,58) et du rare carcinome médullaire (HR 1,78)</w:t>
      </w:r>
      <w:r>
        <w:rPr>
          <w:rStyle w:val="FootnoteReference"/>
        </w:rPr>
        <w:footnoteReference w:id="329"/>
      </w:r>
      <w:r>
        <w:t xml:space="preserve">. Une méta-analyse de 50 études randomisées a également montré un signal (odds ratio 1,55)</w:t>
      </w:r>
      <w:r>
        <w:rPr>
          <w:rStyle w:val="FootnoteReference"/>
        </w:rPr>
        <w:footnoteReference w:id="330"/>
      </w:r>
      <w:r>
        <w:t xml:space="preserve">. On discute de la part qui pourrait être due à des examens plus fréquents chez les personnes traitées. Selon le résumé des caractéristiques du produit, les personnes ayant des antécédents personnels ou familiaux de carcinome médullaire de la thyroïde ne doivent pas utiliser d’agonistes du récepteur du GLP-1.</w:t>
      </w:r>
    </w:p>
    <w:p>
      <w:pPr>
        <w:numPr>
          <w:ilvl w:val="0"/>
          <w:numId w:val="1045"/>
        </w:numPr>
        <w:pStyle w:val="Compact"/>
      </w:pPr>
      <w:r>
        <w:rPr>
          <w:bCs/>
          <w:b/>
        </w:rPr>
        <w:t xml:space="preserve">Effets indésirables psychiques et idées suicidaires :</w:t>
      </w:r>
      <w:r>
        <w:t xml:space="preserve"> </w:t>
      </w:r>
      <w:r>
        <w:t xml:space="preserve">après des notifications isolées, les autorités européenne et américaine ont examiné en 2023/2024 un lien possible et n’ont trouvé aucune preuve d’une relation causale. Dans une étude de cohorte scandinave portant sur 124 517 personnes sous agonistes du récepteur du GLP-1, le risque de suicide n’était pas augmenté par rapport aux inhibiteurs du SGLT2 (HR 1,25 ; intervalle de confiance 0,83–1,88)</w:t>
      </w:r>
      <w:r>
        <w:rPr>
          <w:rStyle w:val="FootnoteReference"/>
        </w:rPr>
        <w:footnoteReference w:id="331"/>
      </w:r>
      <w:r>
        <w:t xml:space="preserve">. Une méta-analyse de 2026 n’a pas non plus trouvé de lien dans les études randomisées</w:t>
      </w:r>
      <w:r>
        <w:rPr>
          <w:rStyle w:val="FootnoteReference"/>
        </w:rPr>
        <w:footnoteReference w:id="332"/>
      </w:r>
      <w:r>
        <w:t xml:space="preserve">. L’observation reste soumise à une surveillance continue.</w:t>
      </w:r>
    </w:p>
    <w:p>
      <w:pPr>
        <w:pStyle w:val="FirstParagraph"/>
      </w:pPr>
      <w:r>
        <w:rPr>
          <w:bCs/>
          <w:b/>
        </w:rPr>
        <w:t xml:space="preserve">Remarques pour la pratique :</w:t>
      </w:r>
      <w:r>
        <w:t xml:space="preserve"> </w:t>
      </w:r>
      <w:r>
        <w:t xml:space="preserve">le liraglutide n’est pas indiqué pendant la grossesse. Comme tous les agonistes du récepteur du GLP-1, il ralentit la vidange gastrique, ce qui peut jouer un rôle lors d’anesthésies et pour l’absorption d’autres médicaments. Le résumé des caractéristiques du produit et l’accompagnement médical font foi, y compris pour l’augmentation progressive de la dose.</w:t>
      </w:r>
    </w:p>
    <w:bookmarkEnd w:id="333"/>
    <w:bookmarkStart w:id="334" w:name="statut-juridique-1"/>
    <w:p>
      <w:pPr>
        <w:pStyle w:val="Heading3"/>
      </w:pPr>
      <w:r>
        <w:t xml:space="preserve">Statut juridique</w:t>
      </w:r>
    </w:p>
    <w:p>
      <w:pPr>
        <w:numPr>
          <w:ilvl w:val="0"/>
          <w:numId w:val="1046"/>
        </w:numPr>
        <w:pStyle w:val="Compact"/>
      </w:pPr>
      <w:r>
        <w:rPr>
          <w:bCs/>
          <w:b/>
        </w:rPr>
        <w:t xml:space="preserve">UE :</w:t>
      </w:r>
      <w:r>
        <w:t xml:space="preserve"> </w:t>
      </w:r>
      <w:r>
        <w:t xml:space="preserve">Victoza est autorisé depuis 2009 pour le traitement du diabète de type 2, Saxenda depuis 2015 pour la gestion du poids chez l’adulte et l’adolescent. Les deux sont soumis à prescription.</w:t>
      </w:r>
    </w:p>
    <w:p>
      <w:pPr>
        <w:numPr>
          <w:ilvl w:val="0"/>
          <w:numId w:val="1046"/>
        </w:numPr>
        <w:pStyle w:val="Compact"/>
      </w:pPr>
      <w:r>
        <w:rPr>
          <w:bCs/>
          <w:b/>
        </w:rPr>
        <w:t xml:space="preserve">Allemagne :</w:t>
      </w:r>
      <w:r>
        <w:t xml:space="preserve"> </w:t>
      </w:r>
      <w:r>
        <w:t xml:space="preserve">dans le diabète, les caisses d’assurance maladie légales remboursent le liraglutide. Les médicaments destinés à la perte de poids sont en revanche en principe exclus du remboursement en vertu du § 34 SGB V ; les assurés doivent en règle générale payer eux-mêmes Saxenda.</w:t>
      </w:r>
    </w:p>
    <w:p>
      <w:pPr>
        <w:numPr>
          <w:ilvl w:val="0"/>
          <w:numId w:val="1046"/>
        </w:numPr>
        <w:pStyle w:val="Compact"/>
      </w:pPr>
      <w:r>
        <w:rPr>
          <w:bCs/>
          <w:b/>
        </w:rPr>
        <w:t xml:space="preserve">Autriche :</w:t>
      </w:r>
      <w:r>
        <w:t xml:space="preserve"> </w:t>
      </w:r>
      <w:r>
        <w:t xml:space="preserve">soumis à prescription ; la prise en charge des coûts pour la gestion du poids est restreinte et soumise à conditions (à vérifier).</w:t>
      </w:r>
    </w:p>
    <w:p>
      <w:pPr>
        <w:numPr>
          <w:ilvl w:val="0"/>
          <w:numId w:val="1046"/>
        </w:numPr>
        <w:pStyle w:val="Compact"/>
      </w:pPr>
      <w:r>
        <w:rPr>
          <w:bCs/>
          <w:b/>
        </w:rPr>
        <w:t xml:space="preserve">États-Unis :</w:t>
      </w:r>
      <w:r>
        <w:t xml:space="preserve"> </w:t>
      </w:r>
      <w:r>
        <w:t xml:space="preserve">Victoza et Saxenda autorisés, Victoza en outre pour la réduction du risque cardiovasculaire. Des génériques de la forme pour le diabète sont sur le marché depuis 2024, de la forme pour l’obésité depuis 2025.</w:t>
      </w:r>
    </w:p>
    <w:p>
      <w:pPr>
        <w:numPr>
          <w:ilvl w:val="0"/>
          <w:numId w:val="1046"/>
        </w:numPr>
        <w:pStyle w:val="Compact"/>
      </w:pPr>
      <w:r>
        <w:rPr>
          <w:bCs/>
          <w:b/>
        </w:rPr>
        <w:t xml:space="preserve">Génériques en Europe :</w:t>
      </w:r>
      <w:r>
        <w:t xml:space="preserve"> </w:t>
      </w:r>
      <w:r>
        <w:t xml:space="preserve">le liraglutide étant un peptide pouvant être produit par synthèse ou par génie génétique et dont la protection par brevet a expiré, des copies arrivent aussi sur le marché en Europe. La situation varie selon les pays ; à vérifier.</w:t>
      </w:r>
    </w:p>
    <w:p>
      <w:pPr>
        <w:numPr>
          <w:ilvl w:val="0"/>
          <w:numId w:val="1046"/>
        </w:numPr>
        <w:pStyle w:val="Compact"/>
      </w:pPr>
      <w:r>
        <w:rPr>
          <w:bCs/>
          <w:b/>
        </w:rPr>
        <w:t xml:space="preserve">Sport (AMA) :</w:t>
      </w:r>
      <w:r>
        <w:t xml:space="preserve"> </w:t>
      </w:r>
      <w:r>
        <w:t xml:space="preserve">non listé (état 2026, à vérifier).</w:t>
      </w:r>
    </w:p>
    <w:p>
      <w:pPr>
        <w:pStyle w:val="FirstParagraph"/>
      </w:pPr>
      <w:r>
        <w:t xml:space="preserve">Les génériques font du liraglutide un cas particulier de la classe : c’est la première substance GLP-1 au bénéfice cardiovasculaire démontré dont le prix peut nettement baisser. Cela a de l’importance en particulier dans les pays aux budgets de santé limités, même si l’injection quotidienne et l’effet plus faible par rapport au sémaglutide restent des inconvénients. Pour en savoir plus sur l’expiration des brevets et les prix, voir la partie V.</w:t>
      </w:r>
    </w:p>
    <w:bookmarkEnd w:id="334"/>
    <w:bookmarkStart w:id="340" w:name="études-en-cours-et-perspectives-1"/>
    <w:p>
      <w:pPr>
        <w:pStyle w:val="Heading3"/>
      </w:pPr>
      <w:r>
        <w:t xml:space="preserve">Études en cours et perspectives</w:t>
      </w:r>
    </w:p>
    <w:p>
      <w:pPr>
        <w:pStyle w:val="FirstParagraph"/>
      </w:pPr>
      <w:r>
        <w:rPr>
          <w:bCs/>
          <w:b/>
        </w:rPr>
        <w:t xml:space="preserve">Établi (études enregistrées) :</w:t>
      </w:r>
      <w:r>
        <w:t xml:space="preserve"> </w:t>
      </w:r>
      <w:r>
        <w:t xml:space="preserve">il n’y a pratiquement plus de nouvelles études d’autorisation de Novo Nordisk ; la recherche est principalement portée par des hôpitaux et des universités. Exemples :</w:t>
      </w:r>
    </w:p>
    <w:p>
      <w:pPr>
        <w:numPr>
          <w:ilvl w:val="0"/>
          <w:numId w:val="1047"/>
        </w:numPr>
        <w:pStyle w:val="Compact"/>
      </w:pPr>
      <w:r>
        <w:t xml:space="preserve">Une étude portant sur 890 femmes obèses, ayant un désir d’enfant non satisfait et un syndrome des ovaires polykystiques (SOPK), évalue le liraglutide avant un traitement de l’infertilité</w:t>
      </w:r>
      <w:r>
        <w:rPr>
          <w:rStyle w:val="FootnoteReference"/>
        </w:rPr>
        <w:footnoteReference w:id="335"/>
      </w:r>
      <w:r>
        <w:t xml:space="preserve">.</w:t>
      </w:r>
    </w:p>
    <w:p>
      <w:pPr>
        <w:numPr>
          <w:ilvl w:val="0"/>
          <w:numId w:val="1047"/>
        </w:numPr>
        <w:pStyle w:val="Compact"/>
      </w:pPr>
      <w:r>
        <w:t xml:space="preserve">Une étude de phase 3 portant sur 260 personnes âgées diabétiques examine si le liraglutide peut prévenir un délire après une chirurgie cardiaque</w:t>
      </w:r>
      <w:r>
        <w:rPr>
          <w:rStyle w:val="FootnoteReference"/>
        </w:rPr>
        <w:footnoteReference w:id="336"/>
      </w:r>
      <w:r>
        <w:t xml:space="preserve">.</w:t>
      </w:r>
    </w:p>
    <w:p>
      <w:pPr>
        <w:numPr>
          <w:ilvl w:val="0"/>
          <w:numId w:val="1047"/>
        </w:numPr>
        <w:pStyle w:val="Compact"/>
      </w:pPr>
      <w:r>
        <w:t xml:space="preserve">Dans une forme héréditaire de diabète (MODY), le liraglutide est étudié dans une étude de phase 2</w:t>
      </w:r>
      <w:r>
        <w:rPr>
          <w:rStyle w:val="FootnoteReference"/>
        </w:rPr>
        <w:footnoteReference w:id="337"/>
      </w:r>
      <w:r>
        <w:t xml:space="preserve">.</w:t>
      </w:r>
    </w:p>
    <w:p>
      <w:pPr>
        <w:numPr>
          <w:ilvl w:val="0"/>
          <w:numId w:val="1047"/>
        </w:numPr>
        <w:pStyle w:val="Compact"/>
      </w:pPr>
      <w:r>
        <w:t xml:space="preserve">Une grande étude pragmatique portant sur 6 000 participants compare des stratégies thérapeutiques de prévention des maladies cardiaques et rénales dans le diabète de type 2</w:t>
      </w:r>
      <w:r>
        <w:rPr>
          <w:rStyle w:val="FootnoteReference"/>
        </w:rPr>
        <w:footnoteReference w:id="338"/>
      </w:r>
      <w:r>
        <w:t xml:space="preserve">.</w:t>
      </w:r>
    </w:p>
    <w:p>
      <w:pPr>
        <w:numPr>
          <w:ilvl w:val="0"/>
          <w:numId w:val="1047"/>
        </w:numPr>
        <w:pStyle w:val="Compact"/>
      </w:pPr>
      <w:r>
        <w:t xml:space="preserve">Le suivi à long terme des participants de SCALE Kids se poursuit</w:t>
      </w:r>
      <w:r>
        <w:rPr>
          <w:rStyle w:val="FootnoteReference"/>
        </w:rPr>
        <w:footnoteReference w:id="339"/>
      </w:r>
      <w:r>
        <w:t xml:space="preserve">.</w:t>
      </w:r>
    </w:p>
    <w:p>
      <w:pPr>
        <w:pStyle w:val="FirstParagraph"/>
      </w:pPr>
      <w:r>
        <w:rPr>
          <w:bCs/>
          <w:b/>
        </w:rPr>
        <w:t xml:space="preserve">Estimation :</w:t>
      </w:r>
      <w:r>
        <w:t xml:space="preserve"> </w:t>
      </w:r>
      <w:r>
        <w:t xml:space="preserve">dans les pays riches, le liraglutide est de plus en plus supplanté par des substances hebdomadaires comme le sémaglutide et le tirzépatide. Grâce aux génériques, il devrait toutefois connaître une seconde carrière comme alternative bon marché – surtout là où les médicaments plus récents ne sont pas abordables ou pas disponibles. Sur le plan scientifique, il reste un standard de comparaison important.</w:t>
      </w:r>
    </w:p>
    <w:bookmarkEnd w:id="340"/>
    <w:bookmarkStart w:id="341" w:name="conclusion-1"/>
    <w:p>
      <w:pPr>
        <w:pStyle w:val="Heading3"/>
      </w:pPr>
      <w:r>
        <w:t xml:space="preserve">Conclusion</w:t>
      </w:r>
    </w:p>
    <w:p>
      <w:pPr>
        <w:pStyle w:val="FirstParagraph"/>
      </w:pPr>
      <w:r>
        <w:t xml:space="preserve">Le liraglutide a été la première substance GLP-1 presque identique à l’hormone humaine et la première pour laquelle une grande étude a montré une protection contre les événements cardiovasculaires (LEADER, 9 340 participants, réduction relative du risque de 13 %). Sous le nom de Saxenda, il a été le premier médicament GLP-1 pour la perte de poids ; en moyenne, les participants sans diabète ont perdu environ 8 kg en un an. En comparaison directe, il est supérieur à l’exénatide, équivalent au dulaglutide et nettement inférieur au sémaglutide. Les effets indésirables les plus fréquents sont les troubles gastro-intestinaux, auxquels s’ajoute un risque accru d’atteinte de la vésicule biliaire ; la question du cancer de la thyroïde n’est pas définitivement tranchée. Avec l’expiration de la protection par brevet, il devient la première option bon marché de la classe – le traitement relève néanmoins du médecin.</w:t>
      </w:r>
    </w:p>
    <w:bookmarkEnd w:id="341"/>
    <w:bookmarkEnd w:id="342"/>
    <w:bookmarkStart w:id="402" w:name="dulaglutide"/>
    <w:p>
      <w:pPr>
        <w:pStyle w:val="Heading2"/>
      </w:pPr>
      <w:r>
        <w:t xml:space="preserve">Dulaglutide</w:t>
      </w:r>
    </w:p>
    <w:bookmarkStart w:id="344" w:name="fiche-signalétique-2"/>
    <w:p>
      <w:pPr>
        <w:pStyle w:val="Heading3"/>
      </w:pPr>
      <w:r>
        <w:t xml:space="preserve">Fiche signalétique</w:t>
      </w:r>
    </w:p>
    <w:p>
      <w:pPr>
        <w:numPr>
          <w:ilvl w:val="0"/>
          <w:numId w:val="1048"/>
        </w:numPr>
        <w:pStyle w:val="Compact"/>
      </w:pPr>
      <w:r>
        <w:rPr>
          <w:bCs/>
          <w:b/>
        </w:rPr>
        <w:t xml:space="preserve">Type/structure :</w:t>
      </w:r>
      <w:r>
        <w:t xml:space="preserve"> </w:t>
      </w:r>
      <w:r>
        <w:t xml:space="preserve">protéine de fusion. Deux chaînes de GLP-1 légèrement modifiées sont couplées par un court bras de liaison au fragment constant (fragment Fc) d’un anticorps humain de type IgG4. Le dulaglutide est ainsi bien plus grand que le liraglutide – à proprement parler plutôt une protéine qu’un petit peptide.</w:t>
      </w:r>
    </w:p>
    <w:p>
      <w:pPr>
        <w:numPr>
          <w:ilvl w:val="0"/>
          <w:numId w:val="1048"/>
        </w:numPr>
        <w:pStyle w:val="Compact"/>
      </w:pPr>
      <w:r>
        <w:rPr>
          <w:bCs/>
          <w:b/>
        </w:rPr>
        <w:t xml:space="preserve">Origine :</w:t>
      </w:r>
      <w:r>
        <w:t xml:space="preserve"> </w:t>
      </w:r>
      <w:r>
        <w:t xml:space="preserve">développé par Eli Lilly, fabriqué par génie génétique dans des cellules de mammifères</w:t>
      </w:r>
      <w:r>
        <w:rPr>
          <w:rStyle w:val="FootnoteReference"/>
        </w:rPr>
        <w:footnoteReference w:id="343"/>
      </w:r>
      <w:r>
        <w:t xml:space="preserve">.</w:t>
      </w:r>
    </w:p>
    <w:p>
      <w:pPr>
        <w:numPr>
          <w:ilvl w:val="0"/>
          <w:numId w:val="1048"/>
        </w:numPr>
        <w:pStyle w:val="Compact"/>
      </w:pPr>
      <w:r>
        <w:rPr>
          <w:bCs/>
          <w:b/>
        </w:rPr>
        <w:t xml:space="preserve">Principe d’action :</w:t>
      </w:r>
      <w:r>
        <w:t xml:space="preserve"> </w:t>
      </w:r>
      <w:r>
        <w:t xml:space="preserve">agoniste du récepteur du GLP-1. La partie anticorps protège contre la dégradation et l’élimination rénale ; une injection par semaine suffit.</w:t>
      </w:r>
    </w:p>
    <w:p>
      <w:pPr>
        <w:numPr>
          <w:ilvl w:val="0"/>
          <w:numId w:val="1048"/>
        </w:numPr>
        <w:pStyle w:val="Compact"/>
      </w:pPr>
      <w:r>
        <w:rPr>
          <w:bCs/>
          <w:b/>
        </w:rPr>
        <w:t xml:space="preserve">Préparation :</w:t>
      </w:r>
      <w:r>
        <w:t xml:space="preserve"> </w:t>
      </w:r>
      <w:r>
        <w:t xml:space="preserve">Trulicity (stylo prérempli, hebdomadaire ; dosages autorisés jusqu’à 4,5 mg).</w:t>
      </w:r>
    </w:p>
    <w:p>
      <w:pPr>
        <w:numPr>
          <w:ilvl w:val="0"/>
          <w:numId w:val="1048"/>
        </w:numPr>
        <w:pStyle w:val="Compact"/>
      </w:pPr>
      <w:r>
        <w:rPr>
          <w:bCs/>
          <w:b/>
        </w:rPr>
        <w:t xml:space="preserve">Autorisation UE :</w:t>
      </w:r>
      <w:r>
        <w:t xml:space="preserve"> </w:t>
      </w:r>
      <w:r>
        <w:t xml:space="preserve">oui, diabète de type 2 chez l’adulte et l’adolescent à partir de 10 ans. Pas d’autorisation pour la perte de poids.</w:t>
      </w:r>
    </w:p>
    <w:p>
      <w:pPr>
        <w:numPr>
          <w:ilvl w:val="0"/>
          <w:numId w:val="1048"/>
        </w:numPr>
        <w:pStyle w:val="Compact"/>
      </w:pPr>
      <w:r>
        <w:rPr>
          <w:bCs/>
          <w:b/>
        </w:rPr>
        <w:t xml:space="preserve">Autorisation États-Unis :</w:t>
      </w:r>
      <w:r>
        <w:t xml:space="preserve"> </w:t>
      </w:r>
      <w:r>
        <w:t xml:space="preserve">oui, diabète de type 2 à partir de 10 ans et réduction du risque cardiovasculaire chez l’adulte atteint de diabète de type 2.</w:t>
      </w:r>
    </w:p>
    <w:p>
      <w:pPr>
        <w:numPr>
          <w:ilvl w:val="0"/>
          <w:numId w:val="1048"/>
        </w:numPr>
        <w:pStyle w:val="Compact"/>
      </w:pPr>
      <w:r>
        <w:rPr>
          <w:bCs/>
          <w:b/>
        </w:rPr>
        <w:t xml:space="preserve">AMA :</w:t>
      </w:r>
      <w:r>
        <w:t xml:space="preserve"> </w:t>
      </w:r>
      <w:r>
        <w:t xml:space="preserve">non listé.</w:t>
      </w:r>
    </w:p>
    <w:p>
      <w:pPr>
        <w:numPr>
          <w:ilvl w:val="0"/>
          <w:numId w:val="1048"/>
        </w:numPr>
        <w:pStyle w:val="Compact"/>
      </w:pPr>
      <w:r>
        <w:rPr>
          <w:bCs/>
          <w:b/>
        </w:rPr>
        <w:t xml:space="preserve">Niveau de preuve :</w:t>
      </w:r>
      <w:r>
        <w:t xml:space="preserve"> </w:t>
      </w:r>
      <w:r>
        <w:rPr>
          <w:bCs/>
          <w:b/>
        </w:rPr>
        <w:t xml:space="preserve">A</w:t>
      </w:r>
      <w:r>
        <w:t xml:space="preserve"> </w:t>
      </w:r>
      <w:r>
        <w:t xml:space="preserve">– programme d’études AWARD avec plus de dix études randomisées de phase 3, étude sur critères cliniques REWIND, étude chez l’adolescent.</w:t>
      </w:r>
    </w:p>
    <w:bookmarkEnd w:id="344"/>
    <w:bookmarkStart w:id="347" w:name="mode-daction-supposé-2"/>
    <w:p>
      <w:pPr>
        <w:pStyle w:val="Heading3"/>
      </w:pPr>
      <w:r>
        <w:t xml:space="preserve">Mode d’action supposé</w:t>
      </w:r>
    </w:p>
    <w:p>
      <w:pPr>
        <w:pStyle w:val="FirstParagraph"/>
      </w:pPr>
      <w:r>
        <w:t xml:space="preserve">Le dulaglutide agit sur le récepteur du GLP-1 comme l’exénatide, le liraglutide et le sémaglutide : il renforce la sécrétion d’insuline dépendante du glucose, freine l’hormone glucagon, ralentit la vidange gastrique et atténue l’appétit. Le mécanisme de base est expliqué dans le chapitre Exénatide.</w:t>
      </w:r>
    </w:p>
    <w:p>
      <w:pPr>
        <w:pStyle w:val="BodyText"/>
      </w:pPr>
      <w:r>
        <w:t xml:space="preserve">La différence réside dans l’« emballage ». Le liraglutide et le sémaglutide sont liés aux protéines du sang par l’intermédiaire d’un acide gras fixé. Lilly a pris une autre voie et a couplé l’hormone au fragment Fc d’un anticorps. Cet élément est connu en biotechnologie : il rend les molécules si grandes que les reins ne peuvent plus les filtrer, et il exploite une voie de recyclage de l’organisme qui protège les anticorps de la dégradation. Chez le rat et le macaque crabier, la demi-vie de la substance était de 1,5 à 2 jours ; chez l’humain, elle est plus longue et permet une administration hebdomadaire</w:t>
      </w:r>
      <w:r>
        <w:rPr>
          <w:rStyle w:val="FootnoteReference"/>
        </w:rPr>
        <w:footnoteReference w:id="345"/>
      </w:r>
      <w:r>
        <w:t xml:space="preserve">.</w:t>
      </w:r>
    </w:p>
    <w:p>
      <w:pPr>
        <w:pStyle w:val="BodyText"/>
      </w:pPr>
      <w:r>
        <w:t xml:space="preserve">Dans les chaînes de GLP-1 elles-mêmes, certains acides aminés ont été remplacés – en partie pour empêcher la dégradation par l’enzyme DPP-4, en partie pour réduire la formation d’anticorps contre la substance. De fait, dans neuf études, seulement 1,6 % des personnes traitées par dulaglutide ont formé des anticorps contre le médicament</w:t>
      </w:r>
      <w:r>
        <w:rPr>
          <w:rStyle w:val="FootnoteReference"/>
        </w:rPr>
        <w:footnoteReference w:id="346"/>
      </w:r>
      <w:r>
        <w:t xml:space="preserve"> </w:t>
      </w:r>
      <w:r>
        <w:t xml:space="preserve">– nettement moins qu’avec l’exénatide.</w:t>
      </w:r>
    </w:p>
    <w:p>
      <w:pPr>
        <w:pStyle w:val="BodyText"/>
      </w:pPr>
      <w:r>
        <w:t xml:space="preserve">Un inconvénient de la taille : la molécule atteint probablement moins bien les régions cérébrales qui régulent l’appétit. Cela pourrait expliquer pourquoi le dulaglutide, à baisse glycémique comparable, entraîne moins de perte de poids que le sémaglutide. Cette explication est plausible, mais non démontrée.</w:t>
      </w:r>
    </w:p>
    <w:bookmarkEnd w:id="347"/>
    <w:bookmarkStart w:id="379" w:name="études-chez-lhumain-2"/>
    <w:p>
      <w:pPr>
        <w:pStyle w:val="Heading3"/>
      </w:pPr>
      <w:r>
        <w:t xml:space="preserve">Études chez l’humain</w:t>
      </w:r>
    </w:p>
    <w:p>
      <w:pPr>
        <w:pStyle w:val="FirstParagraph"/>
      </w:pPr>
      <w:r>
        <w:t xml:space="preserve">La recherche PubMed analysée pour ce livre (terme « dulaglutide » dans le titre ou le résumé, date de recherche octobre 2026) a donné 158 études chez l’humain ; ClinicalTrials.gov recense 143 inscriptions. Le nombre est inférieur à celui du liraglutide ou du sémaglutide, mais les études sont conçues de façon particulièrement systématique : le programme AWARD (Assessment of Weekly AdministRation of LY2189265 in Diabetes) a évalué le dulaglutide face à presque tous les traitements courants du diabète. On remarque en outre la fréquence à laquelle le dulaglutide sert lui-même de médicament de comparaison pour des substances plus récentes – du sémaglutide au tirzépatide, jusqu’aux nouveaux développements chinois.</w:t>
      </w:r>
    </w:p>
    <w:bookmarkStart w:id="352" w:name="le-programme-award"/>
    <w:p>
      <w:pPr>
        <w:pStyle w:val="Heading4"/>
      </w:pPr>
      <w:r>
        <w:t xml:space="preserve">Le programme AWARD</w:t>
      </w:r>
    </w:p>
    <w:p>
      <w:pPr>
        <w:pStyle w:val="FirstParagraph"/>
      </w:pPr>
      <w:r>
        <w:t xml:space="preserve">Dans la plupart des études AWARD, les doses de 0,75 et 1,5 mg par semaine ont été évaluées. Le tableau indique chaque fois le résultat de la dose la plus élevée.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 (dulaglutide 1,5 mg vs comparateur)</w:t>
            </w:r>
          </w:p>
        </w:tc>
      </w:tr>
      <w:tr>
        <w:tc>
          <w:tcPr/>
          <w:p>
            <w:pPr>
              <w:pStyle w:val="Compact"/>
              <w:jc w:val="left"/>
            </w:pPr>
            <w:r>
              <w:t xml:space="preserve">AWARD-1 (Wysham 2014), PMID 24879836</w:t>
            </w:r>
          </w:p>
        </w:tc>
        <w:tc>
          <w:tcPr/>
          <w:p>
            <w:pPr>
              <w:pStyle w:val="Compact"/>
              <w:jc w:val="left"/>
            </w:pPr>
            <w:r>
              <w:t xml:space="preserve">diabète de type 2 sous metformine et pioglitazone ; vs exénatide deux fois par jour et placebo</w:t>
            </w:r>
          </w:p>
        </w:tc>
        <w:tc>
          <w:tcPr/>
          <w:p>
            <w:pPr>
              <w:pStyle w:val="Compact"/>
              <w:jc w:val="left"/>
            </w:pPr>
            <w:r>
              <w:t xml:space="preserve">52 semaines (critère principal à 26)</w:t>
            </w:r>
          </w:p>
        </w:tc>
        <w:tc>
          <w:tcPr/>
          <w:p>
            <w:pPr>
              <w:pStyle w:val="Compact"/>
              <w:jc w:val="left"/>
            </w:pPr>
            <w:r>
              <w:t xml:space="preserve">HbA1c −1,51 vs −0,99 (exénatide) vs −0,46 (placebo)</w:t>
            </w:r>
          </w:p>
        </w:tc>
      </w:tr>
      <w:tr>
        <w:tc>
          <w:tcPr/>
          <w:p>
            <w:pPr>
              <w:pStyle w:val="Compact"/>
              <w:jc w:val="left"/>
            </w:pPr>
            <w:r>
              <w:t xml:space="preserve">AWARD-2 (Giorgino 2015), PMID 26089386</w:t>
            </w:r>
          </w:p>
        </w:tc>
        <w:tc>
          <w:tcPr/>
          <w:p>
            <w:pPr>
              <w:pStyle w:val="Compact"/>
              <w:jc w:val="left"/>
            </w:pPr>
            <w:r>
              <w:t xml:space="preserve">810 personnes sous metformine et glimépiride ; ouverte vs insuline glargine</w:t>
            </w:r>
          </w:p>
        </w:tc>
        <w:tc>
          <w:tcPr/>
          <w:p>
            <w:pPr>
              <w:pStyle w:val="Compact"/>
              <w:jc w:val="left"/>
            </w:pPr>
            <w:r>
              <w:t xml:space="preserve">78 semaines</w:t>
            </w:r>
          </w:p>
        </w:tc>
        <w:tc>
          <w:tcPr/>
          <w:p>
            <w:pPr>
              <w:pStyle w:val="Compact"/>
              <w:jc w:val="left"/>
            </w:pPr>
            <w:r>
              <w:t xml:space="preserve">HbA1c −1,08 vs −0,63 ; le poids a baissé vs augmenté</w:t>
            </w:r>
          </w:p>
        </w:tc>
      </w:tr>
      <w:tr>
        <w:tc>
          <w:tcPr/>
          <w:p>
            <w:pPr>
              <w:pStyle w:val="Compact"/>
              <w:jc w:val="left"/>
            </w:pPr>
            <w:r>
              <w:t xml:space="preserve">AWARD-3 (Umpierrez 2014), PMID 24842985</w:t>
            </w:r>
          </w:p>
        </w:tc>
        <w:tc>
          <w:tcPr/>
          <w:p>
            <w:pPr>
              <w:pStyle w:val="Compact"/>
              <w:jc w:val="left"/>
            </w:pPr>
            <w:r>
              <w:t xml:space="preserve">diabète de type 2 débutant, monothérapie ; double aveugle vs metformine</w:t>
            </w:r>
          </w:p>
        </w:tc>
        <w:tc>
          <w:tcPr/>
          <w:p>
            <w:pPr>
              <w:pStyle w:val="Compact"/>
              <w:jc w:val="left"/>
            </w:pPr>
            <w:r>
              <w:t xml:space="preserve">52 semaines (critère principal à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personnes sous insuline prandiale ; ouverte vs insuline glargine</w:t>
            </w:r>
          </w:p>
        </w:tc>
        <w:tc>
          <w:tcPr/>
          <w:p>
            <w:pPr>
              <w:pStyle w:val="Compact"/>
              <w:jc w:val="left"/>
            </w:pPr>
            <w:r>
              <w:t xml:space="preserve">52 semaines (critère principal à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1 098 personnes sous metformine ; vs sitagliptine</w:t>
            </w:r>
          </w:p>
        </w:tc>
        <w:tc>
          <w:tcPr/>
          <w:p>
            <w:pPr>
              <w:pStyle w:val="Compact"/>
              <w:jc w:val="left"/>
            </w:pPr>
            <w:r>
              <w:t xml:space="preserve">52 semaines</w:t>
            </w:r>
          </w:p>
        </w:tc>
        <w:tc>
          <w:tcPr/>
          <w:p>
            <w:pPr>
              <w:pStyle w:val="Compact"/>
              <w:jc w:val="left"/>
            </w:pPr>
            <w:r>
              <w:t xml:space="preserve">HbA1c −1,10 vs −0,39 ; poids −3,03 vs −1,53 kg</w:t>
            </w:r>
          </w:p>
        </w:tc>
      </w:tr>
      <w:tr>
        <w:tc>
          <w:tcPr/>
          <w:p>
            <w:pPr>
              <w:pStyle w:val="Compact"/>
              <w:jc w:val="left"/>
            </w:pPr>
            <w:r>
              <w:t xml:space="preserve">AWARD-6 (Dungan 2014), PMID 25018121</w:t>
            </w:r>
          </w:p>
        </w:tc>
        <w:tc>
          <w:tcPr/>
          <w:p>
            <w:pPr>
              <w:pStyle w:val="Compact"/>
              <w:jc w:val="left"/>
            </w:pPr>
            <w:r>
              <w:t xml:space="preserve">599 personnes sous metformine ; ouverte vs liraglutide</w:t>
            </w:r>
          </w:p>
        </w:tc>
        <w:tc>
          <w:tcPr/>
          <w:p>
            <w:pPr>
              <w:pStyle w:val="Compact"/>
              <w:jc w:val="left"/>
            </w:pPr>
            <w:r>
              <w:t xml:space="preserve">26 semaines</w:t>
            </w:r>
          </w:p>
        </w:tc>
        <w:tc>
          <w:tcPr/>
          <w:p>
            <w:pPr>
              <w:pStyle w:val="Compact"/>
              <w:jc w:val="left"/>
            </w:pPr>
            <w:r>
              <w:t xml:space="preserve">HbA1c −1,42 vs −1,36 ; équivalents</w:t>
            </w:r>
          </w:p>
        </w:tc>
      </w:tr>
      <w:tr>
        <w:tc>
          <w:tcPr/>
          <w:p>
            <w:pPr>
              <w:pStyle w:val="Compact"/>
              <w:jc w:val="left"/>
            </w:pPr>
            <w:r>
              <w:t xml:space="preserve">AWARD-7 (Tuttle 2018), PMID 29910024</w:t>
            </w:r>
          </w:p>
        </w:tc>
        <w:tc>
          <w:tcPr/>
          <w:p>
            <w:pPr>
              <w:pStyle w:val="Compact"/>
              <w:jc w:val="left"/>
            </w:pPr>
            <w:r>
              <w:t xml:space="preserve">577 personnes atteintes d’une maladie rénale chronique modérée à sévère ; vs insuline glargine</w:t>
            </w:r>
          </w:p>
        </w:tc>
        <w:tc>
          <w:tcPr/>
          <w:p>
            <w:pPr>
              <w:pStyle w:val="Compact"/>
              <w:jc w:val="left"/>
            </w:pPr>
            <w:r>
              <w:t xml:space="preserve">52 semaines</w:t>
            </w:r>
          </w:p>
        </w:tc>
        <w:tc>
          <w:tcPr/>
          <w:p>
            <w:pPr>
              <w:pStyle w:val="Compact"/>
              <w:jc w:val="left"/>
            </w:pPr>
            <w:r>
              <w:t xml:space="preserve">HbA1c −1,2 vs −1,1 ; fonction rénale mieux préservée après 52 semaines</w:t>
            </w:r>
          </w:p>
        </w:tc>
      </w:tr>
      <w:tr>
        <w:tc>
          <w:tcPr/>
          <w:p>
            <w:pPr>
              <w:pStyle w:val="Compact"/>
              <w:jc w:val="left"/>
            </w:pPr>
            <w:r>
              <w:t xml:space="preserve">AWARD-8 (Dungan 2016), PMID 26799540</w:t>
            </w:r>
          </w:p>
        </w:tc>
        <w:tc>
          <w:tcPr/>
          <w:p>
            <w:pPr>
              <w:pStyle w:val="Compact"/>
              <w:jc w:val="left"/>
            </w:pPr>
            <w:r>
              <w:t xml:space="preserve">diabète de type 2 sous glimépiride ; vs placebo</w:t>
            </w:r>
          </w:p>
        </w:tc>
        <w:tc>
          <w:tcPr/>
          <w:p>
            <w:pPr>
              <w:pStyle w:val="Compact"/>
              <w:jc w:val="left"/>
            </w:pPr>
            <w:r>
              <w:t xml:space="preserve">24 semaines</w:t>
            </w:r>
          </w:p>
        </w:tc>
        <w:tc>
          <w:tcPr/>
          <w:p>
            <w:pPr>
              <w:pStyle w:val="Compact"/>
              <w:jc w:val="left"/>
            </w:pPr>
            <w:r>
              <w:t xml:space="preserve">Différence d’HbA1c −1,3 point de pourcentage ; plus d’hypoglycémies</w:t>
            </w:r>
          </w:p>
        </w:tc>
      </w:tr>
      <w:tr>
        <w:tc>
          <w:tcPr/>
          <w:p>
            <w:pPr>
              <w:pStyle w:val="Compact"/>
              <w:jc w:val="left"/>
            </w:pPr>
            <w:r>
              <w:t xml:space="preserve">AWARD-10 (Ludvik 2018), PMID 29483060</w:t>
            </w:r>
          </w:p>
        </w:tc>
        <w:tc>
          <w:tcPr/>
          <w:p>
            <w:pPr>
              <w:pStyle w:val="Compact"/>
              <w:jc w:val="left"/>
            </w:pPr>
            <w:r>
              <w:t xml:space="preserve">424 personnes sous inhibiteur du SGLT2 ; vs placebo</w:t>
            </w:r>
          </w:p>
        </w:tc>
        <w:tc>
          <w:tcPr/>
          <w:p>
            <w:pPr>
              <w:pStyle w:val="Compact"/>
              <w:jc w:val="left"/>
            </w:pPr>
            <w:r>
              <w:t xml:space="preserve">24 semaines</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1 842 personnes sous metformine ; 4,5 et 3,0 mg vs 1,5 mg</w:t>
            </w:r>
          </w:p>
        </w:tc>
        <w:tc>
          <w:tcPr/>
          <w:p>
            <w:pPr>
              <w:pStyle w:val="Compact"/>
              <w:jc w:val="left"/>
            </w:pPr>
            <w:r>
              <w:t xml:space="preserve">36 semaines</w:t>
            </w:r>
          </w:p>
        </w:tc>
        <w:tc>
          <w:tcPr/>
          <w:p>
            <w:pPr>
              <w:pStyle w:val="Compact"/>
              <w:jc w:val="left"/>
            </w:pPr>
            <w:r>
              <w:t xml:space="preserve">HbA1c −1,77 (4,5 mg) vs −1,54 ; poids −4,6 vs −3,0 kg</w:t>
            </w:r>
          </w:p>
        </w:tc>
      </w:tr>
    </w:tbl>
    <w:p>
      <w:pPr>
        <w:pStyle w:val="BodyText"/>
      </w:pPr>
      <w:r>
        <w:t xml:space="preserve">Certains résultats méritent une explication :</w:t>
      </w:r>
    </w:p>
    <w:p>
      <w:pPr>
        <w:pStyle w:val="BodyText"/>
      </w:pPr>
      <w:r>
        <w:rPr>
          <w:bCs/>
          <w:b/>
        </w:rPr>
        <w:t xml:space="preserve">Face à l’insuline</w:t>
      </w:r>
      <w:r>
        <w:t xml:space="preserve"> </w:t>
      </w:r>
      <w:r>
        <w:t xml:space="preserve">(AWARD-2 et AWARD-4), le dulaglutide a abaissé l’HbA1c un peu plus fortement, avec moins d’hypoglycémies et sans prise de poids</w:t>
      </w:r>
      <w:r>
        <w:rPr>
          <w:rStyle w:val="FootnoteReference"/>
        </w:rPr>
        <w:footnoteReference w:id="348"/>
      </w:r>
      <w:r>
        <w:t xml:space="preserve">. Dans AWARD-2, la dose d’insuline n’a toutefois pas été augmentée de manière conséquente ; la dose finale moyenne était de 29 unités. Une insuline titrée plus résolument aurait peut-être obtenu de meilleurs résultats. Des nausées sont survenues chez 15,4 % sous dulaglutide 1,5 mg, chez 1,5 % sous insuline.</w:t>
      </w:r>
    </w:p>
    <w:p>
      <w:pPr>
        <w:pStyle w:val="BodyText"/>
      </w:pPr>
      <w:r>
        <w:rPr>
          <w:bCs/>
          <w:b/>
        </w:rPr>
        <w:t xml:space="preserve">En cas de maladie rénale</w:t>
      </w:r>
      <w:r>
        <w:t xml:space="preserve"> </w:t>
      </w:r>
      <w:r>
        <w:t xml:space="preserve">(AWARD-7), le résultat est particulièrement intéressant : la glycémie a baissé autant que sous insuline, mais la fonction rénale estimée (DFGe) était plus élevée après 52 semaines sous dulaglutide – 34,0 contre 31,3 ml/min pour 1,73 m²</w:t>
      </w:r>
      <w:r>
        <w:rPr>
          <w:rStyle w:val="FootnoteReference"/>
        </w:rPr>
        <w:footnoteReference w:id="349"/>
      </w:r>
      <w:r>
        <w:t xml:space="preserve">. L’excrétion urinaire de protéines ne différait pas significativement. C’est un indice, mais pas une preuve d’une protection rénale.</w:t>
      </w:r>
    </w:p>
    <w:p>
      <w:pPr>
        <w:pStyle w:val="BodyText"/>
      </w:pPr>
      <w:r>
        <w:rPr>
          <w:bCs/>
          <w:b/>
        </w:rPr>
        <w:t xml:space="preserve">Avec un sulfamide</w:t>
      </w:r>
      <w:r>
        <w:t xml:space="preserve"> </w:t>
      </w:r>
      <w:r>
        <w:t xml:space="preserve">(AWARD-8), le revers apparaît : le dulaglutide a abaissé l’HbA1c de 1,3 point de pourcentage de plus que le placebo, et 55,3 % contre 18,9 % ont atteint une valeur inférieure à 7 %. Les hypoglycémies étaient cependant nettement plus fréquentes (2,37 contre 0,07 événement par personne et par an), parce que le sulfamide libère de l’insuline indépendamment de la glycémie</w:t>
      </w:r>
      <w:r>
        <w:rPr>
          <w:rStyle w:val="FootnoteReference"/>
        </w:rPr>
        <w:footnoteReference w:id="350"/>
      </w:r>
      <w:r>
        <w:t xml:space="preserve">. Aucune hypoglycémie sévère n’est survenue.</w:t>
      </w:r>
    </w:p>
    <w:p>
      <w:pPr>
        <w:pStyle w:val="BodyText"/>
      </w:pPr>
      <w:r>
        <w:rPr>
          <w:bCs/>
          <w:b/>
        </w:rPr>
        <w:t xml:space="preserve">Doses plus élevées</w:t>
      </w:r>
      <w:r>
        <w:t xml:space="preserve"> </w:t>
      </w:r>
      <w:r>
        <w:t xml:space="preserve">(AWARD-11) : pour rester au niveau du sémaglutide, Lilly a évalué 3,0 et 4,5 mg. La dose la plus élevée a abaissé l’HbA1c de 0,24 point de pourcentage supplémentaire et le poids de 1,6 kg supplémentaire par rapport à 1,5 mg</w:t>
      </w:r>
      <w:r>
        <w:rPr>
          <w:rStyle w:val="FootnoteReference"/>
        </w:rPr>
        <w:footnoteReference w:id="351"/>
      </w:r>
      <w:r>
        <w:t xml:space="preserve">. Les nausées ont légèrement augmenté (16,4 % vs 13,4 %), de même que les vomissements (9,3 % vs 5,6 %). Le gain est mesurable, mais limité.</w:t>
      </w:r>
    </w:p>
    <w:bookmarkEnd w:id="352"/>
    <w:bookmarkStart w:id="356" w:name="X6138d0a54a6983baecd967cfa51544a24ed9ffa"/>
    <w:p>
      <w:pPr>
        <w:pStyle w:val="Heading4"/>
      </w:pPr>
      <w:r>
        <w:t xml:space="preserve">Comparaisons directes au sein de la classe GLP-1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 (dulaglutide vs comparateur)</w:t>
            </w:r>
          </w:p>
        </w:tc>
      </w:tr>
      <w:tr>
        <w:tc>
          <w:tcPr/>
          <w:p>
            <w:pPr>
              <w:pStyle w:val="Compact"/>
              <w:jc w:val="left"/>
            </w:pPr>
            <w:r>
              <w:t xml:space="preserve">AWARD-1 (Wysham 2014), PMID 24879836</w:t>
            </w:r>
          </w:p>
        </w:tc>
        <w:tc>
          <w:tcPr/>
          <w:p>
            <w:pPr>
              <w:pStyle w:val="Compact"/>
              <w:jc w:val="left"/>
            </w:pPr>
            <w:r>
              <w:t xml:space="preserve">vs exénatide deux fois par jour</w:t>
            </w:r>
          </w:p>
        </w:tc>
        <w:tc>
          <w:tcPr/>
          <w:p>
            <w:pPr>
              <w:pStyle w:val="Compact"/>
              <w:jc w:val="left"/>
            </w:pPr>
            <w:r>
              <w:t xml:space="preserve">26 semaines</w:t>
            </w:r>
          </w:p>
        </w:tc>
        <w:tc>
          <w:tcPr/>
          <w:p>
            <w:pPr>
              <w:pStyle w:val="Compact"/>
              <w:jc w:val="left"/>
            </w:pPr>
            <w:r>
              <w:t xml:space="preserve">HbA1c −1,51 vs −0,99 ; moins d’hypoglycémies</w:t>
            </w:r>
          </w:p>
        </w:tc>
      </w:tr>
      <w:tr>
        <w:tc>
          <w:tcPr/>
          <w:p>
            <w:pPr>
              <w:pStyle w:val="Compact"/>
              <w:jc w:val="left"/>
            </w:pPr>
            <w:r>
              <w:t xml:space="preserve">AWARD-6 (Dungan 2014), PMID 25018121</w:t>
            </w:r>
          </w:p>
        </w:tc>
        <w:tc>
          <w:tcPr/>
          <w:p>
            <w:pPr>
              <w:pStyle w:val="Compact"/>
              <w:jc w:val="left"/>
            </w:pPr>
            <w:r>
              <w:t xml:space="preserve">599 personnes, vs liraglutide 1,8 mg par jour</w:t>
            </w:r>
          </w:p>
        </w:tc>
        <w:tc>
          <w:tcPr/>
          <w:p>
            <w:pPr>
              <w:pStyle w:val="Compact"/>
              <w:jc w:val="left"/>
            </w:pPr>
            <w:r>
              <w:t xml:space="preserve">26 semaines</w:t>
            </w:r>
          </w:p>
        </w:tc>
        <w:tc>
          <w:tcPr/>
          <w:p>
            <w:pPr>
              <w:pStyle w:val="Compact"/>
              <w:jc w:val="left"/>
            </w:pPr>
            <w:r>
              <w:t xml:space="preserve">HbA1c −1,42 vs −1,36 ; nausées 20 % vs 18 %</w:t>
            </w:r>
          </w:p>
        </w:tc>
      </w:tr>
      <w:tr>
        <w:tc>
          <w:tcPr/>
          <w:p>
            <w:pPr>
              <w:pStyle w:val="Compact"/>
              <w:jc w:val="left"/>
            </w:pPr>
            <w:r>
              <w:t xml:space="preserve">SUSTAIN 7 (Pratley 2018), PMID 29397376</w:t>
            </w:r>
          </w:p>
        </w:tc>
        <w:tc>
          <w:tcPr/>
          <w:p>
            <w:pPr>
              <w:pStyle w:val="Compact"/>
              <w:jc w:val="left"/>
            </w:pPr>
            <w:r>
              <w:t xml:space="preserve">1 201 personnes, dulaglutide 0,75/1,5 mg vs sémaglutide 0,5/1,0 mg</w:t>
            </w:r>
          </w:p>
        </w:tc>
        <w:tc>
          <w:tcPr/>
          <w:p>
            <w:pPr>
              <w:pStyle w:val="Compact"/>
              <w:jc w:val="left"/>
            </w:pPr>
            <w:r>
              <w:t xml:space="preserve">40 semaines</w:t>
            </w:r>
          </w:p>
        </w:tc>
        <w:tc>
          <w:tcPr/>
          <w:p>
            <w:pPr>
              <w:pStyle w:val="Compact"/>
              <w:jc w:val="left"/>
            </w:pPr>
            <w:r>
              <w:t xml:space="preserve">HbA1c −1,4 vs −1,8 (doses élevées) ; poids −3,0 vs −6,5 kg</w:t>
            </w:r>
          </w:p>
        </w:tc>
      </w:tr>
    </w:tbl>
    <w:p>
      <w:pPr>
        <w:pStyle w:val="BodyText"/>
      </w:pPr>
      <w:r>
        <w:t xml:space="preserve">Le classement est sans ambiguïté. Le dulaglutide était clairement supérieur à l’exénatide deux fois par jour</w:t>
      </w:r>
      <w:r>
        <w:rPr>
          <w:rStyle w:val="FootnoteReference"/>
        </w:rPr>
        <w:footnoteReference w:id="353"/>
      </w:r>
      <w:r>
        <w:t xml:space="preserve"> </w:t>
      </w:r>
      <w:r>
        <w:t xml:space="preserve">et équivalent au liraglutide</w:t>
      </w:r>
      <w:r>
        <w:rPr>
          <w:rStyle w:val="FootnoteReference"/>
        </w:rPr>
        <w:footnoteReference w:id="354"/>
      </w:r>
      <w:r>
        <w:t xml:space="preserve">. Dans AWARD-6, il a ainsi été le premier agoniste hebdomadaire du récepteur du GLP-1 à tenir la comparaison directe avec le standard de l’époque, le liraglutide – avec nettement moins d’injections.</w:t>
      </w:r>
    </w:p>
    <w:p>
      <w:pPr>
        <w:pStyle w:val="BodyText"/>
      </w:pPr>
      <w:r>
        <w:t xml:space="preserve">Face au sémaglutide, le dulaglutide a perdu dans SUSTAIN 7</w:t>
      </w:r>
      <w:r>
        <w:rPr>
          <w:rStyle w:val="FootnoteReference"/>
        </w:rPr>
        <w:footnoteReference w:id="355"/>
      </w:r>
      <w:r>
        <w:t xml:space="preserve"> </w:t>
      </w:r>
      <w:r>
        <w:t xml:space="preserve">aux deux niveaux de dose. Aux doses élevées, l’HbA1c a baissé de 1,4 contre 1,8 point de pourcentage, le poids de 3,0 contre 6,5 kg. Les troubles gastro-intestinaux étaient d’une fréquence similaire (48 % sous dulaglutide 1,5 mg, 44 % sous sémaglutide 1,0 mg). On a ensuite fait remarquer de manière critique que le dulaglutide n’avait été dosé qu’à 1,5 mg au maximum dans SUSTAIN 7 ; les doses plus élevées d’AWARD-11 n’étaient pas encore disponibles à l’époque. Même avec 4,5 mg, la différence de poids devrait toutefois subsister.</w:t>
      </w:r>
    </w:p>
    <w:bookmarkEnd w:id="356"/>
    <w:bookmarkStart w:id="361" w:name="rewind-létude-cardiovasculaire"/>
    <w:p>
      <w:pPr>
        <w:pStyle w:val="Heading4"/>
      </w:pPr>
      <w:r>
        <w:t xml:space="preserve">REWIND : l’étude cardiovasculaire</w:t>
      </w:r>
    </w:p>
    <w:p>
      <w:pPr>
        <w:pStyle w:val="FirstParagraph"/>
      </w:pPr>
      <w:r>
        <w:t xml:space="preserve">REWIND se distinguait des autres études GLP-1 sur critères cliniques : elle a duré plus longtemps, a inclus des personnes âgées dont la glycémie était relativement bien équilibrée (HbA1c médiane 7,2 %) et a aussi recruté de nombreuses personnes sans maladie cardiovasculaire connue, qui présentaient seulement des facteurs de risque. La population de l’étude ressemble ainsi davantage à celle des cabinets de médecine générale que dans d’autres études sur critères cliniques.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REWIND (Gerstein 2019), PMID 31189511</w:t>
            </w:r>
          </w:p>
        </w:tc>
        <w:tc>
          <w:tcPr/>
          <w:p>
            <w:pPr>
              <w:pStyle w:val="Compact"/>
              <w:jc w:val="left"/>
            </w:pPr>
            <w:r>
              <w:t xml:space="preserve">9 901 personnes atteintes de diabète de type 2, âge moyen 66,2 ans, 46,3 % de femmes ; ECR contre placebo</w:t>
            </w:r>
          </w:p>
        </w:tc>
        <w:tc>
          <w:tcPr/>
          <w:p>
            <w:pPr>
              <w:pStyle w:val="Compact"/>
              <w:jc w:val="left"/>
            </w:pPr>
            <w:r>
              <w:t xml:space="preserve">médiane 5,4 ans</w:t>
            </w:r>
          </w:p>
        </w:tc>
        <w:tc>
          <w:tcPr/>
          <w:p>
            <w:pPr>
              <w:pStyle w:val="Compact"/>
              <w:jc w:val="left"/>
            </w:pPr>
            <w:r>
              <w:t xml:space="preserve">Événements cardiovasculaires graves 12,0 % vs 13,4 % ; HR 0,88 (0,79–0,99)</w:t>
            </w:r>
          </w:p>
        </w:tc>
      </w:tr>
      <w:tr>
        <w:tc>
          <w:tcPr/>
          <w:p>
            <w:pPr>
              <w:pStyle w:val="Compact"/>
              <w:jc w:val="left"/>
            </w:pPr>
            <w:r>
              <w:t xml:space="preserve">REWIND, reins (Gerstein 2019), PMID 31189509</w:t>
            </w:r>
          </w:p>
        </w:tc>
        <w:tc>
          <w:tcPr/>
          <w:p>
            <w:pPr>
              <w:pStyle w:val="Compact"/>
              <w:jc w:val="left"/>
            </w:pPr>
            <w:r>
              <w:t xml:space="preserve">même étude, analyse exploratoire</w:t>
            </w:r>
          </w:p>
        </w:tc>
        <w:tc>
          <w:tcPr/>
          <w:p>
            <w:pPr>
              <w:pStyle w:val="Compact"/>
              <w:jc w:val="left"/>
            </w:pPr>
            <w:r>
              <w:t xml:space="preserve">médiane 5,4 ans</w:t>
            </w:r>
          </w:p>
        </w:tc>
        <w:tc>
          <w:tcPr/>
          <w:p>
            <w:pPr>
              <w:pStyle w:val="Compact"/>
              <w:jc w:val="left"/>
            </w:pPr>
            <w:r>
              <w:t xml:space="preserve">Critère rénal 17,1 % vs 19,6 % ; HR 0,85, surtout moins de nouvelles macroalbuminuries</w:t>
            </w:r>
          </w:p>
        </w:tc>
      </w:tr>
      <w:tr>
        <w:tc>
          <w:tcPr/>
          <w:p>
            <w:pPr>
              <w:pStyle w:val="Compact"/>
              <w:jc w:val="left"/>
            </w:pPr>
            <w:r>
              <w:t xml:space="preserve">REWIND, cognition (Cukierman-Yaffe 2020), PMID 32562683</w:t>
            </w:r>
          </w:p>
        </w:tc>
        <w:tc>
          <w:tcPr/>
          <w:p>
            <w:pPr>
              <w:pStyle w:val="Compact"/>
              <w:jc w:val="left"/>
            </w:pPr>
            <w:r>
              <w:t xml:space="preserve">8 828 personnes avec tests de mémoire</w:t>
            </w:r>
          </w:p>
        </w:tc>
        <w:tc>
          <w:tcPr/>
          <w:p>
            <w:pPr>
              <w:pStyle w:val="Compact"/>
              <w:jc w:val="left"/>
            </w:pPr>
            <w:r>
              <w:t xml:space="preserve">médiane 5,4 ans</w:t>
            </w:r>
          </w:p>
        </w:tc>
        <w:tc>
          <w:tcPr/>
          <w:p>
            <w:pPr>
              <w:pStyle w:val="Compact"/>
              <w:jc w:val="left"/>
            </w:pPr>
            <w:r>
              <w:t xml:space="preserve">HR 0,93 (non significatif) ; après ajustement a posteriori HR 0,86</w:t>
            </w:r>
          </w:p>
        </w:tc>
      </w:tr>
    </w:tbl>
    <w:p>
      <w:pPr>
        <w:pStyle w:val="BodyText"/>
      </w:pPr>
      <w:r>
        <w:t xml:space="preserve">Le critère principal – décès de cause cardiovasculaire, infarctus du myocarde non mortel ou AVC – est survenu sous dulaglutide chez 594 personnes sur 4 949 (12,0 %), sous placebo chez 663 sur 4 952 (13,4 %)</w:t>
      </w:r>
      <w:r>
        <w:rPr>
          <w:rStyle w:val="FootnoteReference"/>
        </w:rPr>
        <w:footnoteReference w:id="357"/>
      </w:r>
      <w:r>
        <w:t xml:space="preserve">. Cela correspond à une réduction relative de 12 %. La mortalité totale ne différait pas significativement (10,8 % vs 12,0 % ; HR 0,90). Des effets indésirables gastro-intestinaux ont été signalés par 47,4 % contre 34,1 %.</w:t>
      </w:r>
    </w:p>
    <w:p>
      <w:pPr>
        <w:pStyle w:val="BodyText"/>
      </w:pPr>
      <w:r>
        <w:t xml:space="preserve">Dans l’analyse rénale</w:t>
      </w:r>
      <w:r>
        <w:rPr>
          <w:rStyle w:val="FootnoteReference"/>
        </w:rPr>
        <w:footnoteReference w:id="358"/>
      </w:r>
      <w:r>
        <w:t xml:space="preserve">, l’effet était surtout dû à une diminution des nouvelles macroalbuminuries (HR 0,77). Pour une baisse persistante de la fonction rénale d’au moins 30 %, l’estimation était de 0,89, pour la dialyse ou la transplantation rénale de 0,75 – les deux sans signification statistique.</w:t>
      </w:r>
    </w:p>
    <w:p>
      <w:pPr>
        <w:pStyle w:val="BodyText"/>
      </w:pPr>
      <w:r>
        <w:t xml:space="preserve">L’analyse de la performance cognitive</w:t>
      </w:r>
      <w:r>
        <w:rPr>
          <w:rStyle w:val="FootnoteReference"/>
        </w:rPr>
        <w:footnoteReference w:id="359"/>
      </w:r>
      <w:r>
        <w:t xml:space="preserve"> </w:t>
      </w:r>
      <w:r>
        <w:t xml:space="preserve">est parfois citée comme preuve d’une protection contre la démence. C’est aller trop loin : la comparaison fixée à l’avance n’était pas significative. Ce n’est qu’après un ajustement statistique a posteriori qu’est apparu un risque relatif inférieur de 14 % d’une détérioration marquée des performances cognitives (hazard ratio 0,86). Les autrices et auteurs parlent eux-mêmes d’une analyse exploratoire justifiant d’autres études.</w:t>
      </w:r>
    </w:p>
    <w:p>
      <w:pPr>
        <w:pStyle w:val="BodyText"/>
      </w:pPr>
      <w:r>
        <w:t xml:space="preserve">Dans une méta-analyse de toutes les grandes études GLP-1 sur critères cliniques, REWIND s’intégrait bien au tableau d’ensemble selon lequel la classe réduit d’environ 12 % les événements cardiovasculaires graves</w:t>
      </w:r>
      <w:r>
        <w:rPr>
          <w:rStyle w:val="FootnoteReference"/>
        </w:rPr>
        <w:footnoteReference w:id="360"/>
      </w:r>
      <w:r>
        <w:t xml:space="preserve">.</w:t>
      </w:r>
    </w:p>
    <w:bookmarkEnd w:id="361"/>
    <w:bookmarkStart w:id="366" w:name="X3895b7909a073b7b5a2e544dff64b47add4cc60"/>
    <w:p>
      <w:pPr>
        <w:pStyle w:val="Heading4"/>
      </w:pPr>
      <w:r>
        <w:t xml:space="preserve">Qu’est-ce qui explique le bénéfice – et qu’est-ce qui ne l’explique pas ?</w:t>
      </w:r>
    </w:p>
    <w:p>
      <w:pPr>
        <w:pStyle w:val="FirstParagraph"/>
      </w:pPr>
      <w:r>
        <w:t xml:space="preserve">Plusieurs analyses a posteriori de REWIND ont tenté de mieux comprendre l’effet cardiovasculaire. Dans une sous-analyse portant sur 9 543 personnes sans fibrillation auriculaire au début de l’étude, 31 % avaient déjà une maladie cardiovasculaire, les autres « seulement » des facteurs de risque</w:t>
      </w:r>
      <w:r>
        <w:rPr>
          <w:rStyle w:val="FootnoteReference"/>
        </w:rPr>
        <w:footnoteReference w:id="362"/>
      </w:r>
      <w:r>
        <w:t xml:space="preserve">. Cela souligne que REWIND a étudié bien plus que d’autres études sur critères cliniques des personnes en situation de prévention.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Analyse</w:t>
            </w:r>
          </w:p>
        </w:tc>
        <w:tc>
          <w:tcPr/>
          <w:p>
            <w:pPr>
              <w:pStyle w:val="Compact"/>
              <w:jc w:val="left"/>
            </w:pPr>
            <w:r>
              <w:t xml:space="preserve">Question</w:t>
            </w:r>
          </w:p>
        </w:tc>
        <w:tc>
          <w:tcPr/>
          <w:p>
            <w:pPr>
              <w:pStyle w:val="Compact"/>
              <w:jc w:val="left"/>
            </w:pPr>
            <w:r>
              <w:t xml:space="preserve">Résultat</w:t>
            </w:r>
          </w:p>
        </w:tc>
      </w:tr>
      <w:tr>
        <w:tc>
          <w:tcPr/>
          <w:p>
            <w:pPr>
              <w:pStyle w:val="Compact"/>
              <w:jc w:val="left"/>
            </w:pPr>
            <w:r>
              <w:t xml:space="preserve">Konig 2021, PMID 34563178</w:t>
            </w:r>
          </w:p>
        </w:tc>
        <w:tc>
          <w:tcPr/>
          <w:p>
            <w:pPr>
              <w:pStyle w:val="Compact"/>
              <w:jc w:val="left"/>
            </w:pPr>
            <w:r>
              <w:t xml:space="preserve">Quelles modifications expliquent le bénéfice ?</w:t>
            </w:r>
          </w:p>
        </w:tc>
        <w:tc>
          <w:tcPr/>
          <w:p>
            <w:pPr>
              <w:pStyle w:val="Compact"/>
              <w:jc w:val="left"/>
            </w:pPr>
            <w:r>
              <w:t xml:space="preserve">En partie la baisse de l’HbA1c et de l’excrétion urinaire de protéines, pas le poids, la pression artérielle ou le LDL-cholestérol</w:t>
            </w:r>
          </w:p>
        </w:tc>
      </w:tr>
      <w:tr>
        <w:tc>
          <w:tcPr/>
          <w:p>
            <w:pPr>
              <w:pStyle w:val="Compact"/>
              <w:jc w:val="left"/>
            </w:pPr>
            <w:r>
              <w:t xml:space="preserve">Branch 2022, PMID 36073143</w:t>
            </w:r>
          </w:p>
        </w:tc>
        <w:tc>
          <w:tcPr/>
          <w:p>
            <w:pPr>
              <w:pStyle w:val="Compact"/>
              <w:jc w:val="left"/>
            </w:pPr>
            <w:r>
              <w:t xml:space="preserve">Événements d’insuffisance cardiaque</w:t>
            </w:r>
          </w:p>
        </w:tc>
        <w:tc>
          <w:tcPr/>
          <w:p>
            <w:pPr>
              <w:pStyle w:val="Compact"/>
              <w:jc w:val="left"/>
            </w:pPr>
            <w:r>
              <w:t xml:space="preserve">4,3 % vs 4,6 % ; HR 0,93, pas de différence significative</w:t>
            </w:r>
          </w:p>
        </w:tc>
      </w:tr>
      <w:tr>
        <w:tc>
          <w:tcPr/>
          <w:p>
            <w:pPr>
              <w:pStyle w:val="Compact"/>
              <w:jc w:val="left"/>
            </w:pPr>
            <w:r>
              <w:t xml:space="preserve">Raubenheimer 2022, PMID 34984808</w:t>
            </w:r>
          </w:p>
        </w:tc>
        <w:tc>
          <w:tcPr/>
          <w:p>
            <w:pPr>
              <w:pStyle w:val="Compact"/>
              <w:jc w:val="left"/>
            </w:pPr>
            <w:r>
              <w:t xml:space="preserve">Nouvelle fibrillation ou nouveau flutter auriculaire</w:t>
            </w:r>
          </w:p>
        </w:tc>
        <w:tc>
          <w:tcPr/>
          <w:p>
            <w:pPr>
              <w:pStyle w:val="Compact"/>
              <w:jc w:val="left"/>
            </w:pPr>
            <w:r>
              <w:t xml:space="preserve">5,6 % vs 5,3 % ; pas de différence</w:t>
            </w:r>
          </w:p>
        </w:tc>
      </w:tr>
    </w:tbl>
    <w:p>
      <w:pPr>
        <w:pStyle w:val="BodyText"/>
      </w:pPr>
      <w:r>
        <w:t xml:space="preserve">Selon l’analyse de Konig 2021</w:t>
      </w:r>
      <w:r>
        <w:rPr>
          <w:rStyle w:val="FootnoteReference"/>
        </w:rPr>
        <w:footnoteReference w:id="363"/>
      </w:r>
      <w:r>
        <w:t xml:space="preserve">, une partie de l’effet pouvait s’expliquer statistiquement par un meilleur équilibre glycémique et une moindre excrétion urinaire de protéines ; une autre partie restait inexpliquée. La perte de poids n’a joué aucun rôle mesurable dans cette analyse. Cela concorde avec l’hypothèse répandue selon laquelle les agonistes du récepteur du GLP-1 auraient aussi des effets directs sur les vaisseaux et les processus inflammatoires – ce qui n’est cependant pas démontré chez l’humain.</w:t>
      </w:r>
    </w:p>
    <w:p>
      <w:pPr>
        <w:pStyle w:val="BodyText"/>
      </w:pPr>
      <w:r>
        <w:t xml:space="preserve">Le dulaglutide n’a montré aucune protection contre les événements d’insuffisance cardiaque</w:t>
      </w:r>
      <w:r>
        <w:rPr>
          <w:rStyle w:val="FootnoteReference"/>
        </w:rPr>
        <w:footnoteReference w:id="364"/>
      </w:r>
      <w:r>
        <w:t xml:space="preserve"> </w:t>
      </w:r>
      <w:r>
        <w:t xml:space="preserve">ni contre l’apparition d’une fibrillation auriculaire</w:t>
      </w:r>
      <w:r>
        <w:rPr>
          <w:rStyle w:val="FootnoteReference"/>
        </w:rPr>
        <w:footnoteReference w:id="365"/>
      </w:r>
      <w:r>
        <w:t xml:space="preserve">. Chez les 853 participants qui avaient déjà une insuffisance cardiaque au début de l’étude, le tableau n’était pas différent non plus. Pour l’insuffisance cardiaque à fraction d’éjection préservée associée à l’obésité, il existe désormais des données sur le sémaglutide et le tirzépatide ; elles font défaut pour le dulaglutide.</w:t>
      </w:r>
    </w:p>
    <w:bookmarkEnd w:id="366"/>
    <w:bookmarkStart w:id="369" w:name="X7634081390bb865e6cbfeba788330d1b6b978f2"/>
    <w:p>
      <w:pPr>
        <w:pStyle w:val="Heading4"/>
      </w:pPr>
      <w:r>
        <w:t xml:space="preserve">Le dulaglutide, standard de comparaison pour les nouvelles substances</w:t>
      </w:r>
    </w:p>
    <w:p>
      <w:pPr>
        <w:pStyle w:val="FirstParagraph"/>
      </w:pPr>
      <w:r>
        <w:t xml:space="preserve">Parce que le dulaglutide est largement utilisé dans le monde, bien toléré et doté d’un bénéfice cardiovasculaire démontré, les fabricants le choisissent souvent comme comparateur actif. Les résultats de ces études relèvent sur le fond des chapitres consacrés aux nouvelles substances concernées ; voici seulement une vue d’ensemble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SURPASS-CVOT (Nicholls 2025), PMID 41406444</w:t>
            </w:r>
          </w:p>
        </w:tc>
        <w:tc>
          <w:tcPr/>
          <w:p>
            <w:pPr>
              <w:pStyle w:val="Compact"/>
              <w:jc w:val="left"/>
            </w:pPr>
            <w:r>
              <w:t xml:space="preserve">13 165 personnes atteintes de diabète de type 2 et de maladie vasculaire ; tirzépatide vs dulaglutide</w:t>
            </w:r>
          </w:p>
        </w:tc>
        <w:tc>
          <w:tcPr/>
          <w:p>
            <w:pPr>
              <w:pStyle w:val="Compact"/>
              <w:jc w:val="left"/>
            </w:pPr>
            <w:r>
              <w:t xml:space="preserve">plusieurs années</w:t>
            </w:r>
          </w:p>
        </w:tc>
        <w:tc>
          <w:tcPr/>
          <w:p>
            <w:pPr>
              <w:pStyle w:val="Compact"/>
              <w:jc w:val="left"/>
            </w:pPr>
            <w:r>
              <w:t xml:space="preserve">Événements cardiovasculaires graves 12,2 % vs 13,1 % ; HR 0,92, non inférieur, supériorité non démontrée</w:t>
            </w:r>
          </w:p>
        </w:tc>
      </w:tr>
      <w:tr>
        <w:tc>
          <w:tcPr/>
          <w:p>
            <w:pPr>
              <w:pStyle w:val="Compact"/>
              <w:jc w:val="left"/>
            </w:pPr>
            <w:r>
              <w:t xml:space="preserve">SURPASS J-mono (Inagaki 2022), PMID 35914543</w:t>
            </w:r>
          </w:p>
        </w:tc>
        <w:tc>
          <w:tcPr/>
          <w:p>
            <w:pPr>
              <w:pStyle w:val="Compact"/>
              <w:jc w:val="left"/>
            </w:pPr>
            <w:r>
              <w:t xml:space="preserve">636 personnes au Japon ; tirzépatide vs dulaglutide 0,75 mg</w:t>
            </w:r>
          </w:p>
        </w:tc>
        <w:tc>
          <w:tcPr/>
          <w:p>
            <w:pPr>
              <w:pStyle w:val="Compact"/>
              <w:jc w:val="left"/>
            </w:pPr>
            <w:r>
              <w:t xml:space="preserve">52 semaines</w:t>
            </w:r>
          </w:p>
        </w:tc>
        <w:tc>
          <w:tcPr/>
          <w:p>
            <w:pPr>
              <w:pStyle w:val="Compact"/>
              <w:jc w:val="left"/>
            </w:pPr>
            <w:r>
              <w:t xml:space="preserve">HbA1c −2,4 à −2,8 vs −1,3</w:t>
            </w:r>
          </w:p>
        </w:tc>
      </w:tr>
      <w:tr>
        <w:tc>
          <w:tcPr/>
          <w:p>
            <w:pPr>
              <w:pStyle w:val="Compact"/>
              <w:jc w:val="left"/>
            </w:pPr>
            <w:r>
              <w:t xml:space="preserve">Guo 2026, PMID 41407860</w:t>
            </w:r>
          </w:p>
        </w:tc>
        <w:tc>
          <w:tcPr/>
          <w:p>
            <w:pPr>
              <w:pStyle w:val="Compact"/>
              <w:jc w:val="left"/>
            </w:pPr>
            <w:r>
              <w:t xml:space="preserve">731 personnes en Chine ; mazdutide vs dulaglutide 1,5 mg</w:t>
            </w:r>
          </w:p>
        </w:tc>
        <w:tc>
          <w:tcPr/>
          <w:p>
            <w:pPr>
              <w:pStyle w:val="Compact"/>
              <w:jc w:val="left"/>
            </w:pPr>
            <w:r>
              <w:t xml:space="preserve">28 semaines</w:t>
            </w:r>
          </w:p>
        </w:tc>
        <w:tc>
          <w:tcPr/>
          <w:p>
            <w:pPr>
              <w:pStyle w:val="Compact"/>
              <w:jc w:val="left"/>
            </w:pPr>
            <w:r>
              <w:t xml:space="preserve">Différence d’HbA1c de −0,24 ou −0,30 point de pourcentage en faveur du mazdutide</w:t>
            </w:r>
          </w:p>
        </w:tc>
      </w:tr>
      <w:tr>
        <w:tc>
          <w:tcPr/>
          <w:p>
            <w:pPr>
              <w:pStyle w:val="Compact"/>
              <w:jc w:val="left"/>
            </w:pPr>
            <w:r>
              <w:t xml:space="preserve">EECOH-2 (He 2025), PMID 40854315</w:t>
            </w:r>
          </w:p>
        </w:tc>
        <w:tc>
          <w:tcPr/>
          <w:p>
            <w:pPr>
              <w:pStyle w:val="Compact"/>
              <w:jc w:val="left"/>
            </w:pPr>
            <w:r>
              <w:t xml:space="preserve">621 personnes en Chine ; ecnoglutide vs dulaglutide 1,5 mg</w:t>
            </w:r>
          </w:p>
        </w:tc>
        <w:tc>
          <w:tcPr/>
          <w:p>
            <w:pPr>
              <w:pStyle w:val="Compact"/>
              <w:jc w:val="left"/>
            </w:pPr>
            <w:r>
              <w:t xml:space="preserve">52 semaines (critère principal à 32)</w:t>
            </w:r>
          </w:p>
        </w:tc>
        <w:tc>
          <w:tcPr/>
          <w:p>
            <w:pPr>
              <w:pStyle w:val="Compact"/>
              <w:jc w:val="left"/>
            </w:pPr>
            <w:r>
              <w:t xml:space="preserve">HbA1c −1,89 à −1,91 vs −1,65</w:t>
            </w:r>
          </w:p>
        </w:tc>
      </w:tr>
    </w:tbl>
    <w:p>
      <w:pPr>
        <w:pStyle w:val="BodyText"/>
      </w:pPr>
      <w:r>
        <w:t xml:space="preserve">SURPASS-CVOT</w:t>
      </w:r>
      <w:r>
        <w:rPr>
          <w:rStyle w:val="FootnoteReference"/>
        </w:rPr>
        <w:footnoteReference w:id="367"/>
      </w:r>
      <w:r>
        <w:t xml:space="preserve"> </w:t>
      </w:r>
      <w:r>
        <w:t xml:space="preserve">est particulièrement instructive : c’est la première grande étude sur critères cliniques dans laquelle deux médicaments incrétines ont été directement opposés. Le tirzépatide n’était pas inférieur, mais pas non plus supérieur de façon démontrée au dulaglutide. Comme le dulaglutide lui-même avait réduit le risque dans REWIND, un « match nul » contre le dulaglutide est un résultat fort pour les deux substances. Une analyse a posteriori avec un critère cardio-rénal plus large a trouvé un avantage pour le tirzépatide (23,7 % vs 27,4 % ; HR 0,84)</w:t>
      </w:r>
      <w:r>
        <w:rPr>
          <w:rStyle w:val="FootnoteReference"/>
        </w:rPr>
        <w:footnoteReference w:id="368"/>
      </w:r>
      <w:r>
        <w:t xml:space="preserve">. Les analyses a posteriori sont cependant moins solides que le critère principal fixé à l’avance.</w:t>
      </w:r>
    </w:p>
    <w:bookmarkEnd w:id="369"/>
    <w:bookmarkStart w:id="372" w:name="maniement-le-stylo-prérempli"/>
    <w:p>
      <w:pPr>
        <w:pStyle w:val="Heading4"/>
      </w:pPr>
      <w:r>
        <w:t xml:space="preserve">Maniement : le stylo prérempli</w:t>
      </w:r>
    </w:p>
    <w:p>
      <w:pPr>
        <w:pStyle w:val="FirstParagraph"/>
      </w:pPr>
      <w:r>
        <w:t xml:space="preserve">Un aspect pratique rarement pris en compte dans les études est l’utilisation. Le dulaglutide est fourni dans un stylo prérempli à usage unique, sur lequel il n’est nécessaire ni de fixer une aiguille ni de régler une dose. Dans une étude portant sur 211 personnes atteintes de diabète de type 2 qui ne s’étaient jamais injecté elles-mêmes un médicament, l’injection a réussi à la fin dans 99,1 % des cas ; la peur de l’injection a diminué</w:t>
      </w:r>
      <w:r>
        <w:rPr>
          <w:rStyle w:val="FootnoteReference"/>
        </w:rPr>
        <w:footnoteReference w:id="370"/>
      </w:r>
      <w:r>
        <w:t xml:space="preserve">. Dans une étude comparative financée par le fabricant portant sur 310 participants, 84,2 % ont préféré le stylo de dulaglutide à celui du sémaglutide de l’époque</w:t>
      </w:r>
      <w:r>
        <w:rPr>
          <w:rStyle w:val="FootnoteReference"/>
        </w:rPr>
        <w:footnoteReference w:id="371"/>
      </w:r>
      <w:r>
        <w:t xml:space="preserve">. Ces études de préférence ne disent rien de l’efficacité, mais peuvent expliquer pourquoi le dulaglutide est répandu précisément chez les personnes âgées.</w:t>
      </w:r>
    </w:p>
    <w:bookmarkEnd w:id="372"/>
    <w:bookmarkStart w:id="374" w:name="enfants-et-adolescents-1"/>
    <w:p>
      <w:pPr>
        <w:pStyle w:val="Heading4"/>
      </w:pPr>
      <w:r>
        <w:t xml:space="preserve">Enfants et adolescents</w:t>
      </w:r>
    </w:p>
    <w:p>
      <w:pPr>
        <w:pStyle w:val="FirstParagraph"/>
      </w:pPr>
      <w:r>
        <w:t xml:space="preserve">Dans AWARD-PEDS, portant sur 154 adolescents atteints de diabète de type 2, l’HbA1c a augmenté de 0,6 point de pourcentage sous placebo après 26 semaines et a baissé sous dulaglutide de 0,6 (0,75 mg) ou de 0,9 point de pourcentage (1,5 mg)</w:t>
      </w:r>
      <w:r>
        <w:rPr>
          <w:rStyle w:val="FootnoteReference"/>
        </w:rPr>
        <w:footnoteReference w:id="373"/>
      </w:r>
      <w:r>
        <w:t xml:space="preserve">. 51 % contre 14 % ont atteint une HbA1c inférieure à 7 %. Dans cette tranche d’âge, le dulaglutide n’a eu aucune influence sur l’indice de masse corporelle. Cette étude a été la base de l’autorisation à partir de 10 ans.</w:t>
      </w:r>
    </w:p>
    <w:bookmarkEnd w:id="374"/>
    <w:bookmarkStart w:id="378" w:name="autres-domaines-dutilisation-étudiés-2"/>
    <w:p>
      <w:pPr>
        <w:pStyle w:val="Heading4"/>
      </w:pPr>
      <w:r>
        <w:t xml:space="preserve">Autres domaines d’utilisation étudiés</w:t>
      </w:r>
    </w:p>
    <w:p>
      <w:pPr>
        <w:numPr>
          <w:ilvl w:val="0"/>
          <w:numId w:val="1049"/>
        </w:numPr>
        <w:pStyle w:val="Compact"/>
      </w:pPr>
      <w:r>
        <w:rPr>
          <w:bCs/>
          <w:b/>
        </w:rPr>
        <w:t xml:space="preserve">Sevrage tabagique :</w:t>
      </w:r>
      <w:r>
        <w:t xml:space="preserve"> </w:t>
      </w:r>
      <w:r>
        <w:t xml:space="preserve">dans une étude portant sur 255 personnes, le dulaglutide n’a pas amélioré le taux d’abstinence ; après 52 semaines, 32 % étaient non-fumeurs dans les deux groupes</w:t>
      </w:r>
      <w:r>
        <w:rPr>
          <w:rStyle w:val="FootnoteReference"/>
        </w:rPr>
        <w:footnoteReference w:id="375"/>
      </w:r>
      <w:r>
        <w:t xml:space="preserve">. La prise de poids habituelle après l’arrêt du tabac a été évitée pendant les 12 premières semaines ; après un an, la différence avait disparu.</w:t>
      </w:r>
    </w:p>
    <w:p>
      <w:pPr>
        <w:numPr>
          <w:ilvl w:val="0"/>
          <w:numId w:val="1049"/>
        </w:numPr>
        <w:pStyle w:val="Compact"/>
      </w:pPr>
      <w:r>
        <w:rPr>
          <w:bCs/>
          <w:b/>
        </w:rPr>
        <w:t xml:space="preserve">Alcool :</w:t>
      </w:r>
      <w:r>
        <w:t xml:space="preserve"> </w:t>
      </w:r>
      <w:r>
        <w:t xml:space="preserve">dans une analyse complémentaire prévue à l’avance de la même étude, les participants sous dulaglutide buvaient après 12 semaines 29 % d’alcool de moins que sous placebo</w:t>
      </w:r>
      <w:r>
        <w:rPr>
          <w:rStyle w:val="FootnoteReference"/>
        </w:rPr>
        <w:footnoteReference w:id="376"/>
      </w:r>
      <w:r>
        <w:t xml:space="preserve">. L’étude n’était pas conçue pour répondre à cette question.</w:t>
      </w:r>
    </w:p>
    <w:p>
      <w:pPr>
        <w:numPr>
          <w:ilvl w:val="0"/>
          <w:numId w:val="1049"/>
        </w:numPr>
        <w:pStyle w:val="Compact"/>
      </w:pPr>
      <w:r>
        <w:rPr>
          <w:bCs/>
          <w:b/>
        </w:rPr>
        <w:t xml:space="preserve">Polydipsie primaire</w:t>
      </w:r>
      <w:r>
        <w:t xml:space="preserve"> </w:t>
      </w:r>
      <w:r>
        <w:t xml:space="preserve">(consommation de boissons pathologiquement accrue) : dans une étude croisée portant sur 34 personnes, le dulaglutide a réduit la quantité bue pendant un test de huit heures de 490 ml, soit 17 %</w:t>
      </w:r>
      <w:r>
        <w:rPr>
          <w:rStyle w:val="FootnoteReference"/>
        </w:rPr>
        <w:footnoteReference w:id="377"/>
      </w:r>
      <w:r>
        <w:t xml:space="preserve">. Un indice que le GLP-1 influence aussi la sensation de soif.</w:t>
      </w:r>
    </w:p>
    <w:bookmarkEnd w:id="378"/>
    <w:bookmarkEnd w:id="379"/>
    <w:bookmarkStart w:id="382" w:name="études-animales-et-de-laboratoire-2"/>
    <w:p>
      <w:pPr>
        <w:pStyle w:val="Heading3"/>
      </w:pPr>
      <w:r>
        <w:t xml:space="preserve">Études animales et de laboratoire</w:t>
      </w:r>
    </w:p>
    <w:p>
      <w:pPr>
        <w:pStyle w:val="FirstParagraph"/>
      </w:pPr>
      <w:r>
        <w:t xml:space="preserve">La caractérisation préclinique du dulaglutide (à l’époque LY2189265) a été réalisée sur des cellules, des rats, des souris et des macaques crabiers</w:t>
      </w:r>
      <w:r>
        <w:rPr>
          <w:rStyle w:val="FootnoteReference"/>
        </w:rPr>
        <w:footnoteReference w:id="380"/>
      </w:r>
      <w:r>
        <w:t xml:space="preserve">. En laboratoire, la protéine de fusion a conservé toute son activité sur le récepteur du GLP-1. Chez des souris diabétiques, une seule administration a amélioré la tolérance au glucose ; des administrations deux fois par semaine pendant quatre semaines ont réduit le poids et retardé l’élévation de la glycémie. Chez le singe, l’effet sur la sécrétion d’insuline a persisté jusqu’à une semaine après une dose.</w:t>
      </w:r>
    </w:p>
    <w:p>
      <w:pPr>
        <w:pStyle w:val="BodyText"/>
      </w:pPr>
      <w:r>
        <w:t xml:space="preserve">Comme pour tous les agonistes du récepteur du GLP-1, des modifications des cellules C de la thyroïde sont apparues dans les études à long terme chez les rongeurs ; le mécanisme et sa transposabilité limitée à l’humain sont décrits dans le chapitre Liraglutide</w:t>
      </w:r>
      <w:r>
        <w:rPr>
          <w:rStyle w:val="FootnoteReference"/>
        </w:rPr>
        <w:footnoteReference w:id="381"/>
      </w:r>
      <w:r>
        <w:t xml:space="preserve">.</w:t>
      </w:r>
    </w:p>
    <w:bookmarkEnd w:id="382"/>
    <w:bookmarkStart w:id="392" w:name="risques-et-effets-indésirables-2"/>
    <w:p>
      <w:pPr>
        <w:pStyle w:val="Heading3"/>
      </w:pPr>
      <w:r>
        <w:t xml:space="preserve">Risques et effets indésirables</w:t>
      </w:r>
    </w:p>
    <w:p>
      <w:pPr>
        <w:pStyle w:val="FirstParagraph"/>
      </w:pPr>
      <w:r>
        <w:rPr>
          <w:bCs/>
          <w:b/>
        </w:rPr>
        <w:t xml:space="preserve">Démontrés dans des études randomisées :</w:t>
      </w:r>
    </w:p>
    <w:p>
      <w:pPr>
        <w:numPr>
          <w:ilvl w:val="0"/>
          <w:numId w:val="1050"/>
        </w:numPr>
        <w:pStyle w:val="Compact"/>
      </w:pPr>
      <w:r>
        <w:rPr>
          <w:bCs/>
          <w:b/>
        </w:rPr>
        <w:t xml:space="preserve">Troubles gastro-intestinaux :</w:t>
      </w:r>
      <w:r>
        <w:t xml:space="preserve"> </w:t>
      </w:r>
      <w:r>
        <w:t xml:space="preserve">nausées, diarrhées et vomissements sont les effets indésirables les plus fréquents. Dans REWIND, 47,4 % des personnes traitées ont signalé des troubles gastro-intestinaux, contre 34,1 % sous placebo</w:t>
      </w:r>
      <w:r>
        <w:rPr>
          <w:rStyle w:val="FootnoteReference"/>
        </w:rPr>
        <w:footnoteReference w:id="383"/>
      </w:r>
      <w:r>
        <w:t xml:space="preserve">. Ils augmentent avec les doses plus élevées</w:t>
      </w:r>
      <w:r>
        <w:rPr>
          <w:rStyle w:val="FootnoteReference"/>
        </w:rPr>
        <w:footnoteReference w:id="384"/>
      </w:r>
      <w:r>
        <w:t xml:space="preserve">.</w:t>
      </w:r>
    </w:p>
    <w:p>
      <w:pPr>
        <w:numPr>
          <w:ilvl w:val="0"/>
          <w:numId w:val="1050"/>
        </w:numPr>
        <w:pStyle w:val="Compact"/>
      </w:pPr>
      <w:r>
        <w:rPr>
          <w:bCs/>
          <w:b/>
        </w:rPr>
        <w:t xml:space="preserve">Hypoglycémie :</w:t>
      </w:r>
      <w:r>
        <w:t xml:space="preserve"> </w:t>
      </w:r>
      <w:r>
        <w:t xml:space="preserve">rare en monothérapie ; plus fréquente en association avec l’insuline ou des sulfamides, mais plus rare que sous insuline seule</w:t>
      </w:r>
      <w:r>
        <w:rPr>
          <w:rStyle w:val="FootnoteReference"/>
        </w:rPr>
        <w:footnoteReference w:id="385"/>
      </w:r>
      <w:r>
        <w:t xml:space="preserve">.</w:t>
      </w:r>
    </w:p>
    <w:p>
      <w:pPr>
        <w:numPr>
          <w:ilvl w:val="0"/>
          <w:numId w:val="1050"/>
        </w:numPr>
        <w:pStyle w:val="Compact"/>
      </w:pPr>
      <w:r>
        <w:rPr>
          <w:bCs/>
          <w:b/>
        </w:rPr>
        <w:t xml:space="preserve">Enzymes pancréatiques :</w:t>
      </w:r>
      <w:r>
        <w:t xml:space="preserve"> </w:t>
      </w:r>
      <w:r>
        <w:t xml:space="preserve">dans AWARD-2, les enzymes pancréatiques ont augmenté sous dulaglutide</w:t>
      </w:r>
      <w:r>
        <w:rPr>
          <w:rStyle w:val="FootnoteReference"/>
        </w:rPr>
        <w:footnoteReference w:id="386"/>
      </w:r>
      <w:r>
        <w:t xml:space="preserve">. La portée clinique de telles élévations en l’absence de symptômes n’est pas claire.</w:t>
      </w:r>
    </w:p>
    <w:p>
      <w:pPr>
        <w:numPr>
          <w:ilvl w:val="0"/>
          <w:numId w:val="1050"/>
        </w:numPr>
        <w:pStyle w:val="Compact"/>
      </w:pPr>
      <w:r>
        <w:rPr>
          <w:bCs/>
          <w:b/>
        </w:rPr>
        <w:t xml:space="preserve">Anticorps :</w:t>
      </w:r>
      <w:r>
        <w:t xml:space="preserve"> </w:t>
      </w:r>
      <w:r>
        <w:t xml:space="preserve">rares (1,6 % des personnes traitées), sans accumulation de réactions d’hypersensibilité</w:t>
      </w:r>
      <w:r>
        <w:rPr>
          <w:rStyle w:val="FootnoteReference"/>
        </w:rPr>
        <w:footnoteReference w:id="387"/>
      </w:r>
      <w:r>
        <w:t xml:space="preserve">.</w:t>
      </w:r>
    </w:p>
    <w:p>
      <w:pPr>
        <w:numPr>
          <w:ilvl w:val="0"/>
          <w:numId w:val="1050"/>
        </w:numPr>
        <w:pStyle w:val="Compact"/>
      </w:pPr>
      <w:r>
        <w:rPr>
          <w:bCs/>
          <w:b/>
        </w:rPr>
        <w:t xml:space="preserve">Vésicule biliaire :</w:t>
      </w:r>
      <w:r>
        <w:t xml:space="preserve"> </w:t>
      </w:r>
      <w:r>
        <w:t xml:space="preserve">pour l’ensemble de la classe, un risque accru de calculs biliaires et de cholécystite est démontré</w:t>
      </w:r>
      <w:r>
        <w:rPr>
          <w:rStyle w:val="FootnoteReference"/>
        </w:rPr>
        <w:footnoteReference w:id="388"/>
      </w:r>
      <w:r>
        <w:t xml:space="preserve"> </w:t>
      </w:r>
      <w:r>
        <w:t xml:space="preserve">; détails dans le chapitre Liraglutide.</w:t>
      </w:r>
    </w:p>
    <w:p>
      <w:pPr>
        <w:pStyle w:val="FirstParagraph"/>
      </w:pPr>
      <w:r>
        <w:rPr>
          <w:bCs/>
          <w:b/>
        </w:rPr>
        <w:t xml:space="preserve">Étudiés, mais incertains :</w:t>
      </w:r>
    </w:p>
    <w:p>
      <w:pPr>
        <w:numPr>
          <w:ilvl w:val="0"/>
          <w:numId w:val="1051"/>
        </w:numPr>
        <w:pStyle w:val="Compact"/>
      </w:pPr>
      <w:r>
        <w:rPr>
          <w:bCs/>
          <w:b/>
        </w:rPr>
        <w:t xml:space="preserve">Pancréatite et cancer du pancréas :</w:t>
      </w:r>
      <w:r>
        <w:t xml:space="preserve"> </w:t>
      </w:r>
      <w:r>
        <w:t xml:space="preserve">dans la méta-analyse des études sur critères cliniques, pas de risque accru pour la classe</w:t>
      </w:r>
      <w:r>
        <w:rPr>
          <w:rStyle w:val="FootnoteReference"/>
        </w:rPr>
        <w:footnoteReference w:id="389"/>
      </w:r>
      <w:r>
        <w:t xml:space="preserve">. La pancréatite figure néanmoins comme effet indésirable rare dans le résumé des caractéristiques du produit.</w:t>
      </w:r>
    </w:p>
    <w:p>
      <w:pPr>
        <w:numPr>
          <w:ilvl w:val="0"/>
          <w:numId w:val="1051"/>
        </w:numPr>
        <w:pStyle w:val="Compact"/>
      </w:pPr>
      <w:r>
        <w:rPr>
          <w:bCs/>
          <w:b/>
        </w:rPr>
        <w:t xml:space="preserve">Cancer de la thyroïde :</w:t>
      </w:r>
      <w:r>
        <w:t xml:space="preserve"> </w:t>
      </w:r>
      <w:r>
        <w:t xml:space="preserve">signal dans des études observationnelles et des méta-analyses pour l’ensemble de la classe</w:t>
      </w:r>
      <w:r>
        <w:rPr>
          <w:rStyle w:val="FootnoteReference"/>
        </w:rPr>
        <w:footnoteReference w:id="390"/>
      </w:r>
      <w:r>
        <w:t xml:space="preserve">, non spécifique au dulaglutide ; voir le chapitre Liraglutide et la partie IV.</w:t>
      </w:r>
    </w:p>
    <w:p>
      <w:pPr>
        <w:pStyle w:val="FirstParagraph"/>
      </w:pPr>
      <w:r>
        <w:rPr>
          <w:bCs/>
          <w:b/>
        </w:rPr>
        <w:t xml:space="preserve">Remarques pour la pratique :</w:t>
      </w:r>
      <w:r>
        <w:t xml:space="preserve"> </w:t>
      </w:r>
      <w:r>
        <w:t xml:space="preserve">le dulaglutide ralentit la vidange gastrique, ce qui joue un rôle lors des anesthésies et des endoscopies gastriques ; une grande étude est en cours pour savoir si les agonistes du récepteur du GLP-1 doivent être suspendus avant une endoscopie gastrique</w:t>
      </w:r>
      <w:r>
        <w:rPr>
          <w:rStyle w:val="FootnoteReference"/>
        </w:rPr>
        <w:footnoteReference w:id="391"/>
      </w:r>
      <w:r>
        <w:t xml:space="preserve">. Le résumé des caractéristiques du produit et l’accompagnement médical font foi.</w:t>
      </w:r>
    </w:p>
    <w:bookmarkEnd w:id="392"/>
    <w:bookmarkStart w:id="393" w:name="statut-juridique-2"/>
    <w:p>
      <w:pPr>
        <w:pStyle w:val="Heading3"/>
      </w:pPr>
      <w:r>
        <w:t xml:space="preserve">Statut juridique</w:t>
      </w:r>
    </w:p>
    <w:p>
      <w:pPr>
        <w:numPr>
          <w:ilvl w:val="0"/>
          <w:numId w:val="1052"/>
        </w:numPr>
        <w:pStyle w:val="Compact"/>
      </w:pPr>
      <w:r>
        <w:rPr>
          <w:bCs/>
          <w:b/>
        </w:rPr>
        <w:t xml:space="preserve">UE :</w:t>
      </w:r>
      <w:r>
        <w:t xml:space="preserve"> </w:t>
      </w:r>
      <w:r>
        <w:t xml:space="preserve">Trulicity est autorisé par procédure centralisée depuis 2014 pour le traitement du diabète de type 2, désormais aussi pour les adolescents à partir de 10 ans. Soumis à prescription. Pas d’autorisation pour la perte de poids.</w:t>
      </w:r>
    </w:p>
    <w:p>
      <w:pPr>
        <w:numPr>
          <w:ilvl w:val="0"/>
          <w:numId w:val="1052"/>
        </w:numPr>
        <w:pStyle w:val="Compact"/>
      </w:pPr>
      <w:r>
        <w:rPr>
          <w:bCs/>
          <w:b/>
        </w:rPr>
        <w:t xml:space="preserve">Allemagne et Autriche :</w:t>
      </w:r>
      <w:r>
        <w:t xml:space="preserve"> </w:t>
      </w:r>
      <w:r>
        <w:t xml:space="preserve">soumis à prescription ; remboursable dans le diabète de type 2. À partir de 2022, des pénuries temporaires sont survenues, comme pour d’autres préparations GLP-1 (à vérifier).</w:t>
      </w:r>
    </w:p>
    <w:p>
      <w:pPr>
        <w:numPr>
          <w:ilvl w:val="0"/>
          <w:numId w:val="1052"/>
        </w:numPr>
        <w:pStyle w:val="Compact"/>
      </w:pPr>
      <w:r>
        <w:rPr>
          <w:bCs/>
          <w:b/>
        </w:rPr>
        <w:t xml:space="preserve">États-Unis :</w:t>
      </w:r>
      <w:r>
        <w:t xml:space="preserve"> </w:t>
      </w:r>
      <w:r>
        <w:t xml:space="preserve">autorisé pour le diabète de type 2 à partir de 10 ans et pour la réduction du risque cardiovasculaire.</w:t>
      </w:r>
    </w:p>
    <w:p>
      <w:pPr>
        <w:numPr>
          <w:ilvl w:val="0"/>
          <w:numId w:val="1052"/>
        </w:numPr>
        <w:pStyle w:val="Compact"/>
      </w:pPr>
      <w:r>
        <w:rPr>
          <w:bCs/>
          <w:b/>
        </w:rPr>
        <w:t xml:space="preserve">Génériques :</w:t>
      </w:r>
      <w:r>
        <w:t xml:space="preserve"> </w:t>
      </w:r>
      <w:r>
        <w:t xml:space="preserve">le dulaglutide étant une protéine de fusion fabriquée par génie génétique, ses copies seraient des biosimilaires soumis à une procédure d’autorisation plus lourde que pour le liraglutide ou le sémaglutide. À la date de mise sous presse, aucun biosimilaire n’est commercialisé dans l’UE, en l’état des connaissances de l’auteur (à vérifier).</w:t>
      </w:r>
    </w:p>
    <w:p>
      <w:pPr>
        <w:numPr>
          <w:ilvl w:val="0"/>
          <w:numId w:val="1052"/>
        </w:numPr>
        <w:pStyle w:val="Compact"/>
      </w:pPr>
      <w:r>
        <w:rPr>
          <w:bCs/>
          <w:b/>
        </w:rPr>
        <w:t xml:space="preserve">Sport (AMA) :</w:t>
      </w:r>
      <w:r>
        <w:t xml:space="preserve"> </w:t>
      </w:r>
      <w:r>
        <w:t xml:space="preserve">non listé (état 2026, à vérifier).</w:t>
      </w:r>
    </w:p>
    <w:p>
      <w:pPr>
        <w:numPr>
          <w:ilvl w:val="0"/>
          <w:numId w:val="1052"/>
        </w:numPr>
        <w:pStyle w:val="Compact"/>
      </w:pPr>
      <w:r>
        <w:rPr>
          <w:bCs/>
          <w:b/>
        </w:rPr>
        <w:t xml:space="preserve">Marché gris :</w:t>
      </w:r>
      <w:r>
        <w:t xml:space="preserve"> </w:t>
      </w:r>
      <w:r>
        <w:t xml:space="preserve">le dulaglutide ne joue pratiquement aucun rôle sur le marché gris, car une grande protéine de fusion ne peut pas être fabriquée par synthèse comme les petits peptides.</w:t>
      </w:r>
    </w:p>
    <w:bookmarkEnd w:id="393"/>
    <w:bookmarkStart w:id="400" w:name="études-en-cours-et-perspectives-2"/>
    <w:p>
      <w:pPr>
        <w:pStyle w:val="Heading3"/>
      </w:pPr>
      <w:r>
        <w:t xml:space="preserve">Études en cours et perspectives</w:t>
      </w:r>
    </w:p>
    <w:p>
      <w:pPr>
        <w:pStyle w:val="FirstParagraph"/>
      </w:pPr>
      <w:r>
        <w:rPr>
          <w:bCs/>
          <w:b/>
        </w:rPr>
        <w:t xml:space="preserve">Établi (études enregistrées) :</w:t>
      </w:r>
    </w:p>
    <w:p>
      <w:pPr>
        <w:numPr>
          <w:ilvl w:val="0"/>
          <w:numId w:val="1053"/>
        </w:numPr>
        <w:pStyle w:val="Compact"/>
      </w:pPr>
      <w:r>
        <w:rPr>
          <w:bCs/>
          <w:b/>
        </w:rPr>
        <w:t xml:space="preserve">Enfants et adolescents :</w:t>
      </w:r>
      <w:r>
        <w:t xml:space="preserve"> </w:t>
      </w:r>
      <w:r>
        <w:t xml:space="preserve">Lilly évalue les doses plus élevées de 3,0 et 4,5 mg chez des adolescents atteints de diabète de type 2</w:t>
      </w:r>
      <w:r>
        <w:rPr>
          <w:rStyle w:val="FootnoteReference"/>
        </w:rPr>
        <w:footnoteReference w:id="394"/>
      </w:r>
      <w:r>
        <w:t xml:space="preserve"> </w:t>
      </w:r>
      <w:r>
        <w:t xml:space="preserve">et compare le comprimé d’orforglipron au dulaglutide dans cette tranche d’âge</w:t>
      </w:r>
      <w:r>
        <w:rPr>
          <w:rStyle w:val="FootnoteReference"/>
        </w:rPr>
        <w:footnoteReference w:id="395"/>
      </w:r>
      <w:r>
        <w:t xml:space="preserve">.</w:t>
      </w:r>
    </w:p>
    <w:p>
      <w:pPr>
        <w:numPr>
          <w:ilvl w:val="0"/>
          <w:numId w:val="1053"/>
        </w:numPr>
        <w:pStyle w:val="Compact"/>
      </w:pPr>
      <w:r>
        <w:rPr>
          <w:bCs/>
          <w:b/>
        </w:rPr>
        <w:t xml:space="preserve">Vaisseaux et chirurgie :</w:t>
      </w:r>
      <w:r>
        <w:t xml:space="preserve"> </w:t>
      </w:r>
      <w:r>
        <w:t xml:space="preserve">une étude examine le dulaglutide en cas de sténose sévère des vaisseaux cérébraux</w:t>
      </w:r>
      <w:r>
        <w:rPr>
          <w:rStyle w:val="FootnoteReference"/>
        </w:rPr>
        <w:footnoteReference w:id="396"/>
      </w:r>
      <w:r>
        <w:t xml:space="preserve">, une autre s’il réduit les lésions du muscle cardiaque après une chirurgie non cardiaque</w:t>
      </w:r>
      <w:r>
        <w:rPr>
          <w:rStyle w:val="FootnoteReference"/>
        </w:rPr>
        <w:footnoteReference w:id="397"/>
      </w:r>
      <w:r>
        <w:t xml:space="preserve">.</w:t>
      </w:r>
    </w:p>
    <w:p>
      <w:pPr>
        <w:numPr>
          <w:ilvl w:val="0"/>
          <w:numId w:val="1053"/>
        </w:numPr>
        <w:pStyle w:val="Compact"/>
      </w:pPr>
      <w:r>
        <w:rPr>
          <w:bCs/>
          <w:b/>
        </w:rPr>
        <w:t xml:space="preserve">Mucoviscidose :</w:t>
      </w:r>
      <w:r>
        <w:t xml:space="preserve"> </w:t>
      </w:r>
      <w:r>
        <w:t xml:space="preserve">une petite étude de phase 2 étudie le dulaglutide en cas de trouble de l’utilisation du glucose lié à la maladie</w:t>
      </w:r>
      <w:r>
        <w:rPr>
          <w:rStyle w:val="FootnoteReference"/>
        </w:rPr>
        <w:footnoteReference w:id="398"/>
      </w:r>
      <w:r>
        <w:t xml:space="preserve">.</w:t>
      </w:r>
    </w:p>
    <w:p>
      <w:pPr>
        <w:numPr>
          <w:ilvl w:val="0"/>
          <w:numId w:val="1053"/>
        </w:numPr>
        <w:pStyle w:val="Compact"/>
      </w:pPr>
      <w:r>
        <w:rPr>
          <w:bCs/>
          <w:b/>
        </w:rPr>
        <w:t xml:space="preserve">Comme comparateur :</w:t>
      </w:r>
      <w:r>
        <w:t xml:space="preserve"> </w:t>
      </w:r>
      <w:r>
        <w:t xml:space="preserve">de nombreuses nouvelles substances sont évaluées dans des études de phase 3 contre le dulaglutide, dont la protéine de fusion à base d’exendine-4 JY09</w:t>
      </w:r>
      <w:r>
        <w:rPr>
          <w:rStyle w:val="FootnoteReference"/>
        </w:rPr>
        <w:footnoteReference w:id="399"/>
      </w:r>
      <w:r>
        <w:t xml:space="preserve">.</w:t>
      </w:r>
    </w:p>
    <w:p>
      <w:pPr>
        <w:pStyle w:val="FirstParagraph"/>
      </w:pPr>
      <w:r>
        <w:rPr>
          <w:bCs/>
          <w:b/>
        </w:rPr>
        <w:t xml:space="preserve">Estimation :</w:t>
      </w:r>
      <w:r>
        <w:t xml:space="preserve"> </w:t>
      </w:r>
      <w:r>
        <w:t xml:space="preserve">le dulaglutide est une substance solide et bien étudiée, au bénéfice cardiovasculaire démontré, mais qui est dépassée par le sémaglutide et le tirzépatide pour la glycémie et le poids. Son rôle devrait se déplacer de plus en plus vers celui de standard de comparaison dans les études. Lilly proposant avec le tirzépatide et l’orforglipron ses propres successeurs, un développement ultérieur du dulaglutide pour de nouvelles indications est peu probable.</w:t>
      </w:r>
    </w:p>
    <w:bookmarkEnd w:id="400"/>
    <w:bookmarkStart w:id="401" w:name="conclusion-2"/>
    <w:p>
      <w:pPr>
        <w:pStyle w:val="Heading3"/>
      </w:pPr>
      <w:r>
        <w:t xml:space="preserve">Conclusion</w:t>
      </w:r>
    </w:p>
    <w:p>
      <w:pPr>
        <w:pStyle w:val="FirstParagraph"/>
      </w:pPr>
      <w:r>
        <w:t xml:space="preserve">Le dulaglutide est une protéine de fusion GLP-1 injectée une fois par semaine, qui a été évaluée dans le programme AWARD face à presque tous les antidiabétiques courants. Il a abaissé l’HbA1c à peu près autant que le liraglutide et plus que l’exénatide, la sitagliptine ou la metformine, mais il a été inférieur au sémaglutide dans SUSTAIN 7, surtout pour le poids. Dans REWIND, avec 9 901 participants dont beaucoup sans maladie cardiovasculaire connue, il a réduit les événements cardiovasculaires graves de 12 %. Les effets indésirables correspondent à ceux de la classe ; les anticorps sont rares. Il n’est pas autorisé pour la perte de poids, et le traitement relève du médecin.</w:t>
      </w:r>
    </w:p>
    <w:bookmarkEnd w:id="401"/>
    <w:bookmarkEnd w:id="402"/>
    <w:bookmarkStart w:id="477" w:name="sémaglutide"/>
    <w:p>
      <w:pPr>
        <w:pStyle w:val="Heading2"/>
      </w:pPr>
      <w:r>
        <w:t xml:space="preserve">Sémaglutide</w:t>
      </w:r>
    </w:p>
    <w:bookmarkStart w:id="404" w:name="fiche-signalétique-3"/>
    <w:p>
      <w:pPr>
        <w:pStyle w:val="Heading3"/>
      </w:pPr>
      <w:r>
        <w:t xml:space="preserve">Fiche signalétique</w:t>
      </w:r>
    </w:p>
    <w:p>
      <w:pPr>
        <w:numPr>
          <w:ilvl w:val="0"/>
          <w:numId w:val="1054"/>
        </w:numPr>
        <w:pStyle w:val="Compact"/>
      </w:pPr>
      <w:r>
        <w:rPr>
          <w:bCs/>
          <w:b/>
        </w:rPr>
        <w:t xml:space="preserve">Type/structure :</w:t>
      </w:r>
      <w:r>
        <w:t xml:space="preserve"> </w:t>
      </w:r>
      <w:r>
        <w:t xml:space="preserve">GLP-1 humain modifié de 31 acides aminés. Par rapport à l’hormone de l’organisme, deux acides aminés sont remplacés ; à une troisième position est fixée, par l’intermédiaire d’un bras de liaison, une chaîne d’acide gras qui lie fortement la molécule à l’albumine, une protéine du sang</w:t>
      </w:r>
      <w:r>
        <w:rPr>
          <w:rStyle w:val="FootnoteReference"/>
        </w:rPr>
        <w:footnoteReference w:id="403"/>
      </w:r>
      <w:r>
        <w:t xml:space="preserve">.</w:t>
      </w:r>
    </w:p>
    <w:p>
      <w:pPr>
        <w:numPr>
          <w:ilvl w:val="0"/>
          <w:numId w:val="1054"/>
        </w:numPr>
        <w:pStyle w:val="Compact"/>
      </w:pPr>
      <w:r>
        <w:rPr>
          <w:bCs/>
          <w:b/>
        </w:rPr>
        <w:t xml:space="preserve">Origine :</w:t>
      </w:r>
      <w:r>
        <w:t xml:space="preserve"> </w:t>
      </w:r>
      <w:r>
        <w:t xml:space="preserve">développé par Novo Nordisk comme évolution du liraglutide.</w:t>
      </w:r>
    </w:p>
    <w:p>
      <w:pPr>
        <w:numPr>
          <w:ilvl w:val="0"/>
          <w:numId w:val="1054"/>
        </w:numPr>
        <w:pStyle w:val="Compact"/>
      </w:pPr>
      <w:r>
        <w:rPr>
          <w:bCs/>
          <w:b/>
        </w:rPr>
        <w:t xml:space="preserve">Principe d’action :</w:t>
      </w:r>
      <w:r>
        <w:t xml:space="preserve"> </w:t>
      </w:r>
      <w:r>
        <w:t xml:space="preserve">agoniste du récepteur du GLP-1 à très longue durée d’action – une injection par semaine ou un comprimé par jour.</w:t>
      </w:r>
    </w:p>
    <w:p>
      <w:pPr>
        <w:numPr>
          <w:ilvl w:val="0"/>
          <w:numId w:val="1054"/>
        </w:numPr>
        <w:pStyle w:val="Compact"/>
      </w:pPr>
      <w:r>
        <w:rPr>
          <w:bCs/>
          <w:b/>
        </w:rPr>
        <w:t xml:space="preserve">Préparations :</w:t>
      </w:r>
      <w:r>
        <w:t xml:space="preserve"> </w:t>
      </w:r>
      <w:r>
        <w:t xml:space="preserve">Ozempic (injection, diabète de type 2), Wegovy (injection, gestion du poids et réduction du risque cardiovasculaire), Rybelsus (comprimé, diabète de type 2). Aux États-Unis, un comprimé de Wegovy pour la gestion du poids est également autorisé depuis fin 2025 (à vérifier).</w:t>
      </w:r>
    </w:p>
    <w:p>
      <w:pPr>
        <w:numPr>
          <w:ilvl w:val="0"/>
          <w:numId w:val="1054"/>
        </w:numPr>
        <w:pStyle w:val="Compact"/>
      </w:pPr>
      <w:r>
        <w:rPr>
          <w:bCs/>
          <w:b/>
        </w:rPr>
        <w:t xml:space="preserve">Autorisation UE :</w:t>
      </w:r>
      <w:r>
        <w:t xml:space="preserve"> </w:t>
      </w:r>
      <w:r>
        <w:t xml:space="preserve">oui – diabète de type 2 (injection depuis 2018, comprimé depuis 2020), gestion du poids (depuis 2022, aussi pour les adolescents à partir de 12 ans).</w:t>
      </w:r>
    </w:p>
    <w:p>
      <w:pPr>
        <w:numPr>
          <w:ilvl w:val="0"/>
          <w:numId w:val="1054"/>
        </w:numPr>
        <w:pStyle w:val="Compact"/>
      </w:pPr>
      <w:r>
        <w:rPr>
          <w:bCs/>
          <w:b/>
        </w:rPr>
        <w:t xml:space="preserve">Autorisation États-Unis :</w:t>
      </w:r>
      <w:r>
        <w:t xml:space="preserve"> </w:t>
      </w:r>
      <w:r>
        <w:t xml:space="preserve">oui – diabète de type 2, gestion du poids, réduction du risque cardiovasculaire en cas de surpoids avec maladie cardiovasculaire, protection rénale dans le diabète de type 2 avec maladie rénale chronique ainsi que stéatohépatite (MASH) avec fibrose.</w:t>
      </w:r>
    </w:p>
    <w:p>
      <w:pPr>
        <w:numPr>
          <w:ilvl w:val="0"/>
          <w:numId w:val="1054"/>
        </w:numPr>
        <w:pStyle w:val="Compact"/>
      </w:pPr>
      <w:r>
        <w:rPr>
          <w:bCs/>
          <w:b/>
        </w:rPr>
        <w:t xml:space="preserve">AMA :</w:t>
      </w:r>
      <w:r>
        <w:t xml:space="preserve"> </w:t>
      </w:r>
      <w:r>
        <w:t xml:space="preserve">non listé.</w:t>
      </w:r>
    </w:p>
    <w:p>
      <w:pPr>
        <w:numPr>
          <w:ilvl w:val="0"/>
          <w:numId w:val="1054"/>
        </w:numPr>
        <w:pStyle w:val="Compact"/>
      </w:pPr>
      <w:r>
        <w:rPr>
          <w:bCs/>
          <w:b/>
        </w:rPr>
        <w:t xml:space="preserve">Niveau de preuve :</w:t>
      </w:r>
      <w:r>
        <w:t xml:space="preserve"> </w:t>
      </w:r>
      <w:r>
        <w:rPr>
          <w:bCs/>
          <w:b/>
        </w:rPr>
        <w:t xml:space="preserve">A</w:t>
      </w:r>
      <w:r>
        <w:t xml:space="preserve"> </w:t>
      </w:r>
      <w:r>
        <w:t xml:space="preserve">– quatre grands programmes d’autorisation (SUSTAIN, PIONEER, STEP, OASIS), plusieurs études sur critères cliniques totalisant plus de 40 000 participants.</w:t>
      </w:r>
    </w:p>
    <w:bookmarkEnd w:id="404"/>
    <w:bookmarkStart w:id="407" w:name="mode-daction-supposé-3"/>
    <w:p>
      <w:pPr>
        <w:pStyle w:val="Heading3"/>
      </w:pPr>
      <w:r>
        <w:t xml:space="preserve">Mode d’action supposé</w:t>
      </w:r>
    </w:p>
    <w:p>
      <w:pPr>
        <w:pStyle w:val="FirstParagraph"/>
      </w:pPr>
      <w:r>
        <w:t xml:space="preserve">Le sémaglutide agit comme l’hormone intestinale GLP-1 : il renforce la sécrétion d’insuline dépendante du glucose, inhibe le glucagon qui élève la glycémie, ralentit la vidange gastrique et atténue dans le cerveau la faim et l’envie de manger. Le mécanisme de base de la classe est expliqué dans le chapitre Exénatide.</w:t>
      </w:r>
    </w:p>
    <w:p>
      <w:pPr>
        <w:pStyle w:val="BodyText"/>
      </w:pPr>
      <w:r>
        <w:t xml:space="preserve">La nouveauté du sémaglutide est sa durabilité. Les concepteurs sont partis du liraglutide et ont modifié deux choses</w:t>
      </w:r>
      <w:r>
        <w:rPr>
          <w:rStyle w:val="FootnoteReference"/>
        </w:rPr>
        <w:footnoteReference w:id="405"/>
      </w:r>
      <w:r>
        <w:t xml:space="preserve"> </w:t>
      </w:r>
      <w:r>
        <w:t xml:space="preserve">: un remplacement d’acide aminé en position 8 rend la molécule totalement insensible à l’enzyme de dégradation DPP-4. Et une chaîne d’acide gras plus longue avec un autre bras de liaison se lie nettement plus fortement à l’albumine. Le sémaglutide n’est ainsi libéré et éliminé que lentement. Chez le miniporc, la demi-vie après administration intraveineuse était de 46,1 heures ; chez l’humain, elle est encore plus longue et permet une injection par semaine.</w:t>
      </w:r>
    </w:p>
    <w:p>
      <w:pPr>
        <w:pStyle w:val="BodyText"/>
      </w:pPr>
      <w:r>
        <w:t xml:space="preserve">Pour la perte de poids, ce sont surtout les effets dans le cerveau qui sont déterminants. Le sémaglutide réduit la prise alimentaire, la sensation de faim et l’envie d’aliments particulièrement riches en graisses et en sucres. Une dépense énergétique nettement plus élevée n’est pas démontrée.</w:t>
      </w:r>
    </w:p>
    <w:p>
      <w:pPr>
        <w:pStyle w:val="BodyText"/>
      </w:pPr>
      <w:r>
        <w:rPr>
          <w:bCs/>
          <w:b/>
        </w:rPr>
        <w:t xml:space="preserve">Le comprimé :</w:t>
      </w:r>
      <w:r>
        <w:t xml:space="preserve"> </w:t>
      </w:r>
      <w:r>
        <w:t xml:space="preserve">les peptides sont normalement digérés dans l’estomac et à peine absorbés. Pour Rybelsus, le sémaglutide est associé à l’excipient SNAC. Celui-ci tamponne l’acide gastrique directement à la surface du comprimé, protège ainsi contre la dégradation et facilite brièvement l’absorption par la muqueuse gastrique – dans les études chez l’humain et le chien, exclusivement dans l’estomac, pas dans l’intestin</w:t>
      </w:r>
      <w:r>
        <w:rPr>
          <w:rStyle w:val="FootnoteReference"/>
        </w:rPr>
        <w:footnoteReference w:id="406"/>
      </w:r>
      <w:r>
        <w:t xml:space="preserve">. Malgré cela, seule une très petite fraction de la substance atteint le sang. Le comprimé contient donc un multiple de la dose injectable et doit être pris à jeun avec peu d’eau ; le résumé des caractéristiques du produit en précise les détails.</w:t>
      </w:r>
    </w:p>
    <w:bookmarkEnd w:id="407"/>
    <w:bookmarkStart w:id="448" w:name="études-chez-lhumain-3"/>
    <w:p>
      <w:pPr>
        <w:pStyle w:val="Heading3"/>
      </w:pPr>
      <w:r>
        <w:t xml:space="preserve">Études chez l’humain</w:t>
      </w:r>
    </w:p>
    <w:p>
      <w:pPr>
        <w:pStyle w:val="FirstParagraph"/>
      </w:pPr>
      <w:r>
        <w:t xml:space="preserve">Le sémaglutide est actuellement la substance la plus étudiée de sa classe. La recherche PubMed analysée pour ce livre (terme « semaglutide » dans le titre ou le résumé, date de recherche octobre 2026) a donné 342 études chez l’humain. Ce chiffre sous-estime le volume réel de recherche, car de nombreuses analyses de grandes études sont publiées sous le nom de celles-ci. ClinicalTrials.gov recense 793 inscriptions – plus que pour tout autre peptide de ce livre.</w:t>
      </w:r>
    </w:p>
    <w:p>
      <w:pPr>
        <w:pStyle w:val="BodyText"/>
      </w:pPr>
      <w:r>
        <w:t xml:space="preserve">Les études peuvent être réparties en quatre programmes : SUSTAIN (injection dans le diabète de type 2), PIONEER (comprimé dans le diabète de type 2), STEP (injection dans l’obésité) et OASIS (comprimé dans l’obésité). S’y ajoutent de grandes études sur critères cliniques concernant le cœur (SUSTAIN 6, PIONEER 6, SOUL, SELECT), les reins (FLOW), le foie (ESSENCE), l’insuffisance cardiaque, les articulations et le cerveau (evoke).</w:t>
      </w:r>
    </w:p>
    <w:bookmarkStart w:id="411" w:name="Xae94fc1ee5eb76e10aaa801a86a301af54f7bd9"/>
    <w:p>
      <w:pPr>
        <w:pStyle w:val="Heading4"/>
      </w:pPr>
      <w:r>
        <w:t xml:space="preserve">Diabète de type 2 avec l’injection :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SUSTAIN 1 (Sorli 2017), PMID 28110911</w:t>
            </w:r>
          </w:p>
        </w:tc>
        <w:tc>
          <w:tcPr/>
          <w:p>
            <w:pPr>
              <w:pStyle w:val="Compact"/>
              <w:jc w:val="left"/>
            </w:pPr>
            <w:r>
              <w:t xml:space="preserve">388 personnes, monothérapie vs placebo</w:t>
            </w:r>
          </w:p>
        </w:tc>
        <w:tc>
          <w:tcPr/>
          <w:p>
            <w:pPr>
              <w:pStyle w:val="Compact"/>
              <w:jc w:val="left"/>
            </w:pPr>
            <w:r>
              <w:t xml:space="preserve">30 semaines</w:t>
            </w:r>
          </w:p>
        </w:tc>
        <w:tc>
          <w:tcPr/>
          <w:p>
            <w:pPr>
              <w:pStyle w:val="Compact"/>
              <w:jc w:val="left"/>
            </w:pPr>
            <w:r>
              <w:t xml:space="preserve">HbA1c −1,55 (1,0 mg) vs −0,02 point de pourcentage ; poids −4,53 vs −0,98 kg</w:t>
            </w:r>
          </w:p>
        </w:tc>
      </w:tr>
      <w:tr>
        <w:tc>
          <w:tcPr/>
          <w:p>
            <w:pPr>
              <w:pStyle w:val="Compact"/>
              <w:jc w:val="left"/>
            </w:pPr>
            <w:r>
              <w:t xml:space="preserve">SUSTAIN FORTE (Frías 2021), PMID 34293304</w:t>
            </w:r>
          </w:p>
        </w:tc>
        <w:tc>
          <w:tcPr/>
          <w:p>
            <w:pPr>
              <w:pStyle w:val="Compact"/>
              <w:jc w:val="left"/>
            </w:pPr>
            <w:r>
              <w:t xml:space="preserve">961 personnes ; 2,0 mg vs 1,0 mg</w:t>
            </w:r>
          </w:p>
        </w:tc>
        <w:tc>
          <w:tcPr/>
          <w:p>
            <w:pPr>
              <w:pStyle w:val="Compact"/>
              <w:jc w:val="left"/>
            </w:pPr>
            <w:r>
              <w:t xml:space="preserve">40 semaines</w:t>
            </w:r>
          </w:p>
        </w:tc>
        <w:tc>
          <w:tcPr/>
          <w:p>
            <w:pPr>
              <w:pStyle w:val="Compact"/>
              <w:jc w:val="left"/>
            </w:pPr>
            <w:r>
              <w:t xml:space="preserve">HbA1c −2,2 vs −1,9 ; poids −6,9 vs −6,0 kg</w:t>
            </w:r>
          </w:p>
        </w:tc>
      </w:tr>
      <w:tr>
        <w:tc>
          <w:tcPr/>
          <w:p>
            <w:pPr>
              <w:pStyle w:val="Compact"/>
              <w:jc w:val="left"/>
            </w:pPr>
            <w:r>
              <w:t xml:space="preserve">SUSTAIN 6 (Marso 2016), PMID 27633186</w:t>
            </w:r>
          </w:p>
        </w:tc>
        <w:tc>
          <w:tcPr/>
          <w:p>
            <w:pPr>
              <w:pStyle w:val="Compact"/>
              <w:jc w:val="left"/>
            </w:pPr>
            <w:r>
              <w:t xml:space="preserve">3 297 personnes à haut risque cardiovasculaire, vs placebo</w:t>
            </w:r>
          </w:p>
        </w:tc>
        <w:tc>
          <w:tcPr/>
          <w:p>
            <w:pPr>
              <w:pStyle w:val="Compact"/>
              <w:jc w:val="left"/>
            </w:pPr>
            <w:r>
              <w:t xml:space="preserve">104 semaines</w:t>
            </w:r>
          </w:p>
        </w:tc>
        <w:tc>
          <w:tcPr/>
          <w:p>
            <w:pPr>
              <w:pStyle w:val="Compact"/>
              <w:jc w:val="left"/>
            </w:pPr>
            <w:r>
              <w:t xml:space="preserve">Événements cardiovasculaires graves 6,6 % vs 8,9 % ; HR 0,74</w:t>
            </w:r>
          </w:p>
        </w:tc>
      </w:tr>
    </w:tbl>
    <w:p>
      <w:pPr>
        <w:pStyle w:val="BodyText"/>
      </w:pPr>
      <w:r>
        <w:t xml:space="preserve">Dès l’étude en monothérapie SUSTAIN 1</w:t>
      </w:r>
      <w:r>
        <w:rPr>
          <w:rStyle w:val="FootnoteReference"/>
        </w:rPr>
        <w:footnoteReference w:id="408"/>
      </w:r>
      <w:r>
        <w:t xml:space="preserve">, le sémaglutide a abaissé l’HbA1c d’environ 1,5 point de pourcentage. Dans des études ultérieures avec des participants dont les valeurs initiales étaient plus élevées, la baisse a été plus importante ; avec la dose de 2,0 mg, elle a atteint 2,2 points de pourcentage dans SUSTAIN FORTE</w:t>
      </w:r>
      <w:r>
        <w:rPr>
          <w:rStyle w:val="FootnoteReference"/>
        </w:rPr>
        <w:footnoteReference w:id="409"/>
      </w:r>
      <w:r>
        <w:t xml:space="preserve">.</w:t>
      </w:r>
    </w:p>
    <w:p>
      <w:pPr>
        <w:pStyle w:val="BodyText"/>
      </w:pPr>
      <w:r>
        <w:rPr>
          <w:bCs/>
          <w:b/>
        </w:rPr>
        <w:t xml:space="preserve">SUSTAIN 6</w:t>
      </w:r>
      <w:r>
        <w:rPr>
          <w:rStyle w:val="FootnoteReference"/>
        </w:rPr>
        <w:footnoteReference w:id="410"/>
      </w:r>
      <w:r>
        <w:t xml:space="preserve"> </w:t>
      </w:r>
      <w:r>
        <w:t xml:space="preserve">était conçue comme une étude de sécurité, mais a montré un avantage net : décès de cause cardiovasculaire, infarctus du myocarde non mortel ou AVC sont survenus chez 108 personnes sur 1 648 sous sémaglutide (6,6 %) contre 146 sur 1 649 sous placebo (8,9 %). Les AVC étaient significativement plus rares (1,6 % vs 2,7 %). En même temps est apparu un signal d’alerte : les complications de la rétinopathie diabétique – par exemple hémorragies du vitré ou lésions nécessitant un traitement – étaient plus fréquentes sous sémaglutide (HR 1,76). Ce signal est examiné dans la section Risques.</w:t>
      </w:r>
    </w:p>
    <w:bookmarkEnd w:id="411"/>
    <w:bookmarkStart w:id="417" w:name="Xed23daf08cce87605a243c4132811d62a1a953d"/>
    <w:p>
      <w:pPr>
        <w:pStyle w:val="Heading4"/>
      </w:pPr>
      <w:r>
        <w:t xml:space="preserve">Comparaisons directes au sein de la classe GLP-1</w:t>
      </w:r>
    </w:p>
    <w:p>
      <w:pPr>
        <w:pStyle w:val="FirstParagraph"/>
      </w:pPr>
      <w:r>
        <w:t xml:space="preserve">Le sémaglutide a été opposé dans des études de comparaison directe à tous les agonistes plus anciens du récepteur du GLP-1 et les a tous dépassés.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Durée</w:t>
            </w:r>
          </w:p>
        </w:tc>
        <w:tc>
          <w:tcPr/>
          <w:p>
            <w:pPr>
              <w:pStyle w:val="Compact"/>
              <w:jc w:val="left"/>
            </w:pPr>
            <w:r>
              <w:t xml:space="preserve">Résultat (sémaglutide vs comparateur)</w:t>
            </w:r>
          </w:p>
        </w:tc>
      </w:tr>
      <w:tr>
        <w:tc>
          <w:tcPr/>
          <w:p>
            <w:pPr>
              <w:pStyle w:val="Compact"/>
              <w:jc w:val="left"/>
            </w:pPr>
            <w:r>
              <w:t xml:space="preserve">SUSTAIN 3 (Ahmann 2018), PMID 29246950</w:t>
            </w:r>
          </w:p>
        </w:tc>
        <w:tc>
          <w:tcPr/>
          <w:p>
            <w:pPr>
              <w:pStyle w:val="Compact"/>
              <w:jc w:val="left"/>
            </w:pPr>
            <w:r>
              <w:t xml:space="preserve">vs exénatide hebdomadaire, ouverte</w:t>
            </w:r>
          </w:p>
        </w:tc>
        <w:tc>
          <w:tcPr/>
          <w:p>
            <w:pPr>
              <w:pStyle w:val="Compact"/>
              <w:jc w:val="left"/>
            </w:pPr>
            <w:r>
              <w:t xml:space="preserve">56 semaines</w:t>
            </w:r>
          </w:p>
        </w:tc>
        <w:tc>
          <w:tcPr/>
          <w:p>
            <w:pPr>
              <w:pStyle w:val="Compact"/>
              <w:jc w:val="left"/>
            </w:pPr>
            <w:r>
              <w:t xml:space="preserve">HbA1c −1,5 vs −0,9 ; poids −5,6 vs −1,9 kg</w:t>
            </w:r>
          </w:p>
        </w:tc>
      </w:tr>
      <w:tr>
        <w:tc>
          <w:tcPr/>
          <w:p>
            <w:pPr>
              <w:pStyle w:val="Compact"/>
              <w:jc w:val="left"/>
            </w:pPr>
            <w:r>
              <w:t xml:space="preserve">SUSTAIN 7 (Pratley 2018), PMID 29397376</w:t>
            </w:r>
          </w:p>
        </w:tc>
        <w:tc>
          <w:tcPr/>
          <w:p>
            <w:pPr>
              <w:pStyle w:val="Compact"/>
              <w:jc w:val="left"/>
            </w:pPr>
            <w:r>
              <w:t xml:space="preserve">1 201 personnes ; 0,5/1,0 mg vs dulaglutide 0,75/1,5 mg</w:t>
            </w:r>
          </w:p>
        </w:tc>
        <w:tc>
          <w:tcPr/>
          <w:p>
            <w:pPr>
              <w:pStyle w:val="Compact"/>
              <w:jc w:val="left"/>
            </w:pPr>
            <w:r>
              <w:t xml:space="preserve">40 semaines</w:t>
            </w:r>
          </w:p>
        </w:tc>
        <w:tc>
          <w:tcPr/>
          <w:p>
            <w:pPr>
              <w:pStyle w:val="Compact"/>
              <w:jc w:val="left"/>
            </w:pPr>
            <w:r>
              <w:t xml:space="preserve">HbA1c −1,8 vs −1,4 ; poids −6,5 vs −3,0 kg (doses élevées)</w:t>
            </w:r>
          </w:p>
        </w:tc>
      </w:tr>
      <w:tr>
        <w:tc>
          <w:tcPr/>
          <w:p>
            <w:pPr>
              <w:pStyle w:val="Compact"/>
              <w:jc w:val="left"/>
            </w:pPr>
            <w:r>
              <w:t xml:space="preserve">SUSTAIN 10 (Capehorn 2020), PMID 31539622</w:t>
            </w:r>
          </w:p>
        </w:tc>
        <w:tc>
          <w:tcPr/>
          <w:p>
            <w:pPr>
              <w:pStyle w:val="Compact"/>
              <w:jc w:val="left"/>
            </w:pPr>
            <w:r>
              <w:t xml:space="preserve">1,0 mg vs liraglutide 1,2 mg</w:t>
            </w:r>
          </w:p>
        </w:tc>
        <w:tc>
          <w:tcPr/>
          <w:p>
            <w:pPr>
              <w:pStyle w:val="Compact"/>
              <w:jc w:val="left"/>
            </w:pPr>
            <w:r>
              <w:t xml:space="preserve">30 semaines</w:t>
            </w:r>
          </w:p>
        </w:tc>
        <w:tc>
          <w:tcPr/>
          <w:p>
            <w:pPr>
              <w:pStyle w:val="Compact"/>
              <w:jc w:val="left"/>
            </w:pPr>
            <w:r>
              <w:t xml:space="preserve">HbA1c −1,7 vs −1,0 ; poids −5,8 vs −1,9 kg</w:t>
            </w:r>
          </w:p>
        </w:tc>
      </w:tr>
      <w:tr>
        <w:tc>
          <w:tcPr/>
          <w:p>
            <w:pPr>
              <w:pStyle w:val="Compact"/>
              <w:jc w:val="left"/>
            </w:pPr>
            <w:r>
              <w:t xml:space="preserve">PIONEER 4 (Pratley 2019), PMID 31186120</w:t>
            </w:r>
          </w:p>
        </w:tc>
        <w:tc>
          <w:tcPr/>
          <w:p>
            <w:pPr>
              <w:pStyle w:val="Compact"/>
              <w:jc w:val="left"/>
            </w:pPr>
            <w:r>
              <w:t xml:space="preserve">711 personnes ; comprimé 14 mg vs liraglutide injectable 1,8 mg vs placebo</w:t>
            </w:r>
          </w:p>
        </w:tc>
        <w:tc>
          <w:tcPr/>
          <w:p>
            <w:pPr>
              <w:pStyle w:val="Compact"/>
              <w:jc w:val="left"/>
            </w:pPr>
            <w:r>
              <w:t xml:space="preserve">52 semaines (analyse principale à 26 semaines)</w:t>
            </w:r>
          </w:p>
        </w:tc>
        <w:tc>
          <w:tcPr/>
          <w:p>
            <w:pPr>
              <w:pStyle w:val="Compact"/>
              <w:jc w:val="left"/>
            </w:pPr>
            <w:r>
              <w:t xml:space="preserve">HbA1c −1,2 vs −1,1 (non inférieur) ; poids −4,4 vs −3,1 kg</w:t>
            </w:r>
          </w:p>
        </w:tc>
      </w:tr>
      <w:tr>
        <w:tc>
          <w:tcPr/>
          <w:p>
            <w:pPr>
              <w:pStyle w:val="Compact"/>
              <w:jc w:val="left"/>
            </w:pPr>
            <w:r>
              <w:t xml:space="preserve">STEP 8 (Rubino 2022), PMID 35015037</w:t>
            </w:r>
          </w:p>
        </w:tc>
        <w:tc>
          <w:tcPr/>
          <w:p>
            <w:pPr>
              <w:pStyle w:val="Compact"/>
              <w:jc w:val="left"/>
            </w:pPr>
            <w:r>
              <w:t xml:space="preserve">338 personnes obèses sans diabète ; 2,4 mg vs liraglutide 3,0 mg</w:t>
            </w:r>
          </w:p>
        </w:tc>
        <w:tc>
          <w:tcPr/>
          <w:p>
            <w:pPr>
              <w:pStyle w:val="Compact"/>
              <w:jc w:val="left"/>
            </w:pPr>
            <w:r>
              <w:t xml:space="preserve">68 semaines</w:t>
            </w:r>
          </w:p>
        </w:tc>
        <w:tc>
          <w:tcPr/>
          <w:p>
            <w:pPr>
              <w:pStyle w:val="Compact"/>
              <w:jc w:val="left"/>
            </w:pPr>
            <w:r>
              <w:t xml:space="preserve">poids −15,8 % vs −6,4 %</w:t>
            </w:r>
          </w:p>
        </w:tc>
      </w:tr>
    </w:tbl>
    <w:p>
      <w:pPr>
        <w:pStyle w:val="BodyText"/>
      </w:pPr>
      <w:r>
        <w:t xml:space="preserve">Les différences d’HbA1c se situent entre 0,1 et 0,7 point de pourcentage en faveur du sémaglutide, celles de poids entre 1,2 et environ 4 kg dans le diabète. L’écart était le plus net dans l’obésité : dans STEP 8</w:t>
      </w:r>
      <w:r>
        <w:rPr>
          <w:rStyle w:val="FootnoteReference"/>
        </w:rPr>
        <w:footnoteReference w:id="412"/>
      </w:r>
      <w:r>
        <w:t xml:space="preserve">, 38,5 % des participants sous sémaglutide ont perdu au moins 20 % de leur poids, contre 6,0 % sous liraglutide. Le prix à payer, dans certaines comparaisons, est un taux un peu plus élevé de troubles gastro-intestinaux : dans SUSTAIN 10, 11,4 % contre 6,6 % ont arrêté le traitement en raison d’effets indésirables</w:t>
      </w:r>
      <w:r>
        <w:rPr>
          <w:rStyle w:val="FootnoteReference"/>
        </w:rPr>
        <w:footnoteReference w:id="413"/>
      </w:r>
      <w:r>
        <w:t xml:space="preserve">. Dans SUSTAIN 3, en revanche, les réactions au point d’injection ont été bien plus fréquentes sous exénatide (22,0 % vs 1,2 %)</w:t>
      </w:r>
      <w:r>
        <w:rPr>
          <w:rStyle w:val="FootnoteReference"/>
        </w:rPr>
        <w:footnoteReference w:id="414"/>
      </w:r>
      <w:r>
        <w:t xml:space="preserve">.</w:t>
      </w:r>
    </w:p>
    <w:p>
      <w:pPr>
        <w:pStyle w:val="BodyText"/>
      </w:pPr>
      <w:r>
        <w:t xml:space="preserve">PIONEER 4</w:t>
      </w:r>
      <w:r>
        <w:rPr>
          <w:rStyle w:val="FootnoteReference"/>
        </w:rPr>
        <w:footnoteReference w:id="415"/>
      </w:r>
      <w:r>
        <w:t xml:space="preserve"> </w:t>
      </w:r>
      <w:r>
        <w:t xml:space="preserve">est remarquable parce qu’un comprimé y était opposé à une injection : pour l’HbA1c, le comprimé de sémaglutide n’était pas inférieur à l’injection de liraglutide ; pour le poids, il était supérieur de 1,2 kg.</w:t>
      </w:r>
    </w:p>
    <w:p>
      <w:pPr>
        <w:pStyle w:val="BodyText"/>
      </w:pPr>
      <w:r>
        <w:t xml:space="preserve">En dehors de la classe GLP-1, le sémaglutide a été à son tour dépassé : en comparaison directe avec le double agoniste GIP/GLP-1 tirzépatide chez 751 personnes obèses, la perte de poids après 72 semaines était de −13,7 % contre −20,2 %</w:t>
      </w:r>
      <w:r>
        <w:rPr>
          <w:rStyle w:val="FootnoteReference"/>
        </w:rPr>
        <w:footnoteReference w:id="416"/>
      </w:r>
      <w:r>
        <w:t xml:space="preserve">. Les détails figurent dans le chapitre Tirzépatide.</w:t>
      </w:r>
    </w:p>
    <w:bookmarkEnd w:id="417"/>
    <w:bookmarkStart w:id="421" w:name="Xd35abd54f2b4d613fbe00cd89128f66b8e43a5a"/>
    <w:p>
      <w:pPr>
        <w:pStyle w:val="Heading4"/>
      </w:pPr>
      <w:r>
        <w:t xml:space="preserve">Diabète de type 2 avec le comprimé : PIONEER et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PIONEER 1 (Aroda 2019), PMID 31186300</w:t>
            </w:r>
          </w:p>
        </w:tc>
        <w:tc>
          <w:tcPr/>
          <w:p>
            <w:pPr>
              <w:pStyle w:val="Compact"/>
              <w:jc w:val="left"/>
            </w:pPr>
            <w:r>
              <w:t xml:space="preserve">703 personnes, monothérapie ; 3/7/14 mg vs placebo</w:t>
            </w:r>
          </w:p>
        </w:tc>
        <w:tc>
          <w:tcPr/>
          <w:p>
            <w:pPr>
              <w:pStyle w:val="Compact"/>
              <w:jc w:val="left"/>
            </w:pPr>
            <w:r>
              <w:t xml:space="preserve">26 semaines</w:t>
            </w:r>
          </w:p>
        </w:tc>
        <w:tc>
          <w:tcPr/>
          <w:p>
            <w:pPr>
              <w:pStyle w:val="Compact"/>
              <w:jc w:val="left"/>
            </w:pPr>
            <w:r>
              <w:t xml:space="preserve">HbA1c −1,1 point de pourcentage (14 mg) par rapport au placebo ; poids −2,3 kg par rapport au placebo</w:t>
            </w:r>
          </w:p>
        </w:tc>
      </w:tr>
      <w:tr>
        <w:tc>
          <w:tcPr/>
          <w:p>
            <w:pPr>
              <w:pStyle w:val="Compact"/>
              <w:jc w:val="left"/>
            </w:pPr>
            <w:r>
              <w:t xml:space="preserve">PIONEER 6 (Husain 2019), PMID 31185157</w:t>
            </w:r>
          </w:p>
        </w:tc>
        <w:tc>
          <w:tcPr/>
          <w:p>
            <w:pPr>
              <w:pStyle w:val="Compact"/>
              <w:jc w:val="left"/>
            </w:pPr>
            <w:r>
              <w:t xml:space="preserve">3 183 personnes à haut risque ; vs placebo</w:t>
            </w:r>
          </w:p>
        </w:tc>
        <w:tc>
          <w:tcPr/>
          <w:p>
            <w:pPr>
              <w:pStyle w:val="Compact"/>
              <w:jc w:val="left"/>
            </w:pPr>
            <w:r>
              <w:t xml:space="preserve">médiane 15,9 mois</w:t>
            </w:r>
          </w:p>
        </w:tc>
        <w:tc>
          <w:tcPr/>
          <w:p>
            <w:pPr>
              <w:pStyle w:val="Compact"/>
              <w:jc w:val="left"/>
            </w:pPr>
            <w:r>
              <w:t xml:space="preserve">Événements 3,8 % vs 4,8 % ; HR 0,79, non inférieur</w:t>
            </w:r>
          </w:p>
        </w:tc>
      </w:tr>
      <w:tr>
        <w:tc>
          <w:tcPr/>
          <w:p>
            <w:pPr>
              <w:pStyle w:val="Compact"/>
              <w:jc w:val="left"/>
            </w:pPr>
            <w:r>
              <w:t xml:space="preserve">PIONEER PLUS (Aroda 2023), PMID 37385279</w:t>
            </w:r>
          </w:p>
        </w:tc>
        <w:tc>
          <w:tcPr/>
          <w:p>
            <w:pPr>
              <w:pStyle w:val="Compact"/>
              <w:jc w:val="left"/>
            </w:pPr>
            <w:r>
              <w:t xml:space="preserve">1 606 personnes ; 25 et 50 mg vs 14 mg</w:t>
            </w:r>
          </w:p>
        </w:tc>
        <w:tc>
          <w:tcPr/>
          <w:p>
            <w:pPr>
              <w:pStyle w:val="Compact"/>
              <w:jc w:val="left"/>
            </w:pPr>
            <w:r>
              <w:t xml:space="preserve">52 semaines</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9 650 personnes avec maladie vasculaire et/ou rénale ; vs placebo</w:t>
            </w:r>
          </w:p>
        </w:tc>
        <w:tc>
          <w:tcPr/>
          <w:p>
            <w:pPr>
              <w:pStyle w:val="Compact"/>
              <w:jc w:val="left"/>
            </w:pPr>
            <w:r>
              <w:t xml:space="preserve">médiane 49,5 mois</w:t>
            </w:r>
          </w:p>
        </w:tc>
        <w:tc>
          <w:tcPr/>
          <w:p>
            <w:pPr>
              <w:pStyle w:val="Compact"/>
              <w:jc w:val="left"/>
            </w:pPr>
            <w:r>
              <w:t xml:space="preserve">Événements 12,0 % vs 13,8 % ; HR 0,86 (0,77–0,96)</w:t>
            </w:r>
          </w:p>
        </w:tc>
      </w:tr>
    </w:tbl>
    <w:p>
      <w:pPr>
        <w:pStyle w:val="BodyText"/>
      </w:pPr>
      <w:r>
        <w:t xml:space="preserve">À la dose standard de 14 mg, le comprimé est un peu moins efficace que l’injection. PIONEER PLUS</w:t>
      </w:r>
      <w:r>
        <w:rPr>
          <w:rStyle w:val="FootnoteReference"/>
        </w:rPr>
        <w:footnoteReference w:id="418"/>
      </w:r>
      <w:r>
        <w:t xml:space="preserve"> </w:t>
      </w:r>
      <w:r>
        <w:t xml:space="preserve">a montré que des doses plus élevées réduisent l’écart. PIONEER 6</w:t>
      </w:r>
      <w:r>
        <w:rPr>
          <w:rStyle w:val="FootnoteReference"/>
        </w:rPr>
        <w:footnoteReference w:id="419"/>
      </w:r>
      <w:r>
        <w:t xml:space="preserve"> </w:t>
      </w:r>
      <w:r>
        <w:t xml:space="preserve">était une courte étude de sécurité ; elle a prouvé que le comprimé n’augmente pas le risque cardiovasculaire, mais était trop petite pour démontrer un bénéfice.</w:t>
      </w:r>
    </w:p>
    <w:p>
      <w:pPr>
        <w:pStyle w:val="BodyText"/>
      </w:pPr>
      <w:r>
        <w:t xml:space="preserve">C’est</w:t>
      </w:r>
      <w:r>
        <w:t xml:space="preserve"> </w:t>
      </w:r>
      <w:r>
        <w:rPr>
          <w:bCs/>
          <w:b/>
        </w:rPr>
        <w:t xml:space="preserve">SOUL</w:t>
      </w:r>
      <w:r>
        <w:rPr>
          <w:rStyle w:val="FootnoteReference"/>
        </w:rPr>
        <w:footnoteReference w:id="420"/>
      </w:r>
      <w:r>
        <w:t xml:space="preserve"> </w:t>
      </w:r>
      <w:r>
        <w:t xml:space="preserve">qui l’a apporté : chez 9 650 personnes atteintes de diabète de type 2 et de maladie vasculaire ou rénale, le comprimé de sémaglutide a réduit de 14 % les événements cardiovasculaires graves sur environ quatre ans. Les critères secondaires confirmatoires, dont les résultats rénaux, ne différaient pas significativement. Les événements indésirables graves n’étaient pas plus fréquents sous sémaglutide (47,9 % vs 50,3 %).</w:t>
      </w:r>
    </w:p>
    <w:bookmarkEnd w:id="421"/>
    <w:bookmarkStart w:id="427" w:name="obésité-avec-linjection-step"/>
    <w:p>
      <w:pPr>
        <w:pStyle w:val="Heading4"/>
      </w:pPr>
      <w:r>
        <w:t xml:space="preserve">Obésité avec l’injection : STEP</w:t>
      </w:r>
    </w:p>
    <w:p>
      <w:pPr>
        <w:pStyle w:val="FirstParagraph"/>
      </w:pPr>
      <w:r>
        <w:t xml:space="preserve">À la dose de 2,4 mg par semaine, le sémaglutide est devenu, sous le nom de Wegovy, le premier médicament avec lequel des personnes obèses ont perdu dans de grandes études environ 15 % de leur poids corporel en moyenne.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STEP 1 (Wilding 2021), PMID 33567185</w:t>
            </w:r>
          </w:p>
        </w:tc>
        <w:tc>
          <w:tcPr/>
          <w:p>
            <w:pPr>
              <w:pStyle w:val="Compact"/>
              <w:jc w:val="left"/>
            </w:pPr>
            <w:r>
              <w:t xml:space="preserve">1 961 adultes obèses sans diabète, ECR contre placebo</w:t>
            </w:r>
          </w:p>
        </w:tc>
        <w:tc>
          <w:tcPr/>
          <w:p>
            <w:pPr>
              <w:pStyle w:val="Compact"/>
              <w:jc w:val="left"/>
            </w:pPr>
            <w:r>
              <w:t xml:space="preserve">68 semaines</w:t>
            </w:r>
          </w:p>
        </w:tc>
        <w:tc>
          <w:tcPr/>
          <w:p>
            <w:pPr>
              <w:pStyle w:val="Compact"/>
              <w:jc w:val="left"/>
            </w:pPr>
            <w:r>
              <w:t xml:space="preserve">−14,9 % de poids corporel vs −2,4 %</w:t>
            </w:r>
          </w:p>
        </w:tc>
      </w:tr>
      <w:tr>
        <w:tc>
          <w:tcPr/>
          <w:p>
            <w:pPr>
              <w:pStyle w:val="Compact"/>
              <w:jc w:val="left"/>
            </w:pPr>
            <w:r>
              <w:t xml:space="preserve">STEP 2 (Davies 2021), PMID 33667417</w:t>
            </w:r>
          </w:p>
        </w:tc>
        <w:tc>
          <w:tcPr/>
          <w:p>
            <w:pPr>
              <w:pStyle w:val="Compact"/>
              <w:jc w:val="left"/>
            </w:pPr>
            <w:r>
              <w:t xml:space="preserve">1 210 personnes en surpoids atteintes de diabète de type 2</w:t>
            </w:r>
          </w:p>
        </w:tc>
        <w:tc>
          <w:tcPr/>
          <w:p>
            <w:pPr>
              <w:pStyle w:val="Compact"/>
              <w:jc w:val="left"/>
            </w:pPr>
            <w:r>
              <w:t xml:space="preserve">68 semaines</w:t>
            </w:r>
          </w:p>
        </w:tc>
        <w:tc>
          <w:tcPr/>
          <w:p>
            <w:pPr>
              <w:pStyle w:val="Compact"/>
              <w:jc w:val="left"/>
            </w:pPr>
            <w:r>
              <w:t xml:space="preserve">−9,6 % vs −3,4 %</w:t>
            </w:r>
          </w:p>
        </w:tc>
      </w:tr>
      <w:tr>
        <w:tc>
          <w:tcPr/>
          <w:p>
            <w:pPr>
              <w:pStyle w:val="Compact"/>
              <w:jc w:val="left"/>
            </w:pPr>
            <w:r>
              <w:t xml:space="preserve">STEP 3 (Wadden 2021), PMID 33625476</w:t>
            </w:r>
          </w:p>
        </w:tc>
        <w:tc>
          <w:tcPr/>
          <w:p>
            <w:pPr>
              <w:pStyle w:val="Compact"/>
              <w:jc w:val="left"/>
            </w:pPr>
            <w:r>
              <w:t xml:space="preserve">611 personnes, avec en plus une thérapie comportementale intensive</w:t>
            </w:r>
          </w:p>
        </w:tc>
        <w:tc>
          <w:tcPr/>
          <w:p>
            <w:pPr>
              <w:pStyle w:val="Compact"/>
              <w:jc w:val="left"/>
            </w:pPr>
            <w:r>
              <w:t xml:space="preserve">68 semaines</w:t>
            </w:r>
          </w:p>
        </w:tc>
        <w:tc>
          <w:tcPr/>
          <w:p>
            <w:pPr>
              <w:pStyle w:val="Compact"/>
              <w:jc w:val="left"/>
            </w:pPr>
            <w:r>
              <w:t xml:space="preserve">−16,0 % vs −5,7 %</w:t>
            </w:r>
          </w:p>
        </w:tc>
      </w:tr>
      <w:tr>
        <w:tc>
          <w:tcPr/>
          <w:p>
            <w:pPr>
              <w:pStyle w:val="Compact"/>
              <w:jc w:val="left"/>
            </w:pPr>
            <w:r>
              <w:t xml:space="preserve">STEP 4 (Rubino 2021), PMID 33755728</w:t>
            </w:r>
          </w:p>
        </w:tc>
        <w:tc>
          <w:tcPr/>
          <w:p>
            <w:pPr>
              <w:pStyle w:val="Compact"/>
              <w:jc w:val="left"/>
            </w:pPr>
            <w:r>
              <w:t xml:space="preserve">803 personnes après 20 semaines de sémaglutide : poursuite ou passage au placebo</w:t>
            </w:r>
          </w:p>
        </w:tc>
        <w:tc>
          <w:tcPr/>
          <w:p>
            <w:pPr>
              <w:pStyle w:val="Compact"/>
              <w:jc w:val="left"/>
            </w:pPr>
            <w:r>
              <w:t xml:space="preserve">48 semaines</w:t>
            </w:r>
          </w:p>
        </w:tc>
        <w:tc>
          <w:tcPr/>
          <w:p>
            <w:pPr>
              <w:pStyle w:val="Compact"/>
              <w:jc w:val="left"/>
            </w:pPr>
            <w:r>
              <w:t xml:space="preserve">−7,9 % (poursuite) vs +6,9 % (arrêt)</w:t>
            </w:r>
          </w:p>
        </w:tc>
      </w:tr>
      <w:tr>
        <w:tc>
          <w:tcPr/>
          <w:p>
            <w:pPr>
              <w:pStyle w:val="Compact"/>
              <w:jc w:val="left"/>
            </w:pPr>
            <w:r>
              <w:t xml:space="preserve">STEP 5 (Garvey 2022), PMID 36216945</w:t>
            </w:r>
          </w:p>
        </w:tc>
        <w:tc>
          <w:tcPr/>
          <w:p>
            <w:pPr>
              <w:pStyle w:val="Compact"/>
              <w:jc w:val="left"/>
            </w:pPr>
            <w:r>
              <w:t xml:space="preserve">304 personnes</w:t>
            </w:r>
          </w:p>
        </w:tc>
        <w:tc>
          <w:tcPr/>
          <w:p>
            <w:pPr>
              <w:pStyle w:val="Compact"/>
              <w:jc w:val="left"/>
            </w:pPr>
            <w:r>
              <w:t xml:space="preserve">104 semaines</w:t>
            </w:r>
          </w:p>
        </w:tc>
        <w:tc>
          <w:tcPr/>
          <w:p>
            <w:pPr>
              <w:pStyle w:val="Compact"/>
              <w:jc w:val="left"/>
            </w:pPr>
            <w:r>
              <w:t xml:space="preserve">−15,2 % vs −2,6 %</w:t>
            </w:r>
          </w:p>
        </w:tc>
      </w:tr>
      <w:tr>
        <w:tc>
          <w:tcPr/>
          <w:p>
            <w:pPr>
              <w:pStyle w:val="Compact"/>
              <w:jc w:val="left"/>
            </w:pPr>
            <w:r>
              <w:t xml:space="preserve">STEP 6 (Kadowaki 2022), PMID 35131037</w:t>
            </w:r>
          </w:p>
        </w:tc>
        <w:tc>
          <w:tcPr/>
          <w:p>
            <w:pPr>
              <w:pStyle w:val="Compact"/>
              <w:jc w:val="left"/>
            </w:pPr>
            <w:r>
              <w:t xml:space="preserve">401 personnes en Asie de l’Est</w:t>
            </w:r>
          </w:p>
        </w:tc>
        <w:tc>
          <w:tcPr/>
          <w:p>
            <w:pPr>
              <w:pStyle w:val="Compact"/>
              <w:jc w:val="left"/>
            </w:pPr>
            <w:r>
              <w:t xml:space="preserve">68 semaines</w:t>
            </w:r>
          </w:p>
        </w:tc>
        <w:tc>
          <w:tcPr/>
          <w:p>
            <w:pPr>
              <w:pStyle w:val="Compact"/>
              <w:jc w:val="left"/>
            </w:pPr>
            <w:r>
              <w:t xml:space="preserve">−13,2 % vs −2,1 %</w:t>
            </w:r>
          </w:p>
        </w:tc>
      </w:tr>
      <w:tr>
        <w:tc>
          <w:tcPr/>
          <w:p>
            <w:pPr>
              <w:pStyle w:val="Compact"/>
              <w:jc w:val="left"/>
            </w:pPr>
            <w:r>
              <w:t xml:space="preserve">STEP UP (Wharton 2025), PMID 40961952</w:t>
            </w:r>
          </w:p>
        </w:tc>
        <w:tc>
          <w:tcPr/>
          <w:p>
            <w:pPr>
              <w:pStyle w:val="Compact"/>
              <w:jc w:val="left"/>
            </w:pPr>
            <w:r>
              <w:t xml:space="preserve">1 407 personnes ; 7,2 mg vs 2,4 mg vs placebo</w:t>
            </w:r>
          </w:p>
        </w:tc>
        <w:tc>
          <w:tcPr/>
          <w:p>
            <w:pPr>
              <w:pStyle w:val="Compact"/>
              <w:jc w:val="left"/>
            </w:pPr>
            <w:r>
              <w:t xml:space="preserve">72 semaines</w:t>
            </w:r>
          </w:p>
        </w:tc>
        <w:tc>
          <w:tcPr/>
          <w:p>
            <w:pPr>
              <w:pStyle w:val="Compact"/>
              <w:jc w:val="left"/>
            </w:pPr>
            <w:r>
              <w:t xml:space="preserve">−18,7 % vs −15,6 % vs −3,9 %</w:t>
            </w:r>
          </w:p>
        </w:tc>
      </w:tr>
    </w:tbl>
    <w:p>
      <w:pPr>
        <w:pStyle w:val="BodyText"/>
      </w:pPr>
      <w:r>
        <w:t xml:space="preserve">Dans</w:t>
      </w:r>
      <w:r>
        <w:t xml:space="preserve"> </w:t>
      </w:r>
      <w:r>
        <w:rPr>
          <w:bCs/>
          <w:b/>
        </w:rPr>
        <w:t xml:space="preserve">STEP 1</w:t>
      </w:r>
      <w:r>
        <w:rPr>
          <w:rStyle w:val="FootnoteReference"/>
        </w:rPr>
        <w:footnoteReference w:id="422"/>
      </w:r>
      <w:r>
        <w:t xml:space="preserve">, les participants ont perdu en moyenne 15,3 kg, contre 2,6 kg sous placebo. La moitié (50,5 %) a perdu au moins 15 % de son poids. En raison de troubles gastro-intestinaux, 4,5 % ont arrêté le traitement, contre 0,8 % sous placebo.</w:t>
      </w:r>
    </w:p>
    <w:p>
      <w:pPr>
        <w:pStyle w:val="BodyText"/>
      </w:pPr>
      <w:r>
        <w:t xml:space="preserve">Chez les personnes atteintes de diabète de type 2, la perte était plus faible (STEP 2, Davies 2021, PMID 33667417) – un schéma qui se retrouve avec toutes les substances de cette classe. Dans</w:t>
      </w:r>
      <w:r>
        <w:t xml:space="preserve"> </w:t>
      </w:r>
      <w:r>
        <w:rPr>
          <w:bCs/>
          <w:b/>
        </w:rPr>
        <w:t xml:space="preserve">STEP 5</w:t>
      </w:r>
      <w:r>
        <w:rPr>
          <w:rStyle w:val="FootnoteReference"/>
        </w:rPr>
        <w:footnoteReference w:id="423"/>
      </w:r>
      <w:r>
        <w:t xml:space="preserve">, l’effet est resté stable sur deux ans.</w:t>
      </w:r>
    </w:p>
    <w:p>
      <w:pPr>
        <w:pStyle w:val="BodyText"/>
      </w:pPr>
      <w:r>
        <w:rPr>
          <w:bCs/>
          <w:b/>
        </w:rPr>
        <w:t xml:space="preserve">Que se passe-t-il après l’arrêt ?</w:t>
      </w:r>
      <w:r>
        <w:t xml:space="preserve"> </w:t>
      </w:r>
      <w:r>
        <w:t xml:space="preserve">Cette question est centrale pour la pratique. Dans STEP 4</w:t>
      </w:r>
      <w:r>
        <w:rPr>
          <w:rStyle w:val="FootnoteReference"/>
        </w:rPr>
        <w:footnoteReference w:id="424"/>
      </w:r>
      <w:r>
        <w:t xml:space="preserve">, tous les participants ont d’abord reçu 20 semaines de sémaglutide et avaient perdu en moyenne 10,6 %. Ceux qui sont ensuite passés au placebo ont repris 6,9 % au cours des 48 semaines suivantes ; ceux qui ont poursuivi le traitement ont perdu 7,9 % supplémentaires. Dans la prolongation de STEP 1</w:t>
      </w:r>
      <w:r>
        <w:rPr>
          <w:rStyle w:val="FootnoteReference"/>
        </w:rPr>
        <w:footnoteReference w:id="425"/>
      </w:r>
      <w:r>
        <w:t xml:space="preserve">, les participants avaient, un an après l’arrêt, repris environ les deux tiers du poids perdu ; la pression artérielle, les lipides sanguins et la glycémie se rapprochaient également à nouveau des valeurs initiales. Les autrices et auteurs en concluent que l’obésité est une maladie chronique et que le traitement devrait probablement être permanent.</w:t>
      </w:r>
    </w:p>
    <w:p>
      <w:pPr>
        <w:pStyle w:val="BodyText"/>
      </w:pPr>
      <w:r>
        <w:rPr>
          <w:bCs/>
          <w:b/>
        </w:rPr>
        <w:t xml:space="preserve">Dose plus élevée :</w:t>
      </w:r>
      <w:r>
        <w:t xml:space="preserve"> </w:t>
      </w:r>
      <w:r>
        <w:t xml:space="preserve">dans STEP UP</w:t>
      </w:r>
      <w:r>
        <w:rPr>
          <w:rStyle w:val="FootnoteReference"/>
        </w:rPr>
        <w:footnoteReference w:id="426"/>
      </w:r>
      <w:r>
        <w:t xml:space="preserve">, la dose triple de 7,2 mg a entraîné une perte de poids de 18,7 %. Les troubles gastro-intestinaux étaient plus fréquents (70,8 % vs 61,2 % sous 2,4 mg), et 22,9 % ont signalé des sensations cutanées anormales (dysesthésie), contre 6,0 % sous 2,4 mg.</w:t>
      </w:r>
    </w:p>
    <w:bookmarkEnd w:id="427"/>
    <w:bookmarkStart w:id="429" w:name="obésité-avec-le-comprimé-oasis"/>
    <w:p>
      <w:pPr>
        <w:pStyle w:val="Heading4"/>
      </w:pPr>
      <w:r>
        <w:t xml:space="preserve">Obésité avec le comprimé :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OASIS 1 (Knop 2023), PMID 37385278</w:t>
            </w:r>
          </w:p>
        </w:tc>
        <w:tc>
          <w:tcPr/>
          <w:p>
            <w:pPr>
              <w:pStyle w:val="Compact"/>
              <w:jc w:val="left"/>
            </w:pPr>
            <w:r>
              <w:t xml:space="preserve">667 personnes obèses sans diabète ; 50 mg par jour vs placebo</w:t>
            </w:r>
          </w:p>
        </w:tc>
        <w:tc>
          <w:tcPr/>
          <w:p>
            <w:pPr>
              <w:pStyle w:val="Compact"/>
              <w:jc w:val="left"/>
            </w:pPr>
            <w:r>
              <w:t xml:space="preserve">68 semaines</w:t>
            </w:r>
          </w:p>
        </w:tc>
        <w:tc>
          <w:tcPr/>
          <w:p>
            <w:pPr>
              <w:pStyle w:val="Compact"/>
              <w:jc w:val="left"/>
            </w:pPr>
            <w:r>
              <w:t xml:space="preserve">−15,1 % vs −2,4 %</w:t>
            </w:r>
          </w:p>
        </w:tc>
      </w:tr>
      <w:tr>
        <w:tc>
          <w:tcPr/>
          <w:p>
            <w:pPr>
              <w:pStyle w:val="Compact"/>
              <w:jc w:val="left"/>
            </w:pPr>
            <w:r>
              <w:t xml:space="preserve">OASIS 4 (Wharton 2025), PMID 40934115</w:t>
            </w:r>
          </w:p>
        </w:tc>
        <w:tc>
          <w:tcPr/>
          <w:p>
            <w:pPr>
              <w:pStyle w:val="Compact"/>
              <w:jc w:val="left"/>
            </w:pPr>
            <w:r>
              <w:t xml:space="preserve">307 personnes ; 25 mg par jour vs placebo</w:t>
            </w:r>
          </w:p>
        </w:tc>
        <w:tc>
          <w:tcPr/>
          <w:p>
            <w:pPr>
              <w:pStyle w:val="Compact"/>
              <w:jc w:val="left"/>
            </w:pPr>
            <w:r>
              <w:t xml:space="preserve">64 semaines</w:t>
            </w:r>
          </w:p>
        </w:tc>
        <w:tc>
          <w:tcPr/>
          <w:p>
            <w:pPr>
              <w:pStyle w:val="Compact"/>
              <w:jc w:val="left"/>
            </w:pPr>
            <w:r>
              <w:t xml:space="preserve">−13,6 % vs −2,2 %</w:t>
            </w:r>
          </w:p>
        </w:tc>
      </w:tr>
    </w:tbl>
    <w:p>
      <w:pPr>
        <w:pStyle w:val="BodyText"/>
      </w:pPr>
      <w:r>
        <w:t xml:space="preserve">Dans ces études, les comprimés ont atteint des valeurs similaires à celles de l’injection dans STEP 1</w:t>
      </w:r>
      <w:r>
        <w:rPr>
          <w:rStyle w:val="FootnoteReference"/>
        </w:rPr>
        <w:footnoteReference w:id="428"/>
      </w:r>
      <w:r>
        <w:t xml:space="preserve">. Des troubles gastro-intestinaux sont survenus chez 74 % à 80 % des participants. Le comprimé de 25 mg d’OASIS 4 est la base du comprimé de Wegovy autorisé aux États-Unis. Une comparaison directe avec l’injection dans une grande étude fait jusqu’ici défaut.</w:t>
      </w:r>
    </w:p>
    <w:bookmarkEnd w:id="429"/>
    <w:bookmarkStart w:id="432" w:name="enfants-et-adolescents-2"/>
    <w:p>
      <w:pPr>
        <w:pStyle w:val="Heading4"/>
      </w:pPr>
      <w:r>
        <w:t xml:space="preserve">Enfants et adolescents</w:t>
      </w:r>
    </w:p>
    <w:p>
      <w:pPr>
        <w:pStyle w:val="FirstParagraph"/>
      </w:pPr>
      <w:r>
        <w:t xml:space="preserve">Dans</w:t>
      </w:r>
      <w:r>
        <w:t xml:space="preserve"> </w:t>
      </w:r>
      <w:r>
        <w:rPr>
          <w:bCs/>
          <w:b/>
        </w:rPr>
        <w:t xml:space="preserve">STEP TEENS</w:t>
      </w:r>
      <w:r>
        <w:t xml:space="preserve">, portant sur 201 adolescents obèses, l’indice de masse corporelle (IMC) a baissé de 16,1 % après 68 semaines, tandis qu’il a augmenté de 0,6 % sous placebo</w:t>
      </w:r>
      <w:r>
        <w:rPr>
          <w:rStyle w:val="FootnoteReference"/>
        </w:rPr>
        <w:footnoteReference w:id="430"/>
      </w:r>
      <w:r>
        <w:t xml:space="preserve">. 73 % ont perdu au moins 5 % de leur poids, contre 18 % sous placebo. Cinq adolescents (4 %) sous sémaglutide ont développé des calculs biliaires, aucun sous placebo. Une étude chez des enfants à partir de 6 ans est en cours</w:t>
      </w:r>
      <w:r>
        <w:rPr>
          <w:rStyle w:val="FootnoteReference"/>
        </w:rPr>
        <w:footnoteReference w:id="431"/>
      </w:r>
      <w:r>
        <w:t xml:space="preserve">.</w:t>
      </w:r>
    </w:p>
    <w:bookmarkEnd w:id="432"/>
    <w:bookmarkStart w:id="434" w:name="X59a22d066a6a64141faa5bfd3e3379b18d41295"/>
    <w:p>
      <w:pPr>
        <w:pStyle w:val="Heading4"/>
      </w:pPr>
      <w:r>
        <w:t xml:space="preserve">SELECT : protection cardiaque même sans diabète</w:t>
      </w:r>
    </w:p>
    <w:p>
      <w:pPr>
        <w:pStyle w:val="FirstParagraph"/>
      </w:pPr>
      <w:r>
        <w:t xml:space="preserve">SELECT a été une étape majeure, car elle a montré pour la première fois qu’un médicament amaigrissant réduit les infarctus, les AVC et les décès cardiovasculaires chez des personnes sans diabète.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SELECT (Lincoff 2023), PMID 37952131</w:t>
            </w:r>
          </w:p>
        </w:tc>
        <w:tc>
          <w:tcPr/>
          <w:p>
            <w:pPr>
              <w:pStyle w:val="Compact"/>
              <w:jc w:val="left"/>
            </w:pPr>
            <w:r>
              <w:t xml:space="preserve">17 604 personnes en surpoids ou obèses atteintes d’une maladie cardiovasculaire, sans diabète ; 2,4 mg vs placebo</w:t>
            </w:r>
          </w:p>
        </w:tc>
        <w:tc>
          <w:tcPr/>
          <w:p>
            <w:pPr>
              <w:pStyle w:val="Compact"/>
              <w:jc w:val="left"/>
            </w:pPr>
            <w:r>
              <w:t xml:space="preserve">suivi moyen 39,8 mois</w:t>
            </w:r>
          </w:p>
        </w:tc>
        <w:tc>
          <w:tcPr/>
          <w:p>
            <w:pPr>
              <w:pStyle w:val="Compact"/>
              <w:jc w:val="left"/>
            </w:pPr>
            <w:r>
              <w:t xml:space="preserve">Événements cardiovasculaires graves 6,5 % vs 8,0 % ; HR 0,80 (0,72–0,90)</w:t>
            </w:r>
          </w:p>
        </w:tc>
      </w:tr>
    </w:tbl>
    <w:p>
      <w:pPr>
        <w:pStyle w:val="BodyText"/>
      </w:pPr>
      <w:r>
        <w:t xml:space="preserve">La réduction relative du risque était de 20 %</w:t>
      </w:r>
      <w:r>
        <w:rPr>
          <w:rStyle w:val="FootnoteReference"/>
        </w:rPr>
        <w:footnoteReference w:id="433"/>
      </w:r>
      <w:r>
        <w:t xml:space="preserve">. En chiffres absolus, sur un peu plus de trois ans, environ 1,5 personne traitée sur cent a eu un tel événement de moins. Le taux d’abandon élevé était frappant : 16,6 % ont arrêté définitivement le traitement en raison d’effets indésirables, contre 8,2 % sous placebo. Que le bénéfice repose uniquement sur la perte de poids ou aussi sur des effets directs sur les vaisseaux et l’inflammation n’est pas définitivement établi.</w:t>
      </w:r>
    </w:p>
    <w:bookmarkEnd w:id="434"/>
    <w:bookmarkStart w:id="436" w:name="flow-protection-des-reins"/>
    <w:p>
      <w:pPr>
        <w:pStyle w:val="Heading4"/>
      </w:pPr>
      <w:r>
        <w:t xml:space="preserve">FLOW : protection des reins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FLOW (Perkovic 2024), PMID 38785209</w:t>
            </w:r>
          </w:p>
        </w:tc>
        <w:tc>
          <w:tcPr/>
          <w:p>
            <w:pPr>
              <w:pStyle w:val="Compact"/>
              <w:jc w:val="left"/>
            </w:pPr>
            <w:r>
              <w:t xml:space="preserve">3 533 personnes atteintes de diabète de type 2 et de maladie rénale chronique ; 1,0 mg vs placebo</w:t>
            </w:r>
          </w:p>
        </w:tc>
        <w:tc>
          <w:tcPr/>
          <w:p>
            <w:pPr>
              <w:pStyle w:val="Compact"/>
              <w:jc w:val="left"/>
            </w:pPr>
            <w:r>
              <w:t xml:space="preserve">médiane 3,4 ans (arrêtée prématurément pour efficacité)</w:t>
            </w:r>
          </w:p>
        </w:tc>
        <w:tc>
          <w:tcPr/>
          <w:p>
            <w:pPr>
              <w:pStyle w:val="Compact"/>
              <w:jc w:val="left"/>
            </w:pPr>
            <w:r>
              <w:t xml:space="preserve">Critère rénal 331 vs 410 événements ; HR 0,76 ; mortalité totale HR 0,80</w:t>
            </w:r>
          </w:p>
        </w:tc>
      </w:tr>
    </w:tbl>
    <w:p>
      <w:pPr>
        <w:pStyle w:val="BodyText"/>
      </w:pPr>
      <w:r>
        <w:t xml:space="preserve">FLOW</w:t>
      </w:r>
      <w:r>
        <w:rPr>
          <w:rStyle w:val="FootnoteReference"/>
        </w:rPr>
        <w:footnoteReference w:id="435"/>
      </w:r>
      <w:r>
        <w:t xml:space="preserve"> </w:t>
      </w:r>
      <w:r>
        <w:t xml:space="preserve">a été la première grande étude avec un agoniste du récepteur du GLP-1 dont l’objectif principal était un critère rénal dur – insuffisance rénale, perte de fonction importante ou décès de cause rénale ou cardiovasculaire. Elle a été arrêtée prématurément après une analyse intermédiaire en raison d’une efficacité manifeste. La perte annuelle de fonction rénale (DFGe) était inférieure de 1,16 ml/min pour 1,73 m² sous sémaglutide. Les événements cardiovasculaires (HR 0,82) et la mortalité totale (HR 0,80) étaient également réduits.</w:t>
      </w:r>
    </w:p>
    <w:bookmarkEnd w:id="436"/>
    <w:bookmarkStart w:id="442" w:name="X01d529606445eee5b4b92b02cfe4851621b000e"/>
    <w:p>
      <w:pPr>
        <w:pStyle w:val="Heading4"/>
      </w:pPr>
      <w:r>
        <w:t xml:space="preserve">Autres organes : foie, insuffisance cardiaque, vaisseaux, articulations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ESSENCE (Sanyal 2025), PMID 40305708</w:t>
            </w:r>
          </w:p>
        </w:tc>
        <w:tc>
          <w:tcPr/>
          <w:p>
            <w:pPr>
              <w:pStyle w:val="Compact"/>
              <w:jc w:val="left"/>
            </w:pPr>
            <w:r>
              <w:t xml:space="preserve">1 197 personnes atteintes de stéatohépatite (MASH) avec fibrose de stade 2–3 ; analyse intermédiaire des 800 premières</w:t>
            </w:r>
          </w:p>
        </w:tc>
        <w:tc>
          <w:tcPr/>
          <w:p>
            <w:pPr>
              <w:pStyle w:val="Compact"/>
              <w:jc w:val="left"/>
            </w:pPr>
            <w:r>
              <w:t xml:space="preserve">72 semaines (première partie)</w:t>
            </w:r>
          </w:p>
        </w:tc>
        <w:tc>
          <w:tcPr/>
          <w:p>
            <w:pPr>
              <w:pStyle w:val="Compact"/>
              <w:jc w:val="left"/>
            </w:pPr>
            <w:r>
              <w:t xml:space="preserve">Régression de l’inflammation 62,9 % vs 34,3 % ; moins de fibrose 36,8 % vs 22,4 %</w:t>
            </w:r>
          </w:p>
        </w:tc>
      </w:tr>
      <w:tr>
        <w:tc>
          <w:tcPr/>
          <w:p>
            <w:pPr>
              <w:pStyle w:val="Compact"/>
              <w:jc w:val="left"/>
            </w:pPr>
            <w:r>
              <w:t xml:space="preserve">STEP-HFpEF (Kosiborod 2023), PMID 37622681</w:t>
            </w:r>
          </w:p>
        </w:tc>
        <w:tc>
          <w:tcPr/>
          <w:p>
            <w:pPr>
              <w:pStyle w:val="Compact"/>
              <w:jc w:val="left"/>
            </w:pPr>
            <w:r>
              <w:t xml:space="preserve">529 personnes atteintes d’insuffisance cardiaque à fraction d’éjection préservée et d’obésité ; 2,4 mg vs placebo</w:t>
            </w:r>
          </w:p>
        </w:tc>
        <w:tc>
          <w:tcPr/>
          <w:p>
            <w:pPr>
              <w:pStyle w:val="Compact"/>
              <w:jc w:val="left"/>
            </w:pPr>
            <w:r>
              <w:t xml:space="preserve">52 semaines</w:t>
            </w:r>
          </w:p>
        </w:tc>
        <w:tc>
          <w:tcPr/>
          <w:p>
            <w:pPr>
              <w:pStyle w:val="Compact"/>
              <w:jc w:val="left"/>
            </w:pPr>
            <w:r>
              <w:t xml:space="preserve">Score de symptômes +16,6 vs +8,7 points ; distance de marche +21,5 vs +1,2 m</w:t>
            </w:r>
          </w:p>
        </w:tc>
      </w:tr>
      <w:tr>
        <w:tc>
          <w:tcPr/>
          <w:p>
            <w:pPr>
              <w:pStyle w:val="Compact"/>
              <w:jc w:val="left"/>
            </w:pPr>
            <w:r>
              <w:t xml:space="preserve">STRIDE (Bonaca 2025), PMID 40169145</w:t>
            </w:r>
          </w:p>
        </w:tc>
        <w:tc>
          <w:tcPr/>
          <w:p>
            <w:pPr>
              <w:pStyle w:val="Compact"/>
              <w:jc w:val="left"/>
            </w:pPr>
            <w:r>
              <w:t xml:space="preserve">792 personnes atteintes d’artériopathie des membres inférieurs et de diabète de type 2 ; 1,0 mg vs placebo</w:t>
            </w:r>
          </w:p>
        </w:tc>
        <w:tc>
          <w:tcPr/>
          <w:p>
            <w:pPr>
              <w:pStyle w:val="Compact"/>
              <w:jc w:val="left"/>
            </w:pPr>
            <w:r>
              <w:t xml:space="preserve">52 semaines</w:t>
            </w:r>
          </w:p>
        </w:tc>
        <w:tc>
          <w:tcPr/>
          <w:p>
            <w:pPr>
              <w:pStyle w:val="Compact"/>
              <w:jc w:val="left"/>
            </w:pPr>
            <w:r>
              <w:t xml:space="preserve">distance de marche maximale améliorée de 13 % de plus</w:t>
            </w:r>
          </w:p>
        </w:tc>
      </w:tr>
      <w:tr>
        <w:tc>
          <w:tcPr/>
          <w:p>
            <w:pPr>
              <w:pStyle w:val="Compact"/>
              <w:jc w:val="left"/>
            </w:pPr>
            <w:r>
              <w:t xml:space="preserve">STEP 9 (Bliddal 2024), PMID 39476339</w:t>
            </w:r>
          </w:p>
        </w:tc>
        <w:tc>
          <w:tcPr/>
          <w:p>
            <w:pPr>
              <w:pStyle w:val="Compact"/>
              <w:jc w:val="left"/>
            </w:pPr>
            <w:r>
              <w:t xml:space="preserve">407 personnes obèses atteintes d’arthrose du genou</w:t>
            </w:r>
          </w:p>
        </w:tc>
        <w:tc>
          <w:tcPr/>
          <w:p>
            <w:pPr>
              <w:pStyle w:val="Compact"/>
              <w:jc w:val="left"/>
            </w:pPr>
            <w:r>
              <w:t xml:space="preserve">68 semaines</w:t>
            </w:r>
          </w:p>
        </w:tc>
        <w:tc>
          <w:tcPr/>
          <w:p>
            <w:pPr>
              <w:pStyle w:val="Compact"/>
              <w:jc w:val="left"/>
            </w:pPr>
            <w:r>
              <w:t xml:space="preserve">Score de douleur −41,7 vs −27,5 points ; poids −13,7 % vs −3,2 %</w:t>
            </w:r>
          </w:p>
        </w:tc>
      </w:tr>
    </w:tbl>
    <w:p>
      <w:pPr>
        <w:pStyle w:val="BodyText"/>
      </w:pPr>
      <w:r>
        <w:rPr>
          <w:bCs/>
          <w:b/>
        </w:rPr>
        <w:t xml:space="preserve">Foie :</w:t>
      </w:r>
      <w:r>
        <w:t xml:space="preserve"> </w:t>
      </w:r>
      <w:r>
        <w:t xml:space="preserve">dans ESSENCE</w:t>
      </w:r>
      <w:r>
        <w:rPr>
          <w:rStyle w:val="FootnoteReference"/>
        </w:rPr>
        <w:footnoteReference w:id="437"/>
      </w:r>
      <w:r>
        <w:t xml:space="preserve">, la stéatohépatite a régressé à la biopsie chez près des deux tiers des personnes traitées, sans aggravation de la cicatrisation. Une réduction de la fibrose – l’objectif cliniquement le plus important – a été obtenue chez 36,8 % contre 22,4 %. La seconde partie de l’étude, avec des critères hépatiques durs comme la cirrhose, se poursuit jusqu’en 2029</w:t>
      </w:r>
      <w:r>
        <w:rPr>
          <w:rStyle w:val="FootnoteReference"/>
        </w:rPr>
        <w:footnoteReference w:id="438"/>
      </w:r>
      <w:r>
        <w:t xml:space="preserve">.</w:t>
      </w:r>
    </w:p>
    <w:p>
      <w:pPr>
        <w:pStyle w:val="BodyText"/>
      </w:pPr>
      <w:r>
        <w:rPr>
          <w:bCs/>
          <w:b/>
        </w:rPr>
        <w:t xml:space="preserve">Insuffisance cardiaque :</w:t>
      </w:r>
      <w:r>
        <w:t xml:space="preserve"> </w:t>
      </w:r>
      <w:r>
        <w:t xml:space="preserve">dans l’insuffisance cardiaque à fraction d’éjection préservée associée à l’obésité, les symptômes et la capacité d’effort se sont nettement améliorés</w:t>
      </w:r>
      <w:r>
        <w:rPr>
          <w:rStyle w:val="FootnoteReference"/>
        </w:rPr>
        <w:footnoteReference w:id="439"/>
      </w:r>
      <w:r>
        <w:t xml:space="preserve">. Les événements indésirables graves étaient plus rares sous sémaglutide (13,3 % vs 26,7 %). Savoir si le sémaglutide réduit aussi les hospitalisations ou les décès par insuffisance cardiaque n’était pas l’objectif principal de cette étude.</w:t>
      </w:r>
    </w:p>
    <w:p>
      <w:pPr>
        <w:pStyle w:val="BodyText"/>
      </w:pPr>
      <w:r>
        <w:rPr>
          <w:bCs/>
          <w:b/>
        </w:rPr>
        <w:t xml:space="preserve">Artériopathie des membres inférieurs :</w:t>
      </w:r>
      <w:r>
        <w:t xml:space="preserve"> </w:t>
      </w:r>
      <w:r>
        <w:t xml:space="preserve">dans cette maladie artérielle périphérique occlusive, le sémaglutide a allongé la distance de marche maximale</w:t>
      </w:r>
      <w:r>
        <w:rPr>
          <w:rStyle w:val="FootnoteReference"/>
        </w:rPr>
        <w:footnoteReference w:id="440"/>
      </w:r>
      <w:r>
        <w:t xml:space="preserve">.</w:t>
      </w:r>
    </w:p>
    <w:p>
      <w:pPr>
        <w:pStyle w:val="BodyText"/>
      </w:pPr>
      <w:r>
        <w:rPr>
          <w:bCs/>
          <w:b/>
        </w:rPr>
        <w:t xml:space="preserve">Arthrose du genou :</w:t>
      </w:r>
      <w:r>
        <w:t xml:space="preserve"> </w:t>
      </w:r>
      <w:r>
        <w:t xml:space="preserve">dans STEP 9</w:t>
      </w:r>
      <w:r>
        <w:rPr>
          <w:rStyle w:val="FootnoteReference"/>
        </w:rPr>
        <w:footnoteReference w:id="441"/>
      </w:r>
      <w:r>
        <w:t xml:space="preserve">, les douleurs du genou ont diminué davantage que sous placebo. L’étude ne permet pas de dire si cela tient uniquement à la perte de poids.</w:t>
      </w:r>
    </w:p>
    <w:bookmarkEnd w:id="442"/>
    <w:bookmarkStart w:id="447" w:name="cerveau-et-addiction"/>
    <w:p>
      <w:pPr>
        <w:pStyle w:val="Heading4"/>
      </w:pPr>
      <w:r>
        <w:t xml:space="preserve">Cerveau et addiction</w:t>
      </w:r>
    </w:p>
    <w:p>
      <w:pPr>
        <w:pStyle w:val="FirstParagraph"/>
      </w:pPr>
      <w:r>
        <w:rPr>
          <w:bCs/>
          <w:b/>
        </w:rPr>
        <w:t xml:space="preserve">Maladie d’Alzheimer :</w:t>
      </w:r>
      <w:r>
        <w:t xml:space="preserve"> </w:t>
      </w:r>
      <w:r>
        <w:t xml:space="preserve">l’espoir que les agonistes du récepteur du GLP-1 puissent freiner le déclin cognitif reposait sur des expériences animales et des données observationnelles. Novo Nordisk l’a évalué dans deux grandes études de phase 3, evoke et evoke+, portant au total sur 3 808 personnes atteintes d’une maladie d’Alzheimer débutante, qui ont reçu pendant 104 semaines des comprimés de sémaglutide ou un placebo chaque jour</w:t>
      </w:r>
      <w:r>
        <w:rPr>
          <w:rStyle w:val="FootnoteReference"/>
        </w:rPr>
        <w:footnoteReference w:id="443"/>
      </w:r>
      <w:r>
        <w:t xml:space="preserve">. Le résultat a été clairement négatif : la maladie a progressé à la même vitesse dans les deux groupes (différence sur l’échelle de démence CDR-SB de −0,08 et +0,10 point, non significative). En l’état actuel des connaissances, le sémaglutide a donc échoué comme médicament contre la maladie d’Alzheimer ; un commentaire publié dans la même revue discute des conséquences pour ce domaine de recherche</w:t>
      </w:r>
      <w:r>
        <w:rPr>
          <w:rStyle w:val="FootnoteReference"/>
        </w:rPr>
        <w:footnoteReference w:id="444"/>
      </w:r>
      <w:r>
        <w:t xml:space="preserve">.</w:t>
      </w:r>
    </w:p>
    <w:p>
      <w:pPr>
        <w:pStyle w:val="BodyText"/>
      </w:pPr>
      <w:r>
        <w:rPr>
          <w:bCs/>
          <w:b/>
        </w:rPr>
        <w:t xml:space="preserve">Alcool :</w:t>
      </w:r>
      <w:r>
        <w:t xml:space="preserve"> </w:t>
      </w:r>
      <w:r>
        <w:t xml:space="preserve">dans une petite étude randomisée portant sur 48 personnes souffrant d’un trouble de l’usage de l’alcool, le sémaglutide à faible dose a réduit la quantité d’alcool bue lors d’un test en laboratoire, l’envie d’alcool et le nombre de verres les jours de consommation ; le nombre de jours de consommation n’a pas changé</w:t>
      </w:r>
      <w:r>
        <w:rPr>
          <w:rStyle w:val="FootnoteReference"/>
        </w:rPr>
        <w:footnoteReference w:id="445"/>
      </w:r>
      <w:r>
        <w:t xml:space="preserve">. Dans une étude de registre suédoise, le sémaglutide était associé à un risque d’hospitalisation liée à l’alcool inférieur de 36 %</w:t>
      </w:r>
      <w:r>
        <w:rPr>
          <w:rStyle w:val="FootnoteReference"/>
        </w:rPr>
        <w:footnoteReference w:id="446"/>
      </w:r>
      <w:r>
        <w:t xml:space="preserve">. Des études randomisées plus grandes sont en cours.</w:t>
      </w:r>
    </w:p>
    <w:bookmarkEnd w:id="447"/>
    <w:bookmarkEnd w:id="448"/>
    <w:bookmarkStart w:id="452" w:name="études-animales-et-de-laboratoire-3"/>
    <w:p>
      <w:pPr>
        <w:pStyle w:val="Heading3"/>
      </w:pPr>
      <w:r>
        <w:t xml:space="preserve">Études animales et de laboratoire</w:t>
      </w:r>
    </w:p>
    <w:p>
      <w:pPr>
        <w:pStyle w:val="FirstParagraph"/>
      </w:pPr>
      <w:r>
        <w:t xml:space="preserve">Le sémaglutide a été délibérément conçu sur la planche à dessin : parmi de nombreuses variantes, les concepteurs ont choisi celle offrant la meilleure combinaison de liaison à l’albumine, d’action sur le récepteur et de stabilité</w:t>
      </w:r>
      <w:r>
        <w:rPr>
          <w:rStyle w:val="FootnoteReference"/>
        </w:rPr>
        <w:footnoteReference w:id="449"/>
      </w:r>
      <w:r>
        <w:t xml:space="preserve">. La demi-vie a d’abord été déterminée chez le miniporc. L’absorption du comprimé par la muqueuse gastrique a été étudiée chez le chien et chez l’humain</w:t>
      </w:r>
      <w:r>
        <w:rPr>
          <w:rStyle w:val="FootnoteReference"/>
        </w:rPr>
        <w:footnoteReference w:id="450"/>
      </w:r>
      <w:r>
        <w:t xml:space="preserve">.</w:t>
      </w:r>
    </w:p>
    <w:p>
      <w:pPr>
        <w:pStyle w:val="BodyText"/>
      </w:pPr>
      <w:r>
        <w:t xml:space="preserve">Comme pour le liraglutide, des expériences à long terme chez les rongeurs ont entraîné des tumeurs des cellules C de la thyroïde ; leur transposabilité à l’humain est jugée douteuse en raison de la faible densité de récepteurs dans les cellules C humaines</w:t>
      </w:r>
      <w:r>
        <w:rPr>
          <w:rStyle w:val="FootnoteReference"/>
        </w:rPr>
        <w:footnoteReference w:id="451"/>
      </w:r>
      <w:r>
        <w:t xml:space="preserve">. Les expériences animales sur la neuroprotection, l’addiction et l’inflammation ont servi de base aux études chez l’humain décrites plus haut – avec des résultats mitigés, comme le montre l’échec d’evoke.</w:t>
      </w:r>
    </w:p>
    <w:bookmarkEnd w:id="452"/>
    <w:bookmarkStart w:id="464" w:name="risques-et-effets-indésirables-3"/>
    <w:p>
      <w:pPr>
        <w:pStyle w:val="Heading3"/>
      </w:pPr>
      <w:r>
        <w:t xml:space="preserve">Risques et effets indésirables</w:t>
      </w:r>
    </w:p>
    <w:p>
      <w:pPr>
        <w:pStyle w:val="FirstParagraph"/>
      </w:pPr>
      <w:r>
        <w:rPr>
          <w:bCs/>
          <w:b/>
        </w:rPr>
        <w:t xml:space="preserve">Démontrés dans des études randomisées :</w:t>
      </w:r>
    </w:p>
    <w:p>
      <w:pPr>
        <w:numPr>
          <w:ilvl w:val="0"/>
          <w:numId w:val="1055"/>
        </w:numPr>
        <w:pStyle w:val="Compact"/>
      </w:pPr>
      <w:r>
        <w:rPr>
          <w:bCs/>
          <w:b/>
        </w:rPr>
        <w:t xml:space="preserve">Troubles gastro-intestinaux :</w:t>
      </w:r>
      <w:r>
        <w:t xml:space="preserve"> </w:t>
      </w:r>
      <w:r>
        <w:t xml:space="preserve">nausées, diarrhées, vomissements et constipation touchent la majorité des personnes traitées dans les études sur l’obésité ; ils sont le plus souvent légers à modérés et transitoires, surtout pendant l’augmentation de la dose</w:t>
      </w:r>
      <w:r>
        <w:rPr>
          <w:rStyle w:val="FootnoteReference"/>
        </w:rPr>
        <w:footnoteReference w:id="453"/>
      </w:r>
      <w:r>
        <w:t xml:space="preserve">. Ils sont la raison la plus fréquente des arrêts de traitement.</w:t>
      </w:r>
    </w:p>
    <w:p>
      <w:pPr>
        <w:numPr>
          <w:ilvl w:val="0"/>
          <w:numId w:val="1055"/>
        </w:numPr>
        <w:pStyle w:val="Compact"/>
      </w:pPr>
      <w:r>
        <w:rPr>
          <w:bCs/>
          <w:b/>
        </w:rPr>
        <w:t xml:space="preserve">Calculs biliaires et cholécystite :</w:t>
      </w:r>
      <w:r>
        <w:t xml:space="preserve"> </w:t>
      </w:r>
      <w:r>
        <w:t xml:space="preserve">augmentés pour l’ensemble de la classe, en particulier à doses élevées et pour la perte de poids</w:t>
      </w:r>
      <w:r>
        <w:rPr>
          <w:rStyle w:val="FootnoteReference"/>
        </w:rPr>
        <w:footnoteReference w:id="454"/>
      </w:r>
      <w:r>
        <w:t xml:space="preserve"> </w:t>
      </w:r>
      <w:r>
        <w:t xml:space="preserve">; dans STEP TEENS chez 4 % des adolescents</w:t>
      </w:r>
      <w:r>
        <w:rPr>
          <w:rStyle w:val="FootnoteReference"/>
        </w:rPr>
        <w:footnoteReference w:id="455"/>
      </w:r>
      <w:r>
        <w:t xml:space="preserve">.</w:t>
      </w:r>
    </w:p>
    <w:p>
      <w:pPr>
        <w:numPr>
          <w:ilvl w:val="0"/>
          <w:numId w:val="1055"/>
        </w:numPr>
        <w:pStyle w:val="Compact"/>
      </w:pPr>
      <w:r>
        <w:rPr>
          <w:bCs/>
          <w:b/>
        </w:rPr>
        <w:t xml:space="preserve">Aggravation d’une rétinopathie diabétique :</w:t>
      </w:r>
      <w:r>
        <w:t xml:space="preserve"> </w:t>
      </w:r>
      <w:r>
        <w:t xml:space="preserve">plus fréquente dans SUSTAIN 6 (HR 1,76)</w:t>
      </w:r>
      <w:r>
        <w:rPr>
          <w:rStyle w:val="FootnoteReference"/>
        </w:rPr>
        <w:footnoteReference w:id="456"/>
      </w:r>
      <w:r>
        <w:t xml:space="preserve">. On suppose qu’une baisse très rapide de la glycémie nuit temporairement en cas de rétinopathie préexistante – un effet connu aussi avec l’insuline. Une étude spécifique portant sur 1 500 participants est en cours sur cette question</w:t>
      </w:r>
      <w:r>
        <w:rPr>
          <w:rStyle w:val="FootnoteReference"/>
        </w:rPr>
        <w:footnoteReference w:id="457"/>
      </w:r>
      <w:r>
        <w:t xml:space="preserve">. Les personnes atteintes de rétinopathie devraient bénéficier d’un suivi ophtalmologique.</w:t>
      </w:r>
    </w:p>
    <w:p>
      <w:pPr>
        <w:numPr>
          <w:ilvl w:val="0"/>
          <w:numId w:val="1055"/>
        </w:numPr>
        <w:pStyle w:val="Compact"/>
      </w:pPr>
      <w:r>
        <w:rPr>
          <w:bCs/>
          <w:b/>
        </w:rPr>
        <w:t xml:space="preserve">Perte de masse musculaire :</w:t>
      </w:r>
      <w:r>
        <w:t xml:space="preserve"> </w:t>
      </w:r>
      <w:r>
        <w:t xml:space="preserve">toute perte de poids importante s’accompagne aussi d’une perte de masse maigre. L’importance de ce phénomène sous sémaglutide, en particulier chez les personnes âgées, est encore à l’étude ; la partie IV y revient.</w:t>
      </w:r>
    </w:p>
    <w:p>
      <w:pPr>
        <w:pStyle w:val="FirstParagraph"/>
      </w:pPr>
      <w:r>
        <w:rPr>
          <w:bCs/>
          <w:b/>
        </w:rPr>
        <w:t xml:space="preserve">Données observationnelles et signaux :</w:t>
      </w:r>
    </w:p>
    <w:p>
      <w:pPr>
        <w:numPr>
          <w:ilvl w:val="0"/>
          <w:numId w:val="1056"/>
        </w:numPr>
        <w:pStyle w:val="Compact"/>
      </w:pPr>
      <w:r>
        <w:rPr>
          <w:bCs/>
          <w:b/>
        </w:rPr>
        <w:t xml:space="preserve">NAION (trouble circulatoire du nerf optique) :</w:t>
      </w:r>
      <w:r>
        <w:t xml:space="preserve"> </w:t>
      </w:r>
      <w:r>
        <w:t xml:space="preserve">en 2024, une étude américaine menée dans une clinique ophtalmologique a rapporté un risque nettement accru de neuropathie optique ischémique antérieure non artéritique, une perte de vision soudaine, le plus souvent indolore, d’un œil</w:t>
      </w:r>
      <w:r>
        <w:rPr>
          <w:rStyle w:val="FootnoteReference"/>
        </w:rPr>
        <w:footnoteReference w:id="458"/>
      </w:r>
      <w:r>
        <w:t xml:space="preserve">. Dans cette étude, le hazard ratio était de 4,28 (diabète) et de 7,64 (obésité), mais avec de très petits effectifs. Une étude de registre dano-norvégienne portant sur plus de 60 000 personnes atteintes de diabète de type 2 a confirmé un risque relatif accru (HR 2,81), avec un risque absolu faible : environ 1,4 cas supplémentaire pour 10 000 années-personnes</w:t>
      </w:r>
      <w:r>
        <w:rPr>
          <w:rStyle w:val="FootnoteReference"/>
        </w:rPr>
        <w:footnoteReference w:id="459"/>
      </w:r>
      <w:r>
        <w:t xml:space="preserve">. Une méta-analyse de 2026 n’a trouvé le signal que dans les études observationnelles dans le diabète (HR 1,85), pas dans les études randomisées ni dans l’obésité</w:t>
      </w:r>
      <w:r>
        <w:rPr>
          <w:rStyle w:val="FootnoteReference"/>
        </w:rPr>
        <w:footnoteReference w:id="460"/>
      </w:r>
      <w:r>
        <w:t xml:space="preserve">. L’Agence européenne des médicaments a ajouté en 2025 la NAION comme effet indésirable très rare au résumé des caractéristiques du produit. Toute personne dont la vue baisse soudainement sous sémaglutide doit consulter immédiatement un médecin.</w:t>
      </w:r>
    </w:p>
    <w:p>
      <w:pPr>
        <w:numPr>
          <w:ilvl w:val="0"/>
          <w:numId w:val="1056"/>
        </w:numPr>
        <w:pStyle w:val="Compact"/>
      </w:pPr>
      <w:r>
        <w:rPr>
          <w:bCs/>
          <w:b/>
        </w:rPr>
        <w:t xml:space="preserve">Pancréatite et occlusion intestinale :</w:t>
      </w:r>
      <w:r>
        <w:t xml:space="preserve"> </w:t>
      </w:r>
      <w:r>
        <w:t xml:space="preserve">une analyse de données d’assurance a trouvé, pour les agonistes du récepteur du GLP-1 utilisés pour perdre du poids, un risque accru de pancréatite, d’occlusion intestinale et de gastroparésie</w:t>
      </w:r>
      <w:r>
        <w:rPr>
          <w:rStyle w:val="FootnoteReference"/>
        </w:rPr>
        <w:footnoteReference w:id="461"/>
      </w:r>
      <w:r>
        <w:t xml:space="preserve">. Dans les grandes études randomisées, la pancréatite était rare. Le résumé des caractéristiques du produit la mentionne comme effet indésirable possible.</w:t>
      </w:r>
    </w:p>
    <w:p>
      <w:pPr>
        <w:numPr>
          <w:ilvl w:val="0"/>
          <w:numId w:val="1056"/>
        </w:numPr>
        <w:pStyle w:val="Compact"/>
      </w:pPr>
      <w:r>
        <w:rPr>
          <w:bCs/>
          <w:b/>
        </w:rPr>
        <w:t xml:space="preserve">Cancer de la thyroïde :</w:t>
      </w:r>
      <w:r>
        <w:t xml:space="preserve"> </w:t>
      </w:r>
      <w:r>
        <w:t xml:space="preserve">signal dans des études observationnelles et des méta-analyses pour la classe</w:t>
      </w:r>
      <w:r>
        <w:rPr>
          <w:rStyle w:val="FootnoteReference"/>
        </w:rPr>
        <w:footnoteReference w:id="462"/>
      </w:r>
      <w:r>
        <w:t xml:space="preserve"> </w:t>
      </w:r>
      <w:r>
        <w:t xml:space="preserve">; voir le chapitre Liraglutide.</w:t>
      </w:r>
    </w:p>
    <w:p>
      <w:pPr>
        <w:numPr>
          <w:ilvl w:val="0"/>
          <w:numId w:val="1056"/>
        </w:numPr>
        <w:pStyle w:val="Compact"/>
      </w:pPr>
      <w:r>
        <w:rPr>
          <w:bCs/>
          <w:b/>
        </w:rPr>
        <w:t xml:space="preserve">Effets indésirables psychiques :</w:t>
      </w:r>
      <w:r>
        <w:t xml:space="preserve"> </w:t>
      </w:r>
      <w:r>
        <w:t xml:space="preserve">après des notifications d’idées suicidaires, les autorités ont procédé à des examens en 2023/2024 et n’ont trouvé aucune preuve d’un lien de causalité. Dans une grande cohorte américaine portant sur 240 618 personnes en surpoids, le sémaglutide était même associé à moins d’apparitions d’idées suicidaires que d’autres médicaments amaigrissants</w:t>
      </w:r>
      <w:r>
        <w:rPr>
          <w:rStyle w:val="FootnoteReference"/>
        </w:rPr>
        <w:footnoteReference w:id="463"/>
      </w:r>
      <w:r>
        <w:t xml:space="preserve">. Les données observationnelles ne peuvent pas exclure avec certitude les biais.</w:t>
      </w:r>
    </w:p>
    <w:p>
      <w:pPr>
        <w:pStyle w:val="FirstParagraph"/>
      </w:pPr>
      <w:r>
        <w:rPr>
          <w:bCs/>
          <w:b/>
        </w:rPr>
        <w:t xml:space="preserve">Remarques pour la pratique :</w:t>
      </w:r>
      <w:r>
        <w:t xml:space="preserve"> </w:t>
      </w:r>
      <w:r>
        <w:t xml:space="preserve">le sémaglutide n’est pas indiqué pendant la grossesse ; le résumé des caractéristiques du produit recommande de l’arrêter suffisamment tôt avant une grossesse planifiée. En raison du ralentissement de la vidange gastrique, il peut exister lors des anesthésies un risque accru d’inhalation du contenu gastrique dans les poumons ; les personnes traitées doivent le signaler avant une opération ou une endoscopie gastrique. Pour l’utilisation, l’augmentation de la dose et les contre-indications, le résumé des caractéristiques du produit et l’accompagnement médical font foi.</w:t>
      </w:r>
    </w:p>
    <w:bookmarkEnd w:id="464"/>
    <w:bookmarkStart w:id="468" w:name="X678de749f1103f6944bcc45be0f5c7275334451"/>
    <w:p>
      <w:pPr>
        <w:pStyle w:val="Heading3"/>
      </w:pPr>
      <w:r>
        <w:t xml:space="preserve">Marché gris, préparations magistrales et contrefaçons</w:t>
      </w:r>
    </w:p>
    <w:p>
      <w:pPr>
        <w:pStyle w:val="FirstParagraph"/>
      </w:pPr>
      <w:r>
        <w:t xml:space="preserve">Aucun autre peptide de ce livre n’est aussi souvent obtenu en dehors des circuits réguliers que le sémaglutide. À partir de 2022, la demande a dépassé l’offre pendant des années. Trois problèmes sont à distinguer.</w:t>
      </w:r>
    </w:p>
    <w:p>
      <w:pPr>
        <w:pStyle w:val="BodyText"/>
      </w:pPr>
      <w:r>
        <w:rPr>
          <w:bCs/>
          <w:b/>
        </w:rPr>
        <w:t xml:space="preserve">Préparations magistrales (États-Unis) :</w:t>
      </w:r>
      <w:r>
        <w:t xml:space="preserve"> </w:t>
      </w:r>
      <w:r>
        <w:t xml:space="preserve">pendant les pénuries officielles, les pharmacies américaines ont été autorisées à fabriquer elles-mêmes du sémaglutide (« compounding »), souvent sous forme de poudre ou de solution en flacons, parfois avec d’autres sels de la substance active. Depuis la fin de la pénurie, la FDA a fortement restreint cette pratique. Une série de cas d’un centre antipoison a décrit des surdosages d’un facteur dix, parce que des patientes et patients manipulaient des seringues et des flacons au lieu de stylos préremplis et confondaient millilitres, unités et milligrammes</w:t>
      </w:r>
      <w:r>
        <w:rPr>
          <w:rStyle w:val="FootnoteReference"/>
        </w:rPr>
        <w:footnoteReference w:id="465"/>
      </w:r>
      <w:r>
        <w:t xml:space="preserve">. Dans une analyse de la base de données américaine des effets indésirables, les notifications concernant des erreurs de fabrication, des contaminations et des hospitalisations étaient disproportionnellement fréquentes pour les produits préparés en pharmacie</w:t>
      </w:r>
      <w:r>
        <w:rPr>
          <w:rStyle w:val="FootnoteReference"/>
        </w:rPr>
        <w:footnoteReference w:id="466"/>
      </w:r>
      <w:r>
        <w:t xml:space="preserve">.</w:t>
      </w:r>
    </w:p>
    <w:p>
      <w:pPr>
        <w:pStyle w:val="BodyText"/>
      </w:pPr>
      <w:r>
        <w:rPr>
          <w:bCs/>
          <w:b/>
        </w:rPr>
        <w:t xml:space="preserve">Boutiques en ligne illégales :</w:t>
      </w:r>
      <w:r>
        <w:t xml:space="preserve"> </w:t>
      </w:r>
      <w:r>
        <w:t xml:space="preserve">dans une étude de marché, 42,3 % des liens vers des pharmacies en ligne trouvés menaient à des vendeurs illégaux qui vendaient du sémaglutide sans ordonnance</w:t>
      </w:r>
      <w:r>
        <w:rPr>
          <w:rStyle w:val="FootnoteReference"/>
        </w:rPr>
        <w:footnoteReference w:id="467"/>
      </w:r>
      <w:r>
        <w:t xml:space="preserve">. Lors d’achats tests, les stylos d’Ozempic commandés ne sont jamais arrivés. Les flacons livrés contenaient certes du sémaglutide, mais la pureté n’était que de 7,7 % à 14,37 % au lieu des 99 % indiqués, et des endotoxines (composants bactériens pouvant provoquer fièvre et inflammations) ont été détectées dans tous les échantillons.</w:t>
      </w:r>
    </w:p>
    <w:p>
      <w:pPr>
        <w:pStyle w:val="BodyText"/>
      </w:pPr>
      <w:r>
        <w:rPr>
          <w:bCs/>
          <w:b/>
        </w:rPr>
        <w:t xml:space="preserve">Contrefaçons :</w:t>
      </w:r>
      <w:r>
        <w:t xml:space="preserve"> </w:t>
      </w:r>
      <w:r>
        <w:t xml:space="preserve">des stylos d’Ozempic falsifiés sont apparus en Europe et aux États-Unis, parfois remplis d’insuline ou dépourvus de substance active ; les autorités du médicament et l’Organisation mondiale de la santé ont émis plusieurs mises en garde. Tu trouveras des informations générales sur les produits du marché gris dans les parties I et IV. Seule la voie régulière est sûre : prescription médicale et délivrance en pharmacie.</w:t>
      </w:r>
    </w:p>
    <w:bookmarkEnd w:id="468"/>
    <w:bookmarkStart w:id="469" w:name="statut-juridique-3"/>
    <w:p>
      <w:pPr>
        <w:pStyle w:val="Heading3"/>
      </w:pPr>
      <w:r>
        <w:t xml:space="preserve">Statut juridique</w:t>
      </w:r>
    </w:p>
    <w:p>
      <w:pPr>
        <w:numPr>
          <w:ilvl w:val="0"/>
          <w:numId w:val="1057"/>
        </w:numPr>
        <w:pStyle w:val="Compact"/>
      </w:pPr>
      <w:r>
        <w:rPr>
          <w:bCs/>
          <w:b/>
        </w:rPr>
        <w:t xml:space="preserve">UE :</w:t>
      </w:r>
      <w:r>
        <w:t xml:space="preserve"> </w:t>
      </w:r>
      <w:r>
        <w:t xml:space="preserve">Ozempic (2018), Rybelsus (2020) et Wegovy (2022) sont autorisés par procédure centralisée et soumis à prescription. Wegovy est autorisé pour la gestion du poids chez l’adulte et l’adolescent à partir de 12 ans ; le résumé des caractéristiques du produit contient désormais aussi des indications sur la réduction du risque cardiovasculaire issues de SELECT.</w:t>
      </w:r>
    </w:p>
    <w:p>
      <w:pPr>
        <w:numPr>
          <w:ilvl w:val="0"/>
          <w:numId w:val="1057"/>
        </w:numPr>
        <w:pStyle w:val="Compact"/>
      </w:pPr>
      <w:r>
        <w:rPr>
          <w:bCs/>
          <w:b/>
        </w:rPr>
        <w:t xml:space="preserve">Allemagne :</w:t>
      </w:r>
      <w:r>
        <w:t xml:space="preserve"> </w:t>
      </w:r>
      <w:r>
        <w:t xml:space="preserve">Ozempic et Rybelsus sont remboursés dans le diabète de type 2. Wegovy est considéré comme un médicament destiné à la perte de poids et est en principe exclu du remboursement par l’assurance maladie légale en vertu du § 34 SGB V ; une modification fait l’objet d’un débat politique. La prescription d’Ozempic dans le seul but de perdre du poids constitue un usage hors AMM et a été expressément critiquée par les autorités pendant les pénuries.</w:t>
      </w:r>
    </w:p>
    <w:p>
      <w:pPr>
        <w:numPr>
          <w:ilvl w:val="0"/>
          <w:numId w:val="1057"/>
        </w:numPr>
        <w:pStyle w:val="Compact"/>
      </w:pPr>
      <w:r>
        <w:rPr>
          <w:bCs/>
          <w:b/>
        </w:rPr>
        <w:t xml:space="preserve">Autriche :</w:t>
      </w:r>
      <w:r>
        <w:t xml:space="preserve"> </w:t>
      </w:r>
      <w:r>
        <w:t xml:space="preserve">soumis à prescription ; prise en charge des coûts pour la gestion du poids seulement restreinte (à vérifier).</w:t>
      </w:r>
    </w:p>
    <w:p>
      <w:pPr>
        <w:numPr>
          <w:ilvl w:val="0"/>
          <w:numId w:val="1057"/>
        </w:numPr>
        <w:pStyle w:val="Compact"/>
      </w:pPr>
      <w:r>
        <w:rPr>
          <w:bCs/>
          <w:b/>
        </w:rPr>
        <w:t xml:space="preserve">États-Unis :</w:t>
      </w:r>
      <w:r>
        <w:t xml:space="preserve"> </w:t>
      </w:r>
      <w:r>
        <w:t xml:space="preserve">Ozempic, Rybelsus et Wegovy (injection et comprimé) autorisés, avec des indications élargies pour le cœur, les reins et la MASH.</w:t>
      </w:r>
    </w:p>
    <w:p>
      <w:pPr>
        <w:numPr>
          <w:ilvl w:val="0"/>
          <w:numId w:val="1057"/>
        </w:numPr>
        <w:pStyle w:val="Compact"/>
      </w:pPr>
      <w:r>
        <w:rPr>
          <w:bCs/>
          <w:b/>
        </w:rPr>
        <w:t xml:space="preserve">Brevets et génériques :</w:t>
      </w:r>
      <w:r>
        <w:t xml:space="preserve"> </w:t>
      </w:r>
      <w:r>
        <w:t xml:space="preserve">dans plusieurs grands marchés hors UE et États-Unis – dont le Canada, la Chine, l’Inde et le Brésil –, la protection par brevet du sémaglutide expire en 2026 ; de premières copies y sont annoncées ou commercialisées. Dans l’UE et aux États-Unis, les génériques ne sont attendus que vers 2031/2032. Pour en savoir plus, voir la partie V.</w:t>
      </w:r>
    </w:p>
    <w:p>
      <w:pPr>
        <w:numPr>
          <w:ilvl w:val="0"/>
          <w:numId w:val="1057"/>
        </w:numPr>
        <w:pStyle w:val="Compact"/>
      </w:pPr>
      <w:r>
        <w:rPr>
          <w:bCs/>
          <w:b/>
        </w:rPr>
        <w:t xml:space="preserve">Sport (AMA) :</w:t>
      </w:r>
      <w:r>
        <w:t xml:space="preserve"> </w:t>
      </w:r>
      <w:r>
        <w:t xml:space="preserve">non listé (état 2026, à vérifier).</w:t>
      </w:r>
    </w:p>
    <w:bookmarkEnd w:id="469"/>
    <w:bookmarkStart w:id="475" w:name="études-en-cours-et-perspectives-3"/>
    <w:p>
      <w:pPr>
        <w:pStyle w:val="Heading3"/>
      </w:pPr>
      <w:r>
        <w:t xml:space="preserve">Études en cours et perspectives</w:t>
      </w:r>
    </w:p>
    <w:p>
      <w:pPr>
        <w:pStyle w:val="FirstParagraph"/>
      </w:pPr>
      <w:r>
        <w:rPr>
          <w:bCs/>
          <w:b/>
        </w:rPr>
        <w:t xml:space="preserve">Établi (études enregistrées) :</w:t>
      </w:r>
      <w:r>
        <w:t xml:space="preserve"> </w:t>
      </w:r>
      <w:r>
        <w:t xml:space="preserve">sur les 793 inscriptions aux registres, une grande partie concerne des associations et des successeurs. Exemples :</w:t>
      </w:r>
    </w:p>
    <w:p>
      <w:pPr>
        <w:numPr>
          <w:ilvl w:val="0"/>
          <w:numId w:val="1058"/>
        </w:numPr>
        <w:pStyle w:val="Compact"/>
      </w:pPr>
      <w:r>
        <w:rPr>
          <w:bCs/>
          <w:b/>
        </w:rPr>
        <w:t xml:space="preserve">Yeux :</w:t>
      </w:r>
      <w:r>
        <w:t xml:space="preserve"> </w:t>
      </w:r>
      <w:r>
        <w:t xml:space="preserve">une étude portant sur 1 500 participants examine spécifiquement l’effet sur la rétinopathie diabétique</w:t>
      </w:r>
      <w:r>
        <w:rPr>
          <w:rStyle w:val="FootnoteReference"/>
        </w:rPr>
        <w:footnoteReference w:id="470"/>
      </w:r>
      <w:r>
        <w:t xml:space="preserve">.</w:t>
      </w:r>
    </w:p>
    <w:p>
      <w:pPr>
        <w:numPr>
          <w:ilvl w:val="0"/>
          <w:numId w:val="1058"/>
        </w:numPr>
        <w:pStyle w:val="Compact"/>
      </w:pPr>
      <w:r>
        <w:rPr>
          <w:bCs/>
          <w:b/>
        </w:rPr>
        <w:t xml:space="preserve">Foie :</w:t>
      </w:r>
      <w:r>
        <w:t xml:space="preserve"> </w:t>
      </w:r>
      <w:r>
        <w:t xml:space="preserve">la seconde partie d’ESSENCE, portant sur 1 205 participants, doit déterminer si le sémaglutide prévient la cirrhose et les complications hépatiques</w:t>
      </w:r>
      <w:r>
        <w:rPr>
          <w:rStyle w:val="FootnoteReference"/>
        </w:rPr>
        <w:footnoteReference w:id="471"/>
      </w:r>
      <w:r>
        <w:t xml:space="preserve">.</w:t>
      </w:r>
    </w:p>
    <w:p>
      <w:pPr>
        <w:numPr>
          <w:ilvl w:val="0"/>
          <w:numId w:val="1058"/>
        </w:numPr>
        <w:pStyle w:val="Compact"/>
      </w:pPr>
      <w:r>
        <w:rPr>
          <w:bCs/>
          <w:b/>
        </w:rPr>
        <w:t xml:space="preserve">Enfants :</w:t>
      </w:r>
      <w:r>
        <w:t xml:space="preserve"> </w:t>
      </w:r>
      <w:r>
        <w:t xml:space="preserve">une étude portant sur 212 enfants et adolescents est en cours</w:t>
      </w:r>
      <w:r>
        <w:rPr>
          <w:rStyle w:val="FootnoteReference"/>
        </w:rPr>
        <w:footnoteReference w:id="472"/>
      </w:r>
      <w:r>
        <w:t xml:space="preserve">.</w:t>
      </w:r>
    </w:p>
    <w:p>
      <w:pPr>
        <w:numPr>
          <w:ilvl w:val="0"/>
          <w:numId w:val="1058"/>
        </w:numPr>
        <w:pStyle w:val="Compact"/>
      </w:pPr>
      <w:r>
        <w:rPr>
          <w:bCs/>
          <w:b/>
        </w:rPr>
        <w:t xml:space="preserve">Comprimé :</w:t>
      </w:r>
      <w:r>
        <w:t xml:space="preserve"> </w:t>
      </w:r>
      <w:r>
        <w:t xml:space="preserve">d’autres études de phase 3 sur le comprimé dans l’obésité ont débuté</w:t>
      </w:r>
      <w:r>
        <w:rPr>
          <w:rStyle w:val="FootnoteReference"/>
        </w:rPr>
        <w:footnoteReference w:id="473"/>
      </w:r>
      <w:r>
        <w:t xml:space="preserve">.</w:t>
      </w:r>
    </w:p>
    <w:p>
      <w:pPr>
        <w:numPr>
          <w:ilvl w:val="0"/>
          <w:numId w:val="1058"/>
        </w:numPr>
        <w:pStyle w:val="Compact"/>
      </w:pPr>
      <w:r>
        <w:rPr>
          <w:bCs/>
          <w:b/>
        </w:rPr>
        <w:t xml:space="preserve">Association CagriSema :</w:t>
      </w:r>
      <w:r>
        <w:t xml:space="preserve"> </w:t>
      </w:r>
      <w:r>
        <w:t xml:space="preserve">le sémaglutide en association fixe avec l’analogue de l’amyline cagrilintide est évalué dans une étude cardiovasculaire portant sur 7 101 participants</w:t>
      </w:r>
      <w:r>
        <w:rPr>
          <w:rStyle w:val="FootnoteReference"/>
        </w:rPr>
        <w:footnoteReference w:id="474"/>
      </w:r>
      <w:r>
        <w:t xml:space="preserve"> </w:t>
      </w:r>
      <w:r>
        <w:t xml:space="preserve">; détails dans le chapitre Cagrilintide/CagriSema.</w:t>
      </w:r>
    </w:p>
    <w:p>
      <w:pPr>
        <w:pStyle w:val="FirstParagraph"/>
      </w:pPr>
      <w:r>
        <w:rPr>
          <w:bCs/>
          <w:b/>
        </w:rPr>
        <w:t xml:space="preserve">Estimation :</w:t>
      </w:r>
      <w:r>
        <w:t xml:space="preserve"> </w:t>
      </w:r>
      <w:r>
        <w:t xml:space="preserve">dans les années à venir, le sémaglutide subira une pression de deux côtés – de successeurs plus efficaces comme le tirzépatide, le CagriSema ou le rétatrutide et des génériques dans de grands marchés. En même temps, c’est la substance disposant de la base de preuves la plus large pour des critères durs (cœur, reins, foie). La forme comprimé pourrait élargir nettement l’accès. Les études sur la maladie d’Alzheimer qui ont échoué montrent que tous les espoirs issus d’expériences animales et de données observationnelles ne se concrétisent pas.</w:t>
      </w:r>
    </w:p>
    <w:bookmarkEnd w:id="475"/>
    <w:bookmarkStart w:id="476" w:name="conclusion-3"/>
    <w:p>
      <w:pPr>
        <w:pStyle w:val="Heading3"/>
      </w:pPr>
      <w:r>
        <w:t xml:space="preserve">Conclusion</w:t>
      </w:r>
    </w:p>
    <w:p>
      <w:pPr>
        <w:pStyle w:val="FirstParagraph"/>
      </w:pPr>
      <w:r>
        <w:t xml:space="preserve">Le sémaglutide est l’agoniste du récepteur du GLP-1 le plus largement étudié et a dépassé en comparaison directe l’exénatide, le liraglutide et le dulaglutide. À la dose de 2,4 mg par semaine, les personnes obèses ont perdu dans STEP 1 en moyenne 14,9 % de leur poids ; après l’arrêt, la majeure partie du poids est reprise. De grandes études sur critères cliniques ont montré une réduction des événements cardiovasculaires graves – même sans diabète (SELECT, 20 %) – ainsi qu’une protection des reins (FLOW) et des améliorations de la stéatohépatite. Les effets indésirables fréquents concernent le tube digestif et la vésicule biliaire ; des signaux rares comme la NAION continuent d’être surveillés, tandis que les études sur la maladie d’Alzheimer n’ont montré aucun bénéfice. Les produits du marché gris comportent des risques considérables – le traitement relève du médecin et de la pharmacie.</w:t>
      </w:r>
    </w:p>
    <w:bookmarkEnd w:id="476"/>
    <w:bookmarkEnd w:id="477"/>
    <w:bookmarkStart w:id="537" w:name="tirzépatide"/>
    <w:p>
      <w:pPr>
        <w:pStyle w:val="Heading2"/>
      </w:pPr>
      <w:r>
        <w:t xml:space="preserve">Tirzépatide</w:t>
      </w:r>
    </w:p>
    <w:bookmarkStart w:id="478" w:name="fiche-signalétique-4"/>
    <w:p>
      <w:pPr>
        <w:pStyle w:val="Heading3"/>
      </w:pPr>
      <w:r>
        <w:t xml:space="preserve">Fiche signalétique</w:t>
      </w:r>
    </w:p>
    <w:p>
      <w:pPr>
        <w:numPr>
          <w:ilvl w:val="0"/>
          <w:numId w:val="1059"/>
        </w:numPr>
        <w:pStyle w:val="Compact"/>
      </w:pPr>
      <w:r>
        <w:rPr>
          <w:bCs/>
          <w:b/>
        </w:rPr>
        <w:t xml:space="preserve">Type/structure :</w:t>
      </w:r>
      <w:r>
        <w:t xml:space="preserve"> </w:t>
      </w:r>
      <w:r>
        <w:t xml:space="preserve">peptide de synthèse dont la structure de base s’inspire de l’hormone intestinale GIP produite par l’organisme ; une chaîne d’acide gras fixée le lie à l’albumine dans le sang et prolonge sa durée d’action au point qu’une injection par semaine suffit.</w:t>
      </w:r>
    </w:p>
    <w:p>
      <w:pPr>
        <w:numPr>
          <w:ilvl w:val="0"/>
          <w:numId w:val="1059"/>
        </w:numPr>
        <w:pStyle w:val="Compact"/>
      </w:pPr>
      <w:r>
        <w:rPr>
          <w:bCs/>
          <w:b/>
        </w:rPr>
        <w:t xml:space="preserve">Origine :</w:t>
      </w:r>
      <w:r>
        <w:t xml:space="preserve"> </w:t>
      </w:r>
      <w:r>
        <w:t xml:space="preserve">développé par Eli Lilly, désigné dans les premières études sous le code LY3298176.</w:t>
      </w:r>
    </w:p>
    <w:p>
      <w:pPr>
        <w:numPr>
          <w:ilvl w:val="0"/>
          <w:numId w:val="1059"/>
        </w:numPr>
        <w:pStyle w:val="Compact"/>
      </w:pPr>
      <w:r>
        <w:rPr>
          <w:bCs/>
          <w:b/>
        </w:rPr>
        <w:t xml:space="preserve">Principe d’action :</w:t>
      </w:r>
      <w:r>
        <w:t xml:space="preserve"> </w:t>
      </w:r>
      <w:r>
        <w:t xml:space="preserve">double agoniste (activateur) de deux récepteurs : le récepteur du GIP et le récepteur du GLP-1. D’où aussi les appellations « twincrétine » ou « double agoniste des incrétines ».</w:t>
      </w:r>
    </w:p>
    <w:p>
      <w:pPr>
        <w:numPr>
          <w:ilvl w:val="0"/>
          <w:numId w:val="1059"/>
        </w:numPr>
        <w:pStyle w:val="Compact"/>
      </w:pPr>
      <w:r>
        <w:rPr>
          <w:bCs/>
          <w:b/>
        </w:rPr>
        <w:t xml:space="preserve">Autorisation UE :</w:t>
      </w:r>
      <w:r>
        <w:t xml:space="preserve"> </w:t>
      </w:r>
      <w:r>
        <w:t xml:space="preserve">oui (Mounjaro) pour le diabète de type 2 et pour la gestion du poids en cas d’obésité et de surpoids avec comorbidités.</w:t>
      </w:r>
    </w:p>
    <w:p>
      <w:pPr>
        <w:numPr>
          <w:ilvl w:val="0"/>
          <w:numId w:val="1059"/>
        </w:numPr>
        <w:pStyle w:val="Compact"/>
      </w:pPr>
      <w:r>
        <w:rPr>
          <w:bCs/>
          <w:b/>
        </w:rPr>
        <w:t xml:space="preserve">Autorisation États-Unis :</w:t>
      </w:r>
      <w:r>
        <w:t xml:space="preserve"> </w:t>
      </w:r>
      <w:r>
        <w:t xml:space="preserve">oui (Mounjaro pour le diabète de type 2 ; Zepbound pour l’obésité et pour l’apnée obstructive du sommeil modérée à sévère associée à l’obésité).</w:t>
      </w:r>
    </w:p>
    <w:p>
      <w:pPr>
        <w:numPr>
          <w:ilvl w:val="0"/>
          <w:numId w:val="1059"/>
        </w:numPr>
        <w:pStyle w:val="Compact"/>
      </w:pPr>
      <w:r>
        <w:rPr>
          <w:bCs/>
          <w:b/>
        </w:rPr>
        <w:t xml:space="preserve">AMA :</w:t>
      </w:r>
      <w:r>
        <w:t xml:space="preserve"> </w:t>
      </w:r>
      <w:r>
        <w:t xml:space="preserve">ne figure pas sur la liste des interdictions.</w:t>
      </w:r>
    </w:p>
    <w:p>
      <w:pPr>
        <w:numPr>
          <w:ilvl w:val="0"/>
          <w:numId w:val="1059"/>
        </w:numPr>
        <w:pStyle w:val="Compact"/>
      </w:pPr>
      <w:r>
        <w:rPr>
          <w:bCs/>
          <w:b/>
        </w:rPr>
        <w:t xml:space="preserve">Niveau de preuve :</w:t>
      </w:r>
      <w:r>
        <w:t xml:space="preserve"> </w:t>
      </w:r>
      <w:r>
        <w:rPr>
          <w:bCs/>
          <w:b/>
        </w:rPr>
        <w:t xml:space="preserve">A</w:t>
      </w:r>
      <w:r>
        <w:t xml:space="preserve"> </w:t>
      </w:r>
      <w:r>
        <w:t xml:space="preserve">– nombreuses grandes études randomisées, études sur critères cliniques concernant le cœur et l’insuffisance cardiaque, autorisation dans de nombreux pays.</w:t>
      </w:r>
    </w:p>
    <w:bookmarkEnd w:id="478"/>
    <w:bookmarkStart w:id="482" w:name="mode-daction-supposé-4"/>
    <w:p>
      <w:pPr>
        <w:pStyle w:val="Heading3"/>
      </w:pPr>
      <w:r>
        <w:t xml:space="preserve">Mode d’action supposé</w:t>
      </w:r>
    </w:p>
    <w:p>
      <w:pPr>
        <w:pStyle w:val="FirstParagraph"/>
      </w:pPr>
      <w:r>
        <w:t xml:space="preserve">Après un repas, l’intestin sécrète deux hormones appelées incrétines : le GLP-1 (glucagon-like peptide-1) et le GIP (polypeptide insulinotrope dépendant du glucose). Toutes deux signalent au pancréas « de la nourriture arrive » et renforcent la sécrétion d’insuline – mais seulement tant que la glycémie est élevée. C’est la raison pour laquelle les médicaments incrétines utilisés seuls provoquent rarement des hypoglycémies. Le GLP-1 freine en outre la vidange gastrique et agit dans le cerveau sur les centres de la satiété. Le rôle du GIP dans l’appétit est moins clair et a longtemps été controversé ; dans certains travaux plus anciens, le GIP était même plutôt considéré comme une « hormone qui fait grossir ».</w:t>
      </w:r>
    </w:p>
    <w:p>
      <w:pPr>
        <w:pStyle w:val="BodyText"/>
      </w:pPr>
      <w:r>
        <w:t xml:space="preserve">Le tirzépatide combine les deux signaux dans une seule molécule. Des études en laboratoire sur des lignées cellulaires ont montré deux particularités</w:t>
      </w:r>
      <w:r>
        <w:rPr>
          <w:rStyle w:val="FootnoteReference"/>
        </w:rPr>
        <w:footnoteReference w:id="479"/>
      </w:r>
      <w:r>
        <w:t xml:space="preserve"> </w:t>
      </w:r>
      <w:r>
        <w:t xml:space="preserve">: premièrement, le tirzépatide est « déséquilibré » – aux concentrations atteintes avec les doses thérapeutiques, il occupe davantage le récepteur du GIP que le récepteur du GLP-1. Deuxièmement, au niveau du récepteur du GLP-1, il active de préférence une voie de signalisation particulière (AMPc) et déclenche moins l’internalisation du récepteur, au cours de laquelle celui-ci est attiré à l’intérieur de la cellule et ainsi temporairement désactivé. Que cette signalisation « biaisée » joue un rôle chez l’humain est une hypothèse issue de données de laboratoire.</w:t>
      </w:r>
    </w:p>
    <w:p>
      <w:pPr>
        <w:pStyle w:val="BodyText"/>
      </w:pPr>
      <w:r>
        <w:t xml:space="preserve">Chez des souris en surpoids, le tirzépatide a amélioré la sensibilité à l’insuline davantage qu’un agoniste pur du GLP-1, et ce en partie indépendamment de la perte de poids – par l’intermédiaire du récepteur du GIP et d’une meilleure captation du glucose dans le tissu adipeux</w:t>
      </w:r>
      <w:r>
        <w:rPr>
          <w:rStyle w:val="FootnoteReference"/>
        </w:rPr>
        <w:footnoteReference w:id="480"/>
      </w:r>
      <w:r>
        <w:t xml:space="preserve">. Chez l’humain, c’est surtout la prise alimentaire qui diminue sous tirzépatide ; dans une étude portant sur 117 personnes atteintes de diabète de type 2, l’appétit, l’apport énergétique et la masse grasse ont diminué sous tirzépatide par rapport au placebo. Pour l’appétit, il ne se distinguait toutefois pas de façon mesurable du sémaglutide, bien que la perte de poids ait été plus importante – les autrices et auteurs jugent donc possibles d’autres mécanismes</w:t>
      </w:r>
      <w:r>
        <w:rPr>
          <w:rStyle w:val="FootnoteReference"/>
        </w:rPr>
        <w:footnoteReference w:id="481"/>
      </w:r>
      <w:r>
        <w:t xml:space="preserve">.</w:t>
      </w:r>
    </w:p>
    <w:p>
      <w:pPr>
        <w:pStyle w:val="BodyText"/>
      </w:pPr>
      <w:r>
        <w:t xml:space="preserve">En termes simples : le tirzépatide agit comme un médicament GLP-1 doté d’un « amplificateur » GIP supplémentaire. Les études montrent que cet ensemble a plus d’effet sur le poids et la glycémie que les agonistes purs du GLP-1 disponibles jusqu’ici – pourquoi exactement, ce n’est pas encore entièrement compris.</w:t>
      </w:r>
    </w:p>
    <w:bookmarkEnd w:id="482"/>
    <w:bookmarkStart w:id="515" w:name="études-chez-lhumain-4"/>
    <w:p>
      <w:pPr>
        <w:pStyle w:val="Heading3"/>
      </w:pPr>
      <w:r>
        <w:t xml:space="preserve">Études chez l’humain</w:t>
      </w:r>
    </w:p>
    <w:p>
      <w:pPr>
        <w:pStyle w:val="FirstParagraph"/>
      </w:pPr>
      <w:r>
        <w:rPr>
          <w:bCs/>
          <w:b/>
        </w:rPr>
        <w:t xml:space="preserve">Ampleur des données :</w:t>
      </w:r>
      <w:r>
        <w:t xml:space="preserve"> </w:t>
      </w:r>
      <w:r>
        <w:t xml:space="preserve">la recherche PubMed automatisée (octobre 2026) a donné 144 publications classées comme études chez l’humain avec « tirzepatide » dans le titre ou le résumé, ainsi que de très nombreuses revues et méta-analyses. 307 études étaient enregistrées sur ClinicalTrials.gov, dont plus de 100 encore en phase de recrutement (une inscription d’exemple manifestement fictive d’un sponsor inconnu n’a pas été comptée). Le tirzépatide fait ainsi partie des substances les mieux étudiées de ce livre. L’essentiel repose sur deux programmes d’autorisation :</w:t>
      </w:r>
      <w:r>
        <w:t xml:space="preserve"> </w:t>
      </w:r>
      <w:r>
        <w:rPr>
          <w:bCs/>
          <w:b/>
        </w:rPr>
        <w:t xml:space="preserve">SURPASS</w:t>
      </w:r>
      <w:r>
        <w:t xml:space="preserve"> </w:t>
      </w:r>
      <w:r>
        <w:t xml:space="preserve">(diabète de type 2) et</w:t>
      </w:r>
      <w:r>
        <w:t xml:space="preserve"> </w:t>
      </w:r>
      <w:r>
        <w:rPr>
          <w:bCs/>
          <w:b/>
        </w:rPr>
        <w:t xml:space="preserve">SURMOUNT</w:t>
      </w:r>
      <w:r>
        <w:t xml:space="preserve"> </w:t>
      </w:r>
      <w:r>
        <w:t xml:space="preserve">(obésité), complétés par des études sur l’insuffisance cardiaque, l’apnée du sommeil et la stéatose hépatique.</w:t>
      </w:r>
    </w:p>
    <w:bookmarkStart w:id="485" w:name="Xb194ae9d6fd976fe7818bc9eff686c390039227"/>
    <w:p>
      <w:pPr>
        <w:pStyle w:val="Heading4"/>
      </w:pPr>
      <w:r>
        <w:t xml:space="preserve">Du laboratoire à la clinique : phases 1 et 2</w:t>
      </w:r>
    </w:p>
    <w:p>
      <w:pPr>
        <w:pStyle w:val="FirstParagraph"/>
      </w:pPr>
      <w:r>
        <w:t xml:space="preserve">Les premières données chez l’humain proviennent d’une étude combinée de phase 1 portant sur 142 personnes qui ont reçu du tirzépatide, du dulaglutide ou un placebo. Chez les personnes atteintes de diabète de type 2, les doses plus élevées ont nettement abaissé la glycémie à jeun après quatre semaines ; les effets indésirables les plus fréquents concernaient le tube digestif</w:t>
      </w:r>
      <w:r>
        <w:rPr>
          <w:rStyle w:val="FootnoteReference"/>
        </w:rPr>
        <w:footnoteReference w:id="483"/>
      </w:r>
      <w:r>
        <w:t xml:space="preserve">.</w:t>
      </w:r>
    </w:p>
    <w:p>
      <w:pPr>
        <w:pStyle w:val="BodyText"/>
      </w:pPr>
      <w:r>
        <w:t xml:space="preserve">Dans l’étude de phase 2, 318 personnes atteintes de diabète de type 2 ont reçu pendant 26 semaines l’une des quatre doses de tirzépatide, du dulaglutide ou un placebo. L’HbA1c a baissé de façon dose-dépendante jusqu’à 1,94 point de pourcentage (dulaglutide : −1,21 ; placebo : −0,06). Le poids corporel a varié de −0,9 à −11,3 kg sous tirzépatide, de −2,7 kg sous dulaglutide</w:t>
      </w:r>
      <w:r>
        <w:rPr>
          <w:rStyle w:val="FootnoteReference"/>
        </w:rPr>
        <w:footnoteReference w:id="484"/>
      </w:r>
      <w:r>
        <w:t xml:space="preserve">. Cet ordre de grandeur de la perte de poids – dans une étude sur le diabète – a été à l’origine du grand programme sur l’obésité.</w:t>
      </w:r>
    </w:p>
    <w:bookmarkEnd w:id="485"/>
    <w:bookmarkStart w:id="491" w:name="surpass-diabète-de-type-2"/>
    <w:p>
      <w:pPr>
        <w:pStyle w:val="Heading4"/>
      </w:pPr>
      <w:r>
        <w:t xml:space="preserve">SURPASS : diabète de type 2</w:t>
      </w:r>
    </w:p>
    <w:p>
      <w:pPr>
        <w:pStyle w:val="FirstParagraph"/>
      </w:pPr>
      <w:r>
        <w:t xml:space="preserve">Le programme SURPASS a évalué le tirzépatide à trois doses (5, 10 et 15 mg par semaine) contre placebo, contre sémaglutide et contre des insulines. La valeur de l’HbA1c reflète la glycémie moyenne des deux à trois derniers mois ; une valeur inférieure à 7 % est considérée comme objectif thérapeutique pour de nombreuses personnes diabétiques.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SURPASS-1 (Rosenstock 2021), PMID 34186022</w:t>
            </w:r>
          </w:p>
        </w:tc>
        <w:tc>
          <w:tcPr/>
          <w:p>
            <w:pPr>
              <w:pStyle w:val="Compact"/>
              <w:jc w:val="left"/>
            </w:pPr>
            <w:r>
              <w:t xml:space="preserve">478 adultes, régime et activité physique seuls, contre placebo</w:t>
            </w:r>
          </w:p>
        </w:tc>
        <w:tc>
          <w:tcPr/>
          <w:p>
            <w:pPr>
              <w:pStyle w:val="Compact"/>
              <w:jc w:val="left"/>
            </w:pPr>
            <w:r>
              <w:t xml:space="preserve">40 semaines</w:t>
            </w:r>
          </w:p>
        </w:tc>
        <w:tc>
          <w:tcPr/>
          <w:p>
            <w:pPr>
              <w:pStyle w:val="Compact"/>
              <w:jc w:val="left"/>
            </w:pPr>
            <w:r>
              <w:t xml:space="preserve">HbA1c −1,87 à −2,07 points vs +0,04 ; poids −7,0 à −9,5 kg</w:t>
            </w:r>
          </w:p>
        </w:tc>
      </w:tr>
      <w:tr>
        <w:tc>
          <w:tcPr/>
          <w:p>
            <w:pPr>
              <w:pStyle w:val="Compact"/>
              <w:jc w:val="left"/>
            </w:pPr>
            <w:r>
              <w:t xml:space="preserve">SURPASS-2 (Frías 2021), PMID 34170647</w:t>
            </w:r>
          </w:p>
        </w:tc>
        <w:tc>
          <w:tcPr/>
          <w:p>
            <w:pPr>
              <w:pStyle w:val="Compact"/>
              <w:jc w:val="left"/>
            </w:pPr>
            <w:r>
              <w:t xml:space="preserve">1 879 adultes sous metformine, ouverte contre sémaglutide 1 mg</w:t>
            </w:r>
          </w:p>
        </w:tc>
        <w:tc>
          <w:tcPr/>
          <w:p>
            <w:pPr>
              <w:pStyle w:val="Compact"/>
              <w:jc w:val="left"/>
            </w:pPr>
            <w:r>
              <w:t xml:space="preserve">40 semaines</w:t>
            </w:r>
          </w:p>
        </w:tc>
        <w:tc>
          <w:tcPr/>
          <w:p>
            <w:pPr>
              <w:pStyle w:val="Compact"/>
              <w:jc w:val="left"/>
            </w:pPr>
            <w:r>
              <w:t xml:space="preserve">HbA1c −2,01 à −2,30 vs −1,86 ; poids −1,9 à −5,5 kg supplémentaires</w:t>
            </w:r>
          </w:p>
        </w:tc>
      </w:tr>
      <w:tr>
        <w:tc>
          <w:tcPr/>
          <w:p>
            <w:pPr>
              <w:pStyle w:val="Compact"/>
              <w:jc w:val="left"/>
            </w:pPr>
            <w:r>
              <w:t xml:space="preserve">SURPASS-3 (Ludvik 2021), PMID 34370970</w:t>
            </w:r>
          </w:p>
        </w:tc>
        <w:tc>
          <w:tcPr/>
          <w:p>
            <w:pPr>
              <w:pStyle w:val="Compact"/>
              <w:jc w:val="left"/>
            </w:pPr>
            <w:r>
              <w:t xml:space="preserve">1 444 adultes, ouverte contre insuline dégludec</w:t>
            </w:r>
          </w:p>
        </w:tc>
        <w:tc>
          <w:tcPr/>
          <w:p>
            <w:pPr>
              <w:pStyle w:val="Compact"/>
              <w:jc w:val="left"/>
            </w:pPr>
            <w:r>
              <w:t xml:space="preserve">52 semaines</w:t>
            </w:r>
          </w:p>
        </w:tc>
        <w:tc>
          <w:tcPr/>
          <w:p>
            <w:pPr>
              <w:pStyle w:val="Compact"/>
              <w:jc w:val="left"/>
            </w:pPr>
            <w:r>
              <w:t xml:space="preserve">HbA1c −1,93 à −2,37 vs −1,34 ; poids −7,5 à −12,9 kg vs +2,3 kg</w:t>
            </w:r>
          </w:p>
        </w:tc>
      </w:tr>
      <w:tr>
        <w:tc>
          <w:tcPr/>
          <w:p>
            <w:pPr>
              <w:pStyle w:val="Compact"/>
              <w:jc w:val="left"/>
            </w:pPr>
            <w:r>
              <w:t xml:space="preserve">SURPASS-4 (Del Prato 2021), PMID 34672967</w:t>
            </w:r>
          </w:p>
        </w:tc>
        <w:tc>
          <w:tcPr/>
          <w:p>
            <w:pPr>
              <w:pStyle w:val="Compact"/>
              <w:jc w:val="left"/>
            </w:pPr>
            <w:r>
              <w:t xml:space="preserve">2 002 adultes à haut risque cardiovasculaire, ouverte contre insuline glargine</w:t>
            </w:r>
          </w:p>
        </w:tc>
        <w:tc>
          <w:tcPr/>
          <w:p>
            <w:pPr>
              <w:pStyle w:val="Compact"/>
              <w:jc w:val="left"/>
            </w:pPr>
            <w:r>
              <w:t xml:space="preserve">52 à 104 semaines</w:t>
            </w:r>
          </w:p>
        </w:tc>
        <w:tc>
          <w:tcPr/>
          <w:p>
            <w:pPr>
              <w:pStyle w:val="Compact"/>
              <w:jc w:val="left"/>
            </w:pPr>
            <w:r>
              <w:t xml:space="preserve">HbA1c −2,43/−2,58 vs −1,44 ; MACE-4 non augmentés (HR 0,74)</w:t>
            </w:r>
          </w:p>
        </w:tc>
      </w:tr>
      <w:tr>
        <w:tc>
          <w:tcPr/>
          <w:p>
            <w:pPr>
              <w:pStyle w:val="Compact"/>
              <w:jc w:val="left"/>
            </w:pPr>
            <w:r>
              <w:t xml:space="preserve">SURPASS-5 (Dahl 2022), PMID 35133415</w:t>
            </w:r>
          </w:p>
        </w:tc>
        <w:tc>
          <w:tcPr/>
          <w:p>
            <w:pPr>
              <w:pStyle w:val="Compact"/>
              <w:jc w:val="left"/>
            </w:pPr>
            <w:r>
              <w:t xml:space="preserve">475 adultes sous insuline glargine, contre placebo</w:t>
            </w:r>
          </w:p>
        </w:tc>
        <w:tc>
          <w:tcPr/>
          <w:p>
            <w:pPr>
              <w:pStyle w:val="Compact"/>
              <w:jc w:val="left"/>
            </w:pPr>
            <w:r>
              <w:t xml:space="preserve">40 semaines</w:t>
            </w:r>
          </w:p>
        </w:tc>
        <w:tc>
          <w:tcPr/>
          <w:p>
            <w:pPr>
              <w:pStyle w:val="Compact"/>
              <w:jc w:val="left"/>
            </w:pPr>
            <w:r>
              <w:t xml:space="preserve">HbA1c −2,11 à −2,40 vs −0,86 ; poids −5,4 à −8,8 kg vs +1,6 kg</w:t>
            </w:r>
          </w:p>
        </w:tc>
      </w:tr>
      <w:tr>
        <w:tc>
          <w:tcPr/>
          <w:p>
            <w:pPr>
              <w:pStyle w:val="Compact"/>
              <w:jc w:val="left"/>
            </w:pPr>
            <w:r>
              <w:t xml:space="preserve">SURPASS-PEDS (Hannon 2025), PMID 40975112</w:t>
            </w:r>
          </w:p>
        </w:tc>
        <w:tc>
          <w:tcPr/>
          <w:p>
            <w:pPr>
              <w:pStyle w:val="Compact"/>
              <w:jc w:val="left"/>
            </w:pPr>
            <w:r>
              <w:t xml:space="preserve">99 adolescents (10–17 ans) atteints de diabète de type 2, contre placebo</w:t>
            </w:r>
          </w:p>
        </w:tc>
        <w:tc>
          <w:tcPr/>
          <w:p>
            <w:pPr>
              <w:pStyle w:val="Compact"/>
              <w:jc w:val="left"/>
            </w:pPr>
            <w:r>
              <w:t xml:space="preserve">30 semaines (+22 en ouvert)</w:t>
            </w:r>
          </w:p>
        </w:tc>
        <w:tc>
          <w:tcPr/>
          <w:p>
            <w:pPr>
              <w:pStyle w:val="Compact"/>
              <w:jc w:val="left"/>
            </w:pPr>
            <w:r>
              <w:t xml:space="preserve">HbA1c −2,23 vs +0,05 ; IMC −7,4 à −11,2 %</w:t>
            </w:r>
          </w:p>
        </w:tc>
      </w:tr>
    </w:tbl>
    <w:p>
      <w:pPr>
        <w:pStyle w:val="BodyText"/>
      </w:pPr>
      <w:r>
        <w:t xml:space="preserve">Quelques points méritent d’être soulignés :</w:t>
      </w:r>
    </w:p>
    <w:p>
      <w:pPr>
        <w:numPr>
          <w:ilvl w:val="0"/>
          <w:numId w:val="1060"/>
        </w:numPr>
        <w:pStyle w:val="Compact"/>
      </w:pPr>
      <w:r>
        <w:rPr>
          <w:bCs/>
          <w:b/>
        </w:rPr>
        <w:t xml:space="preserve">En comparaison directe avec le sémaglutide</w:t>
      </w:r>
      <w:r>
        <w:t xml:space="preserve"> </w:t>
      </w:r>
      <w:r>
        <w:t xml:space="preserve">(SURPASS-2), le tirzépatide était, aux trois doses, non inférieur et supérieur pour l’HbA1c. L’étude utilisait toutefois le sémaglutide à la dose de 1 mg ; la dose plus élevée autorisée ultérieurement dans le diabète n’était pas le comparateur. La fréquence des nausées (17–22 % vs 18 %) et des vomissements (6–10 % vs 8 %) était similaire ; des événements indésirables graves sont survenus chez 5–7 % sous tirzépatide contre 3 % sous sémaglutide</w:t>
      </w:r>
      <w:r>
        <w:rPr>
          <w:rStyle w:val="FootnoteReference"/>
        </w:rPr>
        <w:footnoteReference w:id="486"/>
      </w:r>
      <w:r>
        <w:t xml:space="preserve">.</w:t>
      </w:r>
    </w:p>
    <w:p>
      <w:pPr>
        <w:numPr>
          <w:ilvl w:val="0"/>
          <w:numId w:val="1060"/>
        </w:numPr>
        <w:pStyle w:val="Compact"/>
      </w:pPr>
      <w:r>
        <w:rPr>
          <w:bCs/>
          <w:b/>
        </w:rPr>
        <w:t xml:space="preserve">Par rapport à l’insuline</w:t>
      </w:r>
      <w:r>
        <w:t xml:space="preserve">, le tirzépatide a entraîné une baisse plus importante de la glycémie et, en même temps, une perte de poids au lieu d’une prise de poids. Les hypoglycémies (inférieures à 54 mg/dl ou sévères) étaient nettement plus rares dans SURPASS-3 : 1–2 % contre 7 % sous insuline dégludec</w:t>
      </w:r>
      <w:r>
        <w:rPr>
          <w:rStyle w:val="FootnoteReference"/>
        </w:rPr>
        <w:footnoteReference w:id="487"/>
      </w:r>
      <w:r>
        <w:t xml:space="preserve">.</w:t>
      </w:r>
    </w:p>
    <w:p>
      <w:pPr>
        <w:numPr>
          <w:ilvl w:val="0"/>
          <w:numId w:val="1060"/>
        </w:numPr>
        <w:pStyle w:val="Compact"/>
      </w:pPr>
      <w:r>
        <w:rPr>
          <w:bCs/>
          <w:b/>
        </w:rPr>
        <w:t xml:space="preserve">Enfants et adolescents :</w:t>
      </w:r>
      <w:r>
        <w:t xml:space="preserve"> </w:t>
      </w:r>
      <w:r>
        <w:t xml:space="preserve">SURPASS-PEDS est l’une des rares études sur les incrétines dans le diabète de type 2 de l’adolescent. L’effet s’est maintenu dans la prolongation ouverte jusqu’à la semaine 52 ; le profil d’effets indésirables correspondait à celui des adultes</w:t>
      </w:r>
      <w:r>
        <w:rPr>
          <w:rStyle w:val="FootnoteReference"/>
        </w:rPr>
        <w:footnoteReference w:id="488"/>
      </w:r>
      <w:r>
        <w:t xml:space="preserve">.</w:t>
      </w:r>
    </w:p>
    <w:p>
      <w:pPr>
        <w:numPr>
          <w:ilvl w:val="0"/>
          <w:numId w:val="1060"/>
        </w:numPr>
        <w:pStyle w:val="Compact"/>
      </w:pPr>
      <w:r>
        <w:rPr>
          <w:bCs/>
          <w:b/>
        </w:rPr>
        <w:t xml:space="preserve">Diabète de type 1 :</w:t>
      </w:r>
      <w:r>
        <w:t xml:space="preserve"> </w:t>
      </w:r>
      <w:r>
        <w:t xml:space="preserve">une petite étude de phase 2 portant sur 24 adultes atteints de diabète de type 1 et d’obésité a montré après douze semaines une perte de poids de 10,3 kg contre 0,7 kg sous placebo et des besoins en insuline inférieurs de 35 %</w:t>
      </w:r>
      <w:r>
        <w:rPr>
          <w:rStyle w:val="FootnoteReference"/>
        </w:rPr>
        <w:footnoteReference w:id="489"/>
      </w:r>
      <w:r>
        <w:t xml:space="preserve">. Le tirzépatide n’est pas autorisé dans le diabète de type 1 ; des études plus grandes sont en cours (voir Perspectives).</w:t>
      </w:r>
    </w:p>
    <w:p>
      <w:pPr>
        <w:pStyle w:val="FirstParagraph"/>
      </w:pPr>
      <w:r>
        <w:t xml:space="preserve">Une méta-analyse prévue à l’avance de l’ensemble des sept études SURPASS d’une durée d’au moins 26 semaines (4 887 personnes sous tirzépatide, 2 328 dans les groupes témoins) n’a pas trouvé de risque accru d’événements cardiovasculaires graves (MACE-4, hazard ratio 0,80 ; intervalle de confiance à 95 % 0,57–1,11)</w:t>
      </w:r>
      <w:r>
        <w:rPr>
          <w:rStyle w:val="FootnoteReference"/>
        </w:rPr>
        <w:footnoteReference w:id="490"/>
      </w:r>
      <w:r>
        <w:t xml:space="preserve">. C’est une affirmation de sécurité, pas de bénéfice – pour cela, l’étude sur critères cliniques SURPASS-CVOT était nécessaire.</w:t>
      </w:r>
    </w:p>
    <w:bookmarkEnd w:id="491"/>
    <w:bookmarkStart w:id="495" w:name="surpass-cvot-critères-cardiovasculaires"/>
    <w:p>
      <w:pPr>
        <w:pStyle w:val="Heading4"/>
      </w:pPr>
      <w:r>
        <w:t xml:space="preserve">SURPASS-CVOT : critères cardiovasculaires</w:t>
      </w:r>
    </w:p>
    <w:p>
      <w:pPr>
        <w:pStyle w:val="FirstParagraph"/>
      </w:pPr>
      <w:r>
        <w:t xml:space="preserve">Pour les médicaments antidiabétiques, les autorités exigent la preuve qu’ils ne mettent pas le cœur en danger. SURPASS-CVOT est allée plus loin : au lieu d’un placebo, le tirzépatide a été opposé au dulaglutide, un médicament GLP-1 qui avait lui-même réduit les événements cardiovasculaires dans l’étude REWIND. 13 299 personnes atteintes de diabète de type 2 et d’une maladie athéroscléreuse existante ont été randomisées ; 13 165 ont été analysées</w:t>
      </w:r>
      <w:r>
        <w:rPr>
          <w:rStyle w:val="FootnoteReference"/>
        </w:rPr>
        <w:footnoteReference w:id="492"/>
      </w:r>
      <w:r>
        <w:t xml:space="preserve">.</w:t>
      </w:r>
    </w:p>
    <w:p>
      <w:pPr>
        <w:pStyle w:val="BodyText"/>
      </w:pPr>
      <w:r>
        <w:t xml:space="preserve">Le critère principal – décès cardiovasculaire, infarctus ou AVC – est survenu chez 801 personnes (12,2 %) sous tirzépatide et chez 862 (13,1 %) sous dulaglutide (hazard ratio 0,92 ; IC à 95,3 % 0,83–1,01). Le tirzépatide était ainsi</w:t>
      </w:r>
      <w:r>
        <w:t xml:space="preserve"> </w:t>
      </w:r>
      <w:r>
        <w:rPr>
          <w:bCs/>
          <w:b/>
        </w:rPr>
        <w:t xml:space="preserve">non inférieur</w:t>
      </w:r>
      <w:r>
        <w:t xml:space="preserve"> </w:t>
      </w:r>
      <w:r>
        <w:t xml:space="preserve">; la supériorité formelle a été manquée de peu (p = 0,09). Les effets indésirables gastro-intestinaux étaient plus fréquents sous tirzépatide.</w:t>
      </w:r>
    </w:p>
    <w:p>
      <w:pPr>
        <w:pStyle w:val="BodyText"/>
      </w:pPr>
      <w:r>
        <w:t xml:space="preserve">Une analyse a posteriori (post hoc) avec un critère plus large à six composantes – décès toutes causes, infarctus, AVC, revascularisation, hospitalisation pour insuffisance cardiaque et événements rénaux – a trouvé, après une durée de traitement médiane de près de quatre ans, des événements chez 23,7 % contre 27,4 % (hazard ratio 0,84 ; IC à 95 % 0,79–0,90)</w:t>
      </w:r>
      <w:r>
        <w:rPr>
          <w:rStyle w:val="FootnoteReference"/>
        </w:rPr>
        <w:footnoteReference w:id="493"/>
      </w:r>
      <w:r>
        <w:t xml:space="preserve">. Les analyses post hoc génèrent des hypothèses ; elles ne peuvent pas remplacer une analyse principale fixée à l’avance.</w:t>
      </w:r>
    </w:p>
    <w:p>
      <w:pPr>
        <w:pStyle w:val="BodyText"/>
      </w:pPr>
      <w:r>
        <w:t xml:space="preserve">L’ampleur du bénéfice par rapport à une</w:t>
      </w:r>
      <w:r>
        <w:t xml:space="preserve"> </w:t>
      </w:r>
      <w:r>
        <w:rPr>
          <w:iCs/>
          <w:i/>
        </w:rPr>
        <w:t xml:space="preserve">absence</w:t>
      </w:r>
      <w:r>
        <w:t xml:space="preserve"> </w:t>
      </w:r>
      <w:r>
        <w:t xml:space="preserve">de traitement ne peut pas être directement déduite d’une comparaison avec un médicament efficace. Une analyse prévue à l’avance, mais indirecte, a calculé un « bras placebo » à partir des données de l’étude REWIND et a obtenu pour le tirzépatide, par rapport à ce placebo calculé, un hazard ratio de 0,72 (IC à 95 % 0,55–0,94) pour décès cardiovasculaire, infarctus ou AVC</w:t>
      </w:r>
      <w:r>
        <w:rPr>
          <w:rStyle w:val="FootnoteReference"/>
        </w:rPr>
        <w:footnoteReference w:id="494"/>
      </w:r>
      <w:r>
        <w:t xml:space="preserve">. De tels calculs de modélisation reposent sur des hypothèses et ne remplacent pas une véritable comparaison avec placebo.</w:t>
      </w:r>
    </w:p>
    <w:bookmarkEnd w:id="495"/>
    <w:bookmarkStart w:id="501" w:name="surmount-obésité"/>
    <w:p>
      <w:pPr>
        <w:pStyle w:val="Heading4"/>
      </w:pPr>
      <w:r>
        <w:t xml:space="preserve">SURMOUNT : obésité</w:t>
      </w:r>
    </w:p>
    <w:p>
      <w:pPr>
        <w:pStyle w:val="FirstParagraph"/>
      </w:pPr>
      <w:r>
        <w:t xml:space="preserve">Dans le programme sur l’obésité, le tirzépatide a été étudié chez des personnes ayant un indice de masse corporelle (IMC) d’au moins 30, ou d’au moins 27 avec une comorbidité, toujours en complément de conseils diététiques et d’activité physique.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SURMOUNT-1 (Jastreboff 2022), PMID 35658024</w:t>
            </w:r>
          </w:p>
        </w:tc>
        <w:tc>
          <w:tcPr/>
          <w:p>
            <w:pPr>
              <w:pStyle w:val="Compact"/>
              <w:jc w:val="left"/>
            </w:pPr>
            <w:r>
              <w:t xml:space="preserve">2 539 adultes sans diabète, contre placebo</w:t>
            </w:r>
          </w:p>
        </w:tc>
        <w:tc>
          <w:tcPr/>
          <w:p>
            <w:pPr>
              <w:pStyle w:val="Compact"/>
              <w:jc w:val="left"/>
            </w:pPr>
            <w:r>
              <w:t xml:space="preserve">72 semaines</w:t>
            </w:r>
          </w:p>
        </w:tc>
        <w:tc>
          <w:tcPr/>
          <w:p>
            <w:pPr>
              <w:pStyle w:val="Compact"/>
              <w:jc w:val="left"/>
            </w:pPr>
            <w:r>
              <w:t xml:space="preserve">−15,0 / −19,5 / −20,9 % de poids (5/10/15 mg) vs −3,1 %</w:t>
            </w:r>
          </w:p>
        </w:tc>
      </w:tr>
      <w:tr>
        <w:tc>
          <w:tcPr/>
          <w:p>
            <w:pPr>
              <w:pStyle w:val="Compact"/>
              <w:jc w:val="left"/>
            </w:pPr>
            <w:r>
              <w:t xml:space="preserve">SURMOUNT-2 (Garvey 2023), PMID 37385275</w:t>
            </w:r>
          </w:p>
        </w:tc>
        <w:tc>
          <w:tcPr/>
          <w:p>
            <w:pPr>
              <w:pStyle w:val="Compact"/>
              <w:jc w:val="left"/>
            </w:pPr>
            <w:r>
              <w:t xml:space="preserve">938 adultes atteints de diabète de type 2, contre placebo</w:t>
            </w:r>
          </w:p>
        </w:tc>
        <w:tc>
          <w:tcPr/>
          <w:p>
            <w:pPr>
              <w:pStyle w:val="Compact"/>
              <w:jc w:val="left"/>
            </w:pPr>
            <w:r>
              <w:t xml:space="preserve">72 semaines</w:t>
            </w:r>
          </w:p>
        </w:tc>
        <w:tc>
          <w:tcPr/>
          <w:p>
            <w:pPr>
              <w:pStyle w:val="Compact"/>
              <w:jc w:val="left"/>
            </w:pPr>
            <w:r>
              <w:t xml:space="preserve">−12,8 / −14,7 % vs −3,2 %</w:t>
            </w:r>
          </w:p>
        </w:tc>
      </w:tr>
      <w:tr>
        <w:tc>
          <w:tcPr/>
          <w:p>
            <w:pPr>
              <w:pStyle w:val="Compact"/>
              <w:jc w:val="left"/>
            </w:pPr>
            <w:r>
              <w:t xml:space="preserve">SURMOUNT-3 (Wadden 2023), PMID 37840095</w:t>
            </w:r>
          </w:p>
        </w:tc>
        <w:tc>
          <w:tcPr/>
          <w:p>
            <w:pPr>
              <w:pStyle w:val="Compact"/>
              <w:jc w:val="left"/>
            </w:pPr>
            <w:r>
              <w:t xml:space="preserve">579 adultes après une intervention réussie de 12 semaines sur le mode de vie</w:t>
            </w:r>
          </w:p>
        </w:tc>
        <w:tc>
          <w:tcPr/>
          <w:p>
            <w:pPr>
              <w:pStyle w:val="Compact"/>
              <w:jc w:val="left"/>
            </w:pPr>
            <w:r>
              <w:t xml:space="preserve">72 semaines</w:t>
            </w:r>
          </w:p>
        </w:tc>
        <w:tc>
          <w:tcPr/>
          <w:p>
            <w:pPr>
              <w:pStyle w:val="Compact"/>
              <w:jc w:val="left"/>
            </w:pPr>
            <w:r>
              <w:t xml:space="preserve">−18,4 % supplémentaires vs +2,5 %</w:t>
            </w:r>
          </w:p>
        </w:tc>
      </w:tr>
      <w:tr>
        <w:tc>
          <w:tcPr/>
          <w:p>
            <w:pPr>
              <w:pStyle w:val="Compact"/>
              <w:jc w:val="left"/>
            </w:pPr>
            <w:r>
              <w:t xml:space="preserve">SURMOUNT-4 (Aronne 2024), PMID 38078870</w:t>
            </w:r>
          </w:p>
        </w:tc>
        <w:tc>
          <w:tcPr/>
          <w:p>
            <w:pPr>
              <w:pStyle w:val="Compact"/>
              <w:jc w:val="left"/>
            </w:pPr>
            <w:r>
              <w:t xml:space="preserve">670 adultes après 36 semaines de tirzépatide, poursuite vs arrêt</w:t>
            </w:r>
          </w:p>
        </w:tc>
        <w:tc>
          <w:tcPr/>
          <w:p>
            <w:pPr>
              <w:pStyle w:val="Compact"/>
              <w:jc w:val="left"/>
            </w:pPr>
            <w:r>
              <w:t xml:space="preserve">52 semaines (après la phase initiale)</w:t>
            </w:r>
          </w:p>
        </w:tc>
        <w:tc>
          <w:tcPr/>
          <w:p>
            <w:pPr>
              <w:pStyle w:val="Compact"/>
              <w:jc w:val="left"/>
            </w:pPr>
            <w:r>
              <w:t xml:space="preserve">−5,5 % en poursuivant vs +14,0 % de reprise</w:t>
            </w:r>
          </w:p>
        </w:tc>
      </w:tr>
      <w:tr>
        <w:tc>
          <w:tcPr/>
          <w:p>
            <w:pPr>
              <w:pStyle w:val="Compact"/>
              <w:jc w:val="left"/>
            </w:pPr>
            <w:r>
              <w:t xml:space="preserve">SURMOUNT-5 (Aronne 2025), PMID 40353578</w:t>
            </w:r>
          </w:p>
        </w:tc>
        <w:tc>
          <w:tcPr/>
          <w:p>
            <w:pPr>
              <w:pStyle w:val="Compact"/>
              <w:jc w:val="left"/>
            </w:pPr>
            <w:r>
              <w:t xml:space="preserve">751 adultes sans diabète, ouverte contre sémaglutide 2,4 mg</w:t>
            </w:r>
          </w:p>
        </w:tc>
        <w:tc>
          <w:tcPr/>
          <w:p>
            <w:pPr>
              <w:pStyle w:val="Compact"/>
              <w:jc w:val="left"/>
            </w:pPr>
            <w:r>
              <w:t xml:space="preserve">72 semaines</w:t>
            </w:r>
          </w:p>
        </w:tc>
        <w:tc>
          <w:tcPr/>
          <w:p>
            <w:pPr>
              <w:pStyle w:val="Compact"/>
              <w:jc w:val="left"/>
            </w:pPr>
            <w:r>
              <w:t xml:space="preserve">−20,2 % vs −13,7 %</w:t>
            </w:r>
          </w:p>
        </w:tc>
      </w:tr>
      <w:tr>
        <w:tc>
          <w:tcPr/>
          <w:p>
            <w:pPr>
              <w:pStyle w:val="Compact"/>
              <w:jc w:val="left"/>
            </w:pPr>
            <w:r>
              <w:t xml:space="preserve">SURMOUNT-1, données à 3 ans (Jastreboff 2025), PMID 39536238</w:t>
            </w:r>
          </w:p>
        </w:tc>
        <w:tc>
          <w:tcPr/>
          <w:p>
            <w:pPr>
              <w:pStyle w:val="Compact"/>
              <w:jc w:val="left"/>
            </w:pPr>
            <w:r>
              <w:t xml:space="preserve">1 032 adultes obèses avec prédiabète</w:t>
            </w:r>
          </w:p>
        </w:tc>
        <w:tc>
          <w:tcPr/>
          <w:p>
            <w:pPr>
              <w:pStyle w:val="Compact"/>
              <w:jc w:val="left"/>
            </w:pPr>
            <w:r>
              <w:t xml:space="preserve">176 semaines</w:t>
            </w:r>
          </w:p>
        </w:tc>
        <w:tc>
          <w:tcPr/>
          <w:p>
            <w:pPr>
              <w:pStyle w:val="Compact"/>
              <w:jc w:val="left"/>
            </w:pPr>
            <w:r>
              <w:t xml:space="preserve">−12,3 à −19,7 % vs −1,3 % ; diabète de type 2 1,3 % vs 13,3 %</w:t>
            </w:r>
          </w:p>
        </w:tc>
      </w:tr>
    </w:tbl>
    <w:p>
      <w:pPr>
        <w:pStyle w:val="BodyText"/>
      </w:pPr>
      <w:r>
        <w:rPr>
          <w:bCs/>
          <w:b/>
        </w:rPr>
        <w:t xml:space="preserve">SURMOUNT-1</w:t>
      </w:r>
      <w:r>
        <w:t xml:space="preserve"> </w:t>
      </w:r>
      <w:r>
        <w:t xml:space="preserve">est l’étude qui a fait connaître le tirzépatide comme médicament contre l’obésité. Avec un poids initial de 104,8 kg en moyenne, les participants ont perdu à la dose la plus élevée en moyenne 20,9 % de leur poids corporel. 57 % du groupe 15 mg ont atteint une perte de poids d’au moins 20 %, contre 3 % sous placebo. En raison d’effets indésirables, 4,3–7,1 % sous tirzépatide et 2,6 % sous placebo ont arrêté le traitement</w:t>
      </w:r>
      <w:r>
        <w:rPr>
          <w:rStyle w:val="FootnoteReference"/>
        </w:rPr>
        <w:footnoteReference w:id="496"/>
      </w:r>
      <w:r>
        <w:t xml:space="preserve">.</w:t>
      </w:r>
    </w:p>
    <w:p>
      <w:pPr>
        <w:pStyle w:val="BodyText"/>
      </w:pPr>
      <w:r>
        <w:rPr>
          <w:bCs/>
          <w:b/>
        </w:rPr>
        <w:t xml:space="preserve">Les personnes atteintes de diabète de type 2</w:t>
      </w:r>
      <w:r>
        <w:t xml:space="preserve"> </w:t>
      </w:r>
      <w:r>
        <w:t xml:space="preserve">perdent moins de poids que les personnes sans diabète avec tous les médicaments incrétines. SURMOUNT-2 l’a également montré : la différence par rapport au placebo était de 9,6 et 11,6 points de pourcentage</w:t>
      </w:r>
      <w:r>
        <w:rPr>
          <w:rStyle w:val="FootnoteReference"/>
        </w:rPr>
        <w:footnoteReference w:id="497"/>
      </w:r>
      <w:r>
        <w:t xml:space="preserve">.</w:t>
      </w:r>
    </w:p>
    <w:p>
      <w:pPr>
        <w:pStyle w:val="BodyText"/>
      </w:pPr>
      <w:r>
        <w:rPr>
          <w:bCs/>
          <w:b/>
        </w:rPr>
        <w:t xml:space="preserve">Que se passe-t-il après l’arrêt ?</w:t>
      </w:r>
      <w:r>
        <w:t xml:space="preserve"> </w:t>
      </w:r>
      <w:r>
        <w:t xml:space="preserve">SURMOUNT-4 a répondu à cette question avec un plan de « retrait randomisé » : tous les participants ont d’abord reçu 36 semaines de tirzépatide et perdu en moyenne 20,9 %. Puis on a tiré au sort qui poursuivait le tirzépatide et qui recevait, sans le savoir, un placebo. Au cours des 52 semaines suivantes, le groupe placebo a repris 14,0 %, le groupe tirzépatide a perdu 5,5 % supplémentaires. Sur toute la durée de l’étude, la perte de poids était de 25,3 % contre 9,9 %</w:t>
      </w:r>
      <w:r>
        <w:rPr>
          <w:rStyle w:val="FootnoteReference"/>
        </w:rPr>
        <w:footnoteReference w:id="498"/>
      </w:r>
      <w:r>
        <w:t xml:space="preserve">. Le message des autrices et auteurs : l’obésité se comporte comme une maladie chronique dont le traitement doit le plus souvent être permanent.</w:t>
      </w:r>
    </w:p>
    <w:p>
      <w:pPr>
        <w:pStyle w:val="BodyText"/>
      </w:pPr>
      <w:r>
        <w:rPr>
          <w:bCs/>
          <w:b/>
        </w:rPr>
        <w:t xml:space="preserve">Dose d’entretien plus faible :</w:t>
      </w:r>
      <w:r>
        <w:t xml:space="preserve"> </w:t>
      </w:r>
      <w:r>
        <w:t xml:space="preserve">la possibilité de passer à une dose plus faible après la perte de poids a été étudiée dans SURMOUNT-MAINTAIN, avec 378 personnes randomisées aux États-Unis. Après 60 semaines à la dose maximale, elles ont été réparties en trois groupes. À la semaine 112, la perte de poids depuis le début de l’étude était de −21,9 % (poursuite de la dose maximale), −16,6 % (réduction à 5 mg) et −9,9 % (placebo). Un traitement de secours pour une reprise d’au moins 50 % a été nécessaire chez 8 %, 25 % et 67 % respectivement</w:t>
      </w:r>
      <w:r>
        <w:rPr>
          <w:rStyle w:val="FootnoteReference"/>
        </w:rPr>
        <w:footnoteReference w:id="499"/>
      </w:r>
      <w:r>
        <w:t xml:space="preserve">. La réduction de dose est donc une solution intermédiaire au succès très variable d’une personne à l’autre.</w:t>
      </w:r>
    </w:p>
    <w:p>
      <w:pPr>
        <w:pStyle w:val="BodyText"/>
      </w:pPr>
      <w:r>
        <w:rPr>
          <w:bCs/>
          <w:b/>
        </w:rPr>
        <w:t xml:space="preserve">Prévention du diabète :</w:t>
      </w:r>
      <w:r>
        <w:t xml:space="preserve"> </w:t>
      </w:r>
      <w:r>
        <w:t xml:space="preserve">dans l’analyse à trois ans de SURMOUNT-1 chez les personnes atteintes de prédiabète (stade précurseur du diabète), 1,3 % sous tirzépatide et 13,3 % sous placebo ont développé un diabète de type 2. Même 17 semaines après l’arrêt, la différence restait nette (2,4 % vs 13,7 %). Aucun nouveau signal de sécurité n’est apparu au cours de ces trois ans</w:t>
      </w:r>
      <w:r>
        <w:rPr>
          <w:rStyle w:val="FootnoteReference"/>
        </w:rPr>
        <w:footnoteReference w:id="500"/>
      </w:r>
      <w:r>
        <w:t xml:space="preserve">.</w:t>
      </w:r>
    </w:p>
    <w:bookmarkEnd w:id="501"/>
    <w:bookmarkStart w:id="504" w:name="Xe7cb8120f2f607587921cfa77fa3b1eb7be6a9b"/>
    <w:p>
      <w:pPr>
        <w:pStyle w:val="Heading4"/>
      </w:pPr>
      <w:r>
        <w:t xml:space="preserve">SURMOUNT-5 : tirzépatide contre sémaglutide</w:t>
      </w:r>
    </w:p>
    <w:p>
      <w:pPr>
        <w:pStyle w:val="FirstParagraph"/>
      </w:pPr>
      <w:r>
        <w:t xml:space="preserve">La comparaison directe attendue par beaucoup dans l’obésité sans diabète a été fournie par SURMOUNT-5</w:t>
      </w:r>
      <w:r>
        <w:rPr>
          <w:rStyle w:val="FootnoteReference"/>
        </w:rPr>
        <w:footnoteReference w:id="502"/>
      </w:r>
      <w:r>
        <w:t xml:space="preserve">. 751 adultes ont reçu en ouvert (c’est-à-dire sans insu) la dose maximale tolérée de tirzépatide (10 ou 15 mg) ou de sémaglutide (1,7 ou 2,4 mg). Après 72 semaines :</w:t>
      </w:r>
    </w:p>
    <w:p>
      <w:pPr>
        <w:numPr>
          <w:ilvl w:val="0"/>
          <w:numId w:val="1061"/>
        </w:numPr>
        <w:pStyle w:val="Compact"/>
      </w:pPr>
      <w:r>
        <w:t xml:space="preserve">Variation de poids : −20,2 % avec le tirzépatide contre −13,7 % avec le sémaglutide.</w:t>
      </w:r>
    </w:p>
    <w:p>
      <w:pPr>
        <w:numPr>
          <w:ilvl w:val="0"/>
          <w:numId w:val="1061"/>
        </w:numPr>
        <w:pStyle w:val="Compact"/>
      </w:pPr>
      <w:r>
        <w:t xml:space="preserve">Tour de taille : −18,4 cm contre −13,0 cm.</w:t>
      </w:r>
    </w:p>
    <w:p>
      <w:pPr>
        <w:numPr>
          <w:ilvl w:val="0"/>
          <w:numId w:val="1061"/>
        </w:numPr>
        <w:pStyle w:val="Compact"/>
      </w:pPr>
      <w:r>
        <w:t xml:space="preserve">Davantage de participants sous tirzépatide ont atteint chacun des seuils de 10, 15, 20 et 25 %.</w:t>
      </w:r>
    </w:p>
    <w:p>
      <w:pPr>
        <w:numPr>
          <w:ilvl w:val="0"/>
          <w:numId w:val="1061"/>
        </w:numPr>
        <w:pStyle w:val="Compact"/>
      </w:pPr>
      <w:r>
        <w:t xml:space="preserve">Les effets indésirables étaient, dans les deux groupes, principalement des troubles gastro-intestinaux, le plus souvent légers à modérés et surtout pendant la phase d’augmentation de la dose.</w:t>
      </w:r>
    </w:p>
    <w:p>
      <w:pPr>
        <w:pStyle w:val="FirstParagraph"/>
      </w:pPr>
      <w:r>
        <w:t xml:space="preserve">Une analyse ultérieure a montré que 44 % sous tirzépatide et 21 % sous sémaglutide avaient déjà perdu au moins 15 % à la semaine 24 (« répondeurs rapides »). Ceux-ci ont eu un peu plus d’événements gastro-intestinaux et biliaires, mais n’ont pas arrêté le traitement plus souvent</w:t>
      </w:r>
      <w:r>
        <w:rPr>
          <w:rStyle w:val="FootnoteReference"/>
        </w:rPr>
        <w:footnoteReference w:id="503"/>
      </w:r>
      <w:r>
        <w:t xml:space="preserve">.</w:t>
      </w:r>
    </w:p>
    <w:p>
      <w:pPr>
        <w:pStyle w:val="BodyText"/>
      </w:pPr>
      <w:r>
        <w:t xml:space="preserve">Pour situer ce résultat : SURMOUNT-5 a été financée par le fabricant du tirzépatide et menée en ouvert. La différence est néanmoins suffisamment grande pour qu’elle puisse difficilement s’expliquer par ces seules limites. Tu trouveras une comparaison de tous les médicaments GLP-1 dans la partie III.</w:t>
      </w:r>
    </w:p>
    <w:bookmarkEnd w:id="504"/>
    <w:bookmarkStart w:id="507" w:name="insuffisance-cardiaque-summit"/>
    <w:p>
      <w:pPr>
        <w:pStyle w:val="Heading4"/>
      </w:pPr>
      <w:r>
        <w:t xml:space="preserve">Insuffisance cardiaque : SUMMIT</w:t>
      </w:r>
    </w:p>
    <w:p>
      <w:pPr>
        <w:pStyle w:val="FirstParagraph"/>
      </w:pPr>
      <w:r>
        <w:t xml:space="preserve">L’insuffisance cardiaque à fraction d’éjection préservée (ICFEp) est une forme fréquente d’insuffisance cardiaque dans laquelle le cœur éjecte normalement, mais se remplit mal. L’obésité en est un moteur important. Dans SUMMIT, 731 personnes atteintes d’ICFEp et ayant un IMC d’au moins 30 ont été randomisées sous tirzépatide ou placebo et suivies pendant une médiane de 104 semaines</w:t>
      </w:r>
      <w:r>
        <w:rPr>
          <w:rStyle w:val="FootnoteReference"/>
        </w:rPr>
        <w:footnoteReference w:id="505"/>
      </w:r>
      <w:r>
        <w:t xml:space="preserve">.</w:t>
      </w:r>
    </w:p>
    <w:p>
      <w:pPr>
        <w:numPr>
          <w:ilvl w:val="0"/>
          <w:numId w:val="1062"/>
        </w:numPr>
        <w:pStyle w:val="Compact"/>
      </w:pPr>
      <w:r>
        <w:t xml:space="preserve">Décès cardiovasculaire ou aggravation de l’insuffisance cardiaque : 9,9 % sous tirzépatide vs 15,3 % sous placebo (hazard ratio 0,62 ; IC à 95 % 0,41–0,95).</w:t>
      </w:r>
    </w:p>
    <w:p>
      <w:pPr>
        <w:numPr>
          <w:ilvl w:val="0"/>
          <w:numId w:val="1062"/>
        </w:numPr>
        <w:pStyle w:val="Compact"/>
      </w:pPr>
      <w:r>
        <w:t xml:space="preserve">Cette différence reposait sur moins d’événements d’aggravation (8,0 % vs 14,2 %). Les décès cardiovasculaires étaient rares et numériquement même un peu plus fréquents sous tirzépatide (2,2 % vs 1,4 %), avec une marge d’incertitude très large.</w:t>
      </w:r>
    </w:p>
    <w:p>
      <w:pPr>
        <w:numPr>
          <w:ilvl w:val="0"/>
          <w:numId w:val="1062"/>
        </w:numPr>
        <w:pStyle w:val="Compact"/>
      </w:pPr>
      <w:r>
        <w:t xml:space="preserve">La qualité de vie (questionnaire KCCQ) s’est améliorée davantage : +19,5 contre +12,7 points.</w:t>
      </w:r>
    </w:p>
    <w:p>
      <w:pPr>
        <w:numPr>
          <w:ilvl w:val="0"/>
          <w:numId w:val="1062"/>
        </w:numPr>
        <w:pStyle w:val="Compact"/>
      </w:pPr>
      <w:r>
        <w:t xml:space="preserve">Arrêts pour effets indésirables : 6,3 % vs 1,4 %.</w:t>
      </w:r>
    </w:p>
    <w:p>
      <w:pPr>
        <w:pStyle w:val="FirstParagraph"/>
      </w:pPr>
      <w:r>
        <w:t xml:space="preserve">Une sous-étude par IRM cardiaque a montré une diminution de la masse musculaire ventriculaire gauche et du tissu adipeux autour du cœur</w:t>
      </w:r>
      <w:r>
        <w:rPr>
          <w:rStyle w:val="FootnoteReference"/>
        </w:rPr>
        <w:footnoteReference w:id="506"/>
      </w:r>
      <w:r>
        <w:t xml:space="preserve">. Avec 731 personnes et 92 événements, SUMMIT est une étude sur critères cliniques relativement petite ; les résultats sont encourageants, mais pas aussi solides que des données issues d’études portant sur des milliers de participants.</w:t>
      </w:r>
    </w:p>
    <w:bookmarkEnd w:id="507"/>
    <w:bookmarkStart w:id="509" w:name="X6acf12615a4d418cfdc0786cd37a23e1eb55c30"/>
    <w:p>
      <w:pPr>
        <w:pStyle w:val="Heading4"/>
      </w:pPr>
      <w:r>
        <w:t xml:space="preserve">Apnée obstructive du sommeil : SURMOUNT-OSA</w:t>
      </w:r>
    </w:p>
    <w:p>
      <w:pPr>
        <w:pStyle w:val="FirstParagraph"/>
      </w:pPr>
      <w:r>
        <w:t xml:space="preserve">Dans l’apnée obstructive du sommeil, les voies respiratoires supérieures s’affaissent à répétition pendant le sommeil ; la respiration s’interrompt (apnée) ou devient superficielle (hypopnée). L’indice d’apnées-hypopnées (IAH) compte ces événements par heure ; à partir de 30, l’apnée du sommeil est considérée comme sévère. L’excès de poids est un facteur de risque majeur.</w:t>
      </w:r>
    </w:p>
    <w:p>
      <w:pPr>
        <w:pStyle w:val="BodyText"/>
      </w:pPr>
      <w:r>
        <w:t xml:space="preserve">SURMOUNT-OSA comprenait deux études parallèles chez des personnes obèses atteintes d’apnée du sommeil modérée à sévère : sans traitement par masque respiratoire (étude 1) et avec masque (PPC, étude 2). IAH initial d’environ 50 événements par heure. Après 52 semaines</w:t>
      </w:r>
      <w:r>
        <w:rPr>
          <w:rStyle w:val="FootnoteReference"/>
        </w:rPr>
        <w:footnoteReference w:id="508"/>
      </w:r>
      <w:r>
        <w:t xml:space="preserve"> </w:t>
      </w:r>
      <w:r>
        <w:t xml:space="preserve">:</w:t>
      </w:r>
    </w:p>
    <w:p>
      <w:pPr>
        <w:numPr>
          <w:ilvl w:val="0"/>
          <w:numId w:val="1063"/>
        </w:numPr>
        <w:pStyle w:val="Compact"/>
      </w:pPr>
      <w:r>
        <w:t xml:space="preserve">Étude 1 : IAH −25,3 événements/heure avec le tirzépatide vs −5,3 avec le placebo.</w:t>
      </w:r>
    </w:p>
    <w:p>
      <w:pPr>
        <w:numPr>
          <w:ilvl w:val="0"/>
          <w:numId w:val="1063"/>
        </w:numPr>
        <w:pStyle w:val="Compact"/>
      </w:pPr>
      <w:r>
        <w:t xml:space="preserve">Étude 2 : IAH −29,3 vs −5,5.</w:t>
      </w:r>
    </w:p>
    <w:p>
      <w:pPr>
        <w:numPr>
          <w:ilvl w:val="0"/>
          <w:numId w:val="1063"/>
        </w:numPr>
        <w:pStyle w:val="Compact"/>
      </w:pPr>
      <w:r>
        <w:t xml:space="preserve">En outre, la charge hypoxique, les marqueurs inflammatoires (CRPus), la pression artérielle et les troubles du sommeil rapportés par les participants se sont améliorés.</w:t>
      </w:r>
    </w:p>
    <w:p>
      <w:pPr>
        <w:pStyle w:val="FirstParagraph"/>
      </w:pPr>
      <w:r>
        <w:t xml:space="preserve">Sur cette base, le tirzépatide a été autorisé aux États-Unis comme premier médicament pour le traitement de l’apnée du sommeil associée à l’obésité. Il ne remplace pas automatiquement un masque respiratoire : même après la diminution, l’IAH restait chez de nombreux participants dans une zone nécessitant un traitement. La décision thérapeutique relève de spécialistes de la médecine du sommeil.</w:t>
      </w:r>
    </w:p>
    <w:bookmarkEnd w:id="509"/>
    <w:bookmarkStart w:id="511" w:name="stéatose-hépatique-mash"/>
    <w:p>
      <w:pPr>
        <w:pStyle w:val="Heading4"/>
      </w:pPr>
      <w:r>
        <w:t xml:space="preserve">Stéatose hépatique (MASH)</w:t>
      </w:r>
    </w:p>
    <w:p>
      <w:pPr>
        <w:pStyle w:val="FirstParagraph"/>
      </w:pPr>
      <w:r>
        <w:t xml:space="preserve">La stéatohépatite associée à un dysfonctionnement métabolique (MASH, anciennement NASH) est une forme inflammatoire de stéatose hépatique qui peut évoluer vers une cicatrisation (fibrose) et une cirrhose. Dans l’étude de phase 2 SYNERGY-NASH, 190 personnes atteintes de MASH prouvée par biopsie et de fibrose modérée à sévère ont reçu du tirzépatide ou un placebo. Après 52 semaines, la MASH a disparu sans aggravation de la fibrose chez 44–62 % sous tirzépatide contre 10 % sous placebo ; une amélioration de la fibrose d’au moins un stade a été observée chez 51–55 % contre 30 %</w:t>
      </w:r>
      <w:r>
        <w:rPr>
          <w:rStyle w:val="FootnoteReference"/>
        </w:rPr>
        <w:footnoteReference w:id="510"/>
      </w:r>
      <w:r>
        <w:t xml:space="preserve">. Une étude de phase 3 est en cours (voir Perspectives).</w:t>
      </w:r>
    </w:p>
    <w:bookmarkEnd w:id="511"/>
    <w:bookmarkStart w:id="514" w:name="Xcd0593717874c2f677b8d2821c19b695515b98b"/>
    <w:p>
      <w:pPr>
        <w:pStyle w:val="Heading4"/>
      </w:pPr>
      <w:r>
        <w:t xml:space="preserve">Autres domaines d’utilisation et méta-analyses</w:t>
      </w:r>
    </w:p>
    <w:p>
      <w:pPr>
        <w:pStyle w:val="FirstParagraph"/>
      </w:pPr>
      <w:r>
        <w:t xml:space="preserve">La littérature sur le tirzépatide croît très rapidement. Outre les grands programmes, il existe des études sur le psoriasis et le rhumatisme psoriasique en association avec des biothérapies : dans une étude ouverte de phase 3b portant sur 274 personnes, 27,1 % sous ixékizumab plus tirzépatide ont obtenu simultanément une disparition complète des plaques cutanées (PASI 100) et une perte de poids d’au moins 10 %, contre 5,8 % sous ixékizumab seul</w:t>
      </w:r>
      <w:r>
        <w:rPr>
          <w:rStyle w:val="FootnoteReference"/>
        </w:rPr>
        <w:footnoteReference w:id="512"/>
      </w:r>
      <w:r>
        <w:t xml:space="preserve">. D’autres travaux portent sur le syndrome des ovaires polykystiques, la fonction rénale et des populations spécifiques à l’Asie (SURMOUNT-J, SURMOUNT-CN, SURPASS-AP-Combo). Une présentation exhaustive de toutes les études dépasserait le cadre de ce livre ; elles sont répertoriées dans la liste des études en annexe.</w:t>
      </w:r>
    </w:p>
    <w:p>
      <w:pPr>
        <w:pStyle w:val="BodyText"/>
      </w:pPr>
      <w:r>
        <w:t xml:space="preserve">Concernant la composition corporelle : dans une sous-étude DXA de SURMOUNT-1 portant sur 160 personnes, environ 75 % du poids perdu était de la graisse et environ 25 % de la masse maigre (dont fait partie la musculature) – dans la même proportion que dans le groupe placebo</w:t>
      </w:r>
      <w:r>
        <w:rPr>
          <w:rStyle w:val="FootnoteReference"/>
        </w:rPr>
        <w:footnoteReference w:id="513"/>
      </w:r>
      <w:r>
        <w:t xml:space="preserve">. L’inquiétude concernant la perte musculaire est donc justifiée, mais il ne s’agit pas d’un effet spécifique au tirzépatide : elle est typique de toute perte de poids importante.</w:t>
      </w:r>
    </w:p>
    <w:bookmarkEnd w:id="514"/>
    <w:bookmarkEnd w:id="515"/>
    <w:bookmarkStart w:id="519" w:name="études-animales-et-de-laboratoire-4"/>
    <w:p>
      <w:pPr>
        <w:pStyle w:val="Heading3"/>
      </w:pPr>
      <w:r>
        <w:t xml:space="preserve">Études animales et de laboratoire</w:t>
      </w:r>
    </w:p>
    <w:p>
      <w:pPr>
        <w:pStyle w:val="FirstParagraph"/>
      </w:pPr>
      <w:r>
        <w:t xml:space="preserve">Le développement préclinique est inhabituellement bien publié. Dans des cultures cellulaires, le tirzépatide active les deux récepteurs ; chez la souris, il a réduit le poids et la prise alimentaire davantage qu’un agoniste pur du GLP-1</w:t>
      </w:r>
      <w:r>
        <w:rPr>
          <w:rStyle w:val="FootnoteReference"/>
        </w:rPr>
        <w:footnoteReference w:id="516"/>
      </w:r>
      <w:r>
        <w:t xml:space="preserve">. Des études chez des souris dépourvues de récepteur du GLP-1 fonctionnel ont montré que la composante GIP améliore la sensibilité à l’insuline dans le tissu adipeux</w:t>
      </w:r>
      <w:r>
        <w:rPr>
          <w:rStyle w:val="FootnoteReference"/>
        </w:rPr>
        <w:footnoteReference w:id="517"/>
      </w:r>
      <w:r>
        <w:t xml:space="preserve">. Concernant la distribution et la dégradation dans l’organisme, des études existent chez l’humain, le rat et le singe : la molécule est métabolisée par clivage de la structure peptidique et dégradation de la chaîne d’acide gras ; chez l’humain, environ 66 % de la substance marquée ont été retrouvés dans les urines et environ 33 % dans les selles, mais le tirzépatide inchangé n’a été retrouvé ni dans les unes ni dans les autres</w:t>
      </w:r>
      <w:r>
        <w:rPr>
          <w:rStyle w:val="FootnoteReference"/>
        </w:rPr>
        <w:footnoteReference w:id="518"/>
      </w:r>
      <w:r>
        <w:t xml:space="preserve">.</w:t>
      </w:r>
    </w:p>
    <w:p>
      <w:pPr>
        <w:pStyle w:val="BodyText"/>
      </w:pPr>
      <w:r>
        <w:t xml:space="preserve">Comme pour tous les agonistes du GLP-1 à longue durée d’action, des tumeurs des cellules C de la thyroïde sont apparues dans des études à long terme chez les rongeurs. La transposabilité de ce résultat à l’humain n’est pas établie, car les rongeurs portent nettement plus de récepteurs du GLP-1 sur ces cellules. Ce résultat animal est à l’origine des mises en garde figurant dans le résumé des caractéristiques du produit (voir ci-dessous).</w:t>
      </w:r>
    </w:p>
    <w:bookmarkEnd w:id="519"/>
    <w:bookmarkStart w:id="528" w:name="risques-et-effets-indésirables-4"/>
    <w:p>
      <w:pPr>
        <w:pStyle w:val="Heading3"/>
      </w:pPr>
      <w:r>
        <w:t xml:space="preserve">Risques et effets indésirables</w:t>
      </w:r>
    </w:p>
    <w:p>
      <w:pPr>
        <w:pStyle w:val="FirstParagraph"/>
      </w:pPr>
      <w:r>
        <w:rPr>
          <w:bCs/>
          <w:b/>
        </w:rPr>
        <w:t xml:space="preserve">Démontrés dans des études :</w:t>
      </w:r>
    </w:p>
    <w:p>
      <w:pPr>
        <w:numPr>
          <w:ilvl w:val="0"/>
          <w:numId w:val="1064"/>
        </w:numPr>
        <w:pStyle w:val="Compact"/>
      </w:pPr>
      <w:r>
        <w:t xml:space="preserve">Les</w:t>
      </w:r>
      <w:r>
        <w:t xml:space="preserve"> </w:t>
      </w:r>
      <w:r>
        <w:rPr>
          <w:bCs/>
          <w:b/>
        </w:rPr>
        <w:t xml:space="preserve">troubles gastro-intestinaux</w:t>
      </w:r>
      <w:r>
        <w:t xml:space="preserve"> </w:t>
      </w:r>
      <w:r>
        <w:t xml:space="preserve">sont de loin les plus fréquents : nausées, diarrhées, vomissements, constipation, diminution de l’appétit. Dans SURPASS-3, 12–24 % ont signalé des nausées, 15–17 % des diarrhées et 6–10 % des vomissements</w:t>
      </w:r>
      <w:r>
        <w:rPr>
          <w:rStyle w:val="FootnoteReference"/>
        </w:rPr>
        <w:footnoteReference w:id="520"/>
      </w:r>
      <w:r>
        <w:t xml:space="preserve">. Les troubles surviennent surtout pendant la phase d’augmentation de la dose et s’atténuent le plus souvent. Ils sont la raison la plus fréquente des arrêts de traitement.</w:t>
      </w:r>
    </w:p>
    <w:p>
      <w:pPr>
        <w:numPr>
          <w:ilvl w:val="0"/>
          <w:numId w:val="1064"/>
        </w:numPr>
        <w:pStyle w:val="Compact"/>
      </w:pPr>
      <w:r>
        <w:rPr>
          <w:bCs/>
          <w:b/>
        </w:rPr>
        <w:t xml:space="preserve">Vésicule et voies biliaires :</w:t>
      </w:r>
      <w:r>
        <w:t xml:space="preserve"> </w:t>
      </w:r>
      <w:r>
        <w:t xml:space="preserve">une méta-analyse de neuf études portant sur 9 871 participants a trouvé un risque accru pour la catégorie regroupant les maladies de la vésicule ou des voies biliaires par rapport au placebo ou à l’insuline (risque relatif 1,97 ; IC à 95 % 1,14–3,42), mais pas d’augmentation statistiquement significative de la pancréatite</w:t>
      </w:r>
      <w:r>
        <w:rPr>
          <w:rStyle w:val="FootnoteReference"/>
        </w:rPr>
        <w:footnoteReference w:id="521"/>
      </w:r>
      <w:r>
        <w:t xml:space="preserve">. Une perte de poids rapide favorise elle-même les calculs biliaires.</w:t>
      </w:r>
    </w:p>
    <w:p>
      <w:pPr>
        <w:numPr>
          <w:ilvl w:val="0"/>
          <w:numId w:val="1064"/>
        </w:numPr>
        <w:pStyle w:val="Compact"/>
      </w:pPr>
      <w:r>
        <w:rPr>
          <w:bCs/>
          <w:b/>
        </w:rPr>
        <w:t xml:space="preserve">Hypoglycémie :</w:t>
      </w:r>
      <w:r>
        <w:t xml:space="preserve"> </w:t>
      </w:r>
      <w:r>
        <w:t xml:space="preserve">rare en monothérapie. Le risque augmente en cas de prise simultanée d’insuline ou de sulfamides – dans SURPASS-4, des hypoglycémies sont survenues sans sulfamide chez 1–3 %</w:t>
      </w:r>
      <w:r>
        <w:rPr>
          <w:rStyle w:val="FootnoteReference"/>
        </w:rPr>
        <w:footnoteReference w:id="522"/>
      </w:r>
      <w:r>
        <w:t xml:space="preserve">.</w:t>
      </w:r>
    </w:p>
    <w:p>
      <w:pPr>
        <w:numPr>
          <w:ilvl w:val="0"/>
          <w:numId w:val="1064"/>
        </w:numPr>
        <w:pStyle w:val="Compact"/>
      </w:pPr>
      <w:r>
        <w:rPr>
          <w:bCs/>
          <w:b/>
        </w:rPr>
        <w:t xml:space="preserve">Santé mentale :</w:t>
      </w:r>
      <w:r>
        <w:t xml:space="preserve"> </w:t>
      </w:r>
      <w:r>
        <w:t xml:space="preserve">une analyse ultérieure de SURMOUNT-1 à -3 portant sur 4 056 personnes sans maladie psychiatrique grave connue n’a trouvé aucun indice d’une augmentation des dépressions ; des idées suicidaires ont été signalées par 0,6 % dans les deux groupes</w:t>
      </w:r>
      <w:r>
        <w:rPr>
          <w:rStyle w:val="FootnoteReference"/>
        </w:rPr>
        <w:footnoteReference w:id="523"/>
      </w:r>
      <w:r>
        <w:t xml:space="preserve">. Les données sont insuffisantes pour les personnes atteintes de maladies psychiatriques graves.</w:t>
      </w:r>
    </w:p>
    <w:p>
      <w:pPr>
        <w:numPr>
          <w:ilvl w:val="0"/>
          <w:numId w:val="1064"/>
        </w:numPr>
        <w:pStyle w:val="Compact"/>
      </w:pPr>
      <w:r>
        <w:rPr>
          <w:bCs/>
          <w:b/>
        </w:rPr>
        <w:t xml:space="preserve">Perte de masse maigre :</w:t>
      </w:r>
      <w:r>
        <w:t xml:space="preserve"> </w:t>
      </w:r>
      <w:r>
        <w:t xml:space="preserve">environ un quart du poids perdu</w:t>
      </w:r>
      <w:r>
        <w:rPr>
          <w:rStyle w:val="FootnoteReference"/>
        </w:rPr>
        <w:footnoteReference w:id="524"/>
      </w:r>
      <w:r>
        <w:t xml:space="preserve">. Les spécialistes recommandent un entraînement en force et un apport suffisant en protéines pour compenser ; les données d’études solides sur le bénéfice fonctionnel sont limitées.</w:t>
      </w:r>
    </w:p>
    <w:p>
      <w:pPr>
        <w:pStyle w:val="FirstParagraph"/>
      </w:pPr>
      <w:r>
        <w:rPr>
          <w:bCs/>
          <w:b/>
        </w:rPr>
        <w:t xml:space="preserve">Issus des données après la mise sur le marché :</w:t>
      </w:r>
      <w:r>
        <w:t xml:space="preserve"> </w:t>
      </w:r>
      <w:r>
        <w:t xml:space="preserve">une analyse de la base de données américaine des effets indésirables FAERS a trouvé un nombre disproportionné de notifications de nausées, de pancréatites, de rétinopathies diabétiques et de cancers médullaires de la thyroïde – mais pas de risque accru par rapport à d’autres agonistes du GLP-1</w:t>
      </w:r>
      <w:r>
        <w:rPr>
          <w:rStyle w:val="FootnoteReference"/>
        </w:rPr>
        <w:footnoteReference w:id="525"/>
      </w:r>
      <w:r>
        <w:t xml:space="preserve">. Ces données de notification montrent des signaux, pas des causes : les risques connus sont signalés plus souvent. Dans une grande étude de cohorte portant sur plus de 46 000 paires en pratique courante, le risque d’événements gastro-intestinaux graves (pancréatite, maladies des voies biliaires, occlusion intestinale, gastroparésie, constipation sévère) ne différait pas notablement entre le tirzépatide et le sémaglutide (hazard ratio 1,07 ; IC à 95 % 0,90–1,26)</w:t>
      </w:r>
      <w:r>
        <w:rPr>
          <w:rStyle w:val="FootnoteReference"/>
        </w:rPr>
        <w:footnoteReference w:id="526"/>
      </w:r>
      <w:r>
        <w:t xml:space="preserve">.</w:t>
      </w:r>
    </w:p>
    <w:p>
      <w:pPr>
        <w:pStyle w:val="BodyText"/>
      </w:pPr>
      <w:r>
        <w:rPr>
          <w:bCs/>
          <w:b/>
        </w:rPr>
        <w:t xml:space="preserve">Théoriques ou déduits de données animales :</w:t>
      </w:r>
      <w:r>
        <w:t xml:space="preserve"> </w:t>
      </w:r>
      <w:r>
        <w:t xml:space="preserve">cancer médullaire de la thyroïde (résultat chez l’animal, voir plus haut). C’est pourquoi les résumés des caractéristiques du produit comportent une mise en garde ou une contre-indication en cas d’antécédents personnels ou familiaux de carcinome médullaire de la thyroïde et en cas de syndrome NEM 2.</w:t>
      </w:r>
    </w:p>
    <w:p>
      <w:pPr>
        <w:pStyle w:val="BodyText"/>
      </w:pPr>
      <w:r>
        <w:rPr>
          <w:bCs/>
          <w:b/>
        </w:rPr>
        <w:t xml:space="preserve">Important pour la pratique (selon le résumé des caractéristiques du produit, à ne pas comprendre comme un mode d’emploi) :</w:t>
      </w:r>
      <w:r>
        <w:t xml:space="preserve"> </w:t>
      </w:r>
      <w:r>
        <w:t xml:space="preserve">le ralentissement de la vidange gastrique peut influencer l’absorption de comprimés, ce qui est pertinent par exemple pour la pilule contraceptive. Le tirzépatide n’est pas utilisé pendant la grossesse et l’allaitement. Avant une opération sous anesthésie, il faut tenir compte du ralentissement de la vidange gastrique. Le résumé des caractéristiques du produit et le médecin traitant fournissent tous les détails.</w:t>
      </w:r>
    </w:p>
    <w:p>
      <w:pPr>
        <w:pStyle w:val="BodyText"/>
      </w:pPr>
      <w:r>
        <w:rPr>
          <w:bCs/>
          <w:b/>
        </w:rPr>
        <w:t xml:space="preserve">Produits d’imitation :</w:t>
      </w:r>
      <w:r>
        <w:t xml:space="preserve"> </w:t>
      </w:r>
      <w:r>
        <w:t xml:space="preserve">pendant les pénuries des années 2022 à 2024, des préparations de tirzépatide ont été fabriquées en pharmacie aux États-Unis (« compounding »), et parallèlement s’est développé un vaste marché gris en ligne. Une étude de 2025 a recensé 33 préparations de sémaglutide ou de tirzépatide sous des formes galéniques non autorisées – par exemple des comprimés à sucer ou des mélanges avec des vitamines ; les données d’efficacité et de sécurité font défaut pour ces produits</w:t>
      </w:r>
      <w:r>
        <w:rPr>
          <w:rStyle w:val="FootnoteReference"/>
        </w:rPr>
        <w:footnoteReference w:id="527"/>
      </w:r>
      <w:r>
        <w:t xml:space="preserve">. C’est encore plus vrai pour les produits « de recherche » sans autorisation de mise sur le marché (voir parties I et IV).</w:t>
      </w:r>
    </w:p>
    <w:bookmarkEnd w:id="528"/>
    <w:bookmarkStart w:id="529" w:name="statut-juridique-4"/>
    <w:p>
      <w:pPr>
        <w:pStyle w:val="Heading3"/>
      </w:pPr>
      <w:r>
        <w:t xml:space="preserve">Statut juridique</w:t>
      </w:r>
    </w:p>
    <w:p>
      <w:pPr>
        <w:numPr>
          <w:ilvl w:val="0"/>
          <w:numId w:val="1065"/>
        </w:numPr>
        <w:pStyle w:val="Compact"/>
      </w:pPr>
      <w:r>
        <w:rPr>
          <w:bCs/>
          <w:b/>
        </w:rPr>
        <w:t xml:space="preserve">UE / Autriche / Allemagne :</w:t>
      </w:r>
      <w:r>
        <w:t xml:space="preserve"> </w:t>
      </w:r>
      <w:r>
        <w:t xml:space="preserve">le tirzépatide est autorisé par procédure centralisée dans l’UE sous le nom de Mounjaro (2022 pour le diabète de type 2, depuis fin 2023 aussi pour la gestion du poids). Il est soumis à prescription. La prise en charge des coûts par l’assurance maladie dépend de l’indication : pour le diabète de type 2, un remboursement est en principe possible ; les médicaments destinés à la perte de poids sont en Allemagne largement exclus du remboursement par la loi, et en Autriche des règles propres et restrictives s’appliquent. Les détails évoluent – à vérifier.</w:t>
      </w:r>
    </w:p>
    <w:p>
      <w:pPr>
        <w:numPr>
          <w:ilvl w:val="0"/>
          <w:numId w:val="1065"/>
        </w:numPr>
        <w:pStyle w:val="Compact"/>
      </w:pPr>
      <w:r>
        <w:rPr>
          <w:bCs/>
          <w:b/>
        </w:rPr>
        <w:t xml:space="preserve">États-Unis :</w:t>
      </w:r>
      <w:r>
        <w:t xml:space="preserve"> </w:t>
      </w:r>
      <w:r>
        <w:t xml:space="preserve">autorisé sous le nom de Mounjaro (2022, diabète de type 2) et de Zepbound (2023, gestion chronique du poids ; en 2024 en plus apnée obstructive du sommeil associée à l’obésité). Depuis la fin de la pénurie officielle, la FDA a fortement restreint la fabrication de copies en pharmacie.</w:t>
      </w:r>
    </w:p>
    <w:p>
      <w:pPr>
        <w:numPr>
          <w:ilvl w:val="0"/>
          <w:numId w:val="1065"/>
        </w:numPr>
        <w:pStyle w:val="Compact"/>
      </w:pPr>
      <w:r>
        <w:rPr>
          <w:bCs/>
          <w:b/>
        </w:rPr>
        <w:t xml:space="preserve">Sport :</w:t>
      </w:r>
      <w:r>
        <w:t xml:space="preserve"> </w:t>
      </w:r>
      <w:r>
        <w:t xml:space="preserve">le tirzépatide ne figure pas sur la liste des interdictions de l’AMA (état 2026, à vérifier).</w:t>
      </w:r>
    </w:p>
    <w:p>
      <w:pPr>
        <w:numPr>
          <w:ilvl w:val="0"/>
          <w:numId w:val="1065"/>
        </w:numPr>
        <w:pStyle w:val="Compact"/>
      </w:pPr>
      <w:r>
        <w:rPr>
          <w:bCs/>
          <w:b/>
        </w:rPr>
        <w:t xml:space="preserve">Marché gris :</w:t>
      </w:r>
      <w:r>
        <w:t xml:space="preserve"> </w:t>
      </w:r>
      <w:r>
        <w:t xml:space="preserve">le commerce de produits de tirzépatide non autorisés (« for research use only ») n’est pas, dans l’UE, une voie légale d’accès à un médicament ; ces produits ne sont soumis à aucun contrôle de qualité.</w:t>
      </w:r>
    </w:p>
    <w:bookmarkEnd w:id="529"/>
    <w:bookmarkStart w:id="535" w:name="études-en-cours-et-perspectives-4"/>
    <w:p>
      <w:pPr>
        <w:pStyle w:val="Heading3"/>
      </w:pPr>
      <w:r>
        <w:t xml:space="preserve">Études en cours et perspectives</w:t>
      </w:r>
    </w:p>
    <w:p>
      <w:pPr>
        <w:pStyle w:val="FirstParagraph"/>
      </w:pPr>
      <w:r>
        <w:rPr>
          <w:bCs/>
          <w:b/>
        </w:rPr>
        <w:t xml:space="preserve">Établi (études enregistrées, état octobre 2026) :</w:t>
      </w:r>
    </w:p>
    <w:p>
      <w:pPr>
        <w:numPr>
          <w:ilvl w:val="0"/>
          <w:numId w:val="1066"/>
        </w:numPr>
        <w:pStyle w:val="Compact"/>
      </w:pPr>
      <w:r>
        <w:rPr>
          <w:bCs/>
          <w:b/>
        </w:rPr>
        <w:t xml:space="preserve">SURMOUNT-MMO</w:t>
      </w:r>
      <w:r>
        <w:rPr>
          <w:rStyle w:val="FootnoteReference"/>
        </w:rPr>
        <w:footnoteReference w:id="530"/>
      </w:r>
      <w:r>
        <w:t xml:space="preserve"> </w:t>
      </w:r>
      <w:r>
        <w:t xml:space="preserve">: étude sur critères cliniques portant sur environ 15 000 personnes obèses sans diabète et à haut risque cardiovasculaire, tirzépatide contre placebo. Le critère principal regroupe infarctus, AVC, revascularisation, événements d’insuffisance cardiaque et décès toutes causes ; fin prévue en 2027. Selon la publication décrivant son plan, c’est la première étude sur critères cliniques avec une incrétine qui examine à la fois la prévention primaire et secondaire des maladies cardiovasculaires</w:t>
      </w:r>
      <w:r>
        <w:rPr>
          <w:rStyle w:val="FootnoteReference"/>
        </w:rPr>
        <w:footnoteReference w:id="531"/>
      </w:r>
      <w:r>
        <w:t xml:space="preserve">.</w:t>
      </w:r>
    </w:p>
    <w:p>
      <w:pPr>
        <w:numPr>
          <w:ilvl w:val="0"/>
          <w:numId w:val="1066"/>
        </w:numPr>
        <w:pStyle w:val="Compact"/>
      </w:pPr>
      <w:r>
        <w:rPr>
          <w:bCs/>
          <w:b/>
        </w:rPr>
        <w:t xml:space="preserve">SYNERGY-Outcomes</w:t>
      </w:r>
      <w:r>
        <w:rPr>
          <w:rStyle w:val="FootnoteReference"/>
        </w:rPr>
        <w:footnoteReference w:id="532"/>
      </w:r>
      <w:r>
        <w:t xml:space="preserve"> </w:t>
      </w:r>
      <w:r>
        <w:t xml:space="preserve">: protocole maître de phase 3 sur la maladie hépatique stéatosique, avec 4 500 participants prévus.</w:t>
      </w:r>
    </w:p>
    <w:p>
      <w:pPr>
        <w:numPr>
          <w:ilvl w:val="0"/>
          <w:numId w:val="1066"/>
        </w:numPr>
        <w:pStyle w:val="Compact"/>
      </w:pPr>
      <w:r>
        <w:rPr>
          <w:bCs/>
          <w:b/>
        </w:rPr>
        <w:t xml:space="preserve">Diabète de type 1 avec obésité</w:t>
      </w:r>
      <w:r>
        <w:rPr>
          <w:rStyle w:val="FootnoteReference"/>
        </w:rPr>
        <w:footnoteReference w:id="533"/>
      </w:r>
      <w:r>
        <w:t xml:space="preserve"> </w:t>
      </w:r>
      <w:r>
        <w:t xml:space="preserve">: deux études de phase 3.</w:t>
      </w:r>
    </w:p>
    <w:p>
      <w:pPr>
        <w:numPr>
          <w:ilvl w:val="0"/>
          <w:numId w:val="1066"/>
        </w:numPr>
        <w:pStyle w:val="Compact"/>
      </w:pPr>
      <w:r>
        <w:rPr>
          <w:bCs/>
          <w:b/>
        </w:rPr>
        <w:t xml:space="preserve">Adolescents obèses</w:t>
      </w:r>
      <w:r>
        <w:t xml:space="preserve"> </w:t>
      </w:r>
      <w:r>
        <w:t xml:space="preserve">(NCT06439277, SURMOUNT-ADOLESCENTS-2) et enfants</w:t>
      </w:r>
      <w:r>
        <w:rPr>
          <w:rStyle w:val="FootnoteReference"/>
        </w:rPr>
        <w:footnoteReference w:id="534"/>
      </w:r>
      <w:r>
        <w:t xml:space="preserve">.</w:t>
      </w:r>
    </w:p>
    <w:p>
      <w:pPr>
        <w:numPr>
          <w:ilvl w:val="0"/>
          <w:numId w:val="1066"/>
        </w:numPr>
        <w:pStyle w:val="Compact"/>
      </w:pPr>
      <w:r>
        <w:rPr>
          <w:bCs/>
          <w:b/>
        </w:rPr>
        <w:t xml:space="preserve">Comparaison directe avec le successeur rétatrutide</w:t>
      </w:r>
      <w:r>
        <w:t xml:space="preserve"> </w:t>
      </w:r>
      <w:r>
        <w:t xml:space="preserve">(NCT06662383, voir le chapitre Rétatrutide).</w:t>
      </w:r>
    </w:p>
    <w:p>
      <w:pPr>
        <w:numPr>
          <w:ilvl w:val="0"/>
          <w:numId w:val="1066"/>
        </w:numPr>
        <w:pStyle w:val="Compact"/>
      </w:pPr>
      <w:r>
        <w:t xml:space="preserve">De nombreuses études sur l’arthrose du genou, le psoriasis, les maladies rénales et l’AVC.</w:t>
      </w:r>
    </w:p>
    <w:p>
      <w:pPr>
        <w:pStyle w:val="FirstParagraph"/>
      </w:pPr>
      <w:r>
        <w:rPr>
          <w:bCs/>
          <w:b/>
        </w:rPr>
        <w:t xml:space="preserve">Estimation :</w:t>
      </w:r>
      <w:r>
        <w:t xml:space="preserve"> </w:t>
      </w:r>
      <w:r>
        <w:t xml:space="preserve">en 2026, le tirzépatide est la référence à laquelle les nouveaux médicaments amaigrissants doivent se mesurer. La prochaine grande question est de savoir si SURMOUNT-MMO montrera chez des personnes sans diabète un bénéfice cardiovasculaire similaire à celui de l’étude SELECT pour le sémaglutide. La concurrence vient des triples agonistes (rétatrutide), des associations avec l’amyline (CagriSema, amycrétine) et des comprimés (orforglipron). La partie V traite de la date d’expiration des brevets et de l’arrivée possible de copies moins chères.</w:t>
      </w:r>
    </w:p>
    <w:bookmarkEnd w:id="535"/>
    <w:bookmarkStart w:id="536" w:name="conclusion-4"/>
    <w:p>
      <w:pPr>
        <w:pStyle w:val="Heading3"/>
      </w:pPr>
      <w:r>
        <w:t xml:space="preserve">Conclusion</w:t>
      </w:r>
    </w:p>
    <w:p>
      <w:pPr>
        <w:pStyle w:val="FirstParagraph"/>
      </w:pPr>
      <w:r>
        <w:t xml:space="preserve">Le tirzépatide est un double agoniste GIP/GLP-1 étudié dans l’un des plus grands programmes d’études de la médecine du diabète et de l’obésité. Dans SURMOUNT-1, le poids corporel a diminué en moyenne d’environ 21 % à la dose la plus élevée ; en comparaison directe avec le sémaglutide (SURMOUNT-5), de 20,2 % contre 13,7 %. Face au dulaglutide, il était non inférieur pour les événements cardiovasculaires, et des effets favorables sont apparus dans l’insuffisance cardiaque à fraction d’éjection préservée et l’apnée du sommeil. Les effets indésirables concernent surtout le tube digestif et la vésicule biliaire ; après l’arrêt, une grande partie du poids est reprise. Le traitement relève du médecin – avec la préparation originale, pas avec des produits du marché gris.</w:t>
      </w:r>
    </w:p>
    <w:bookmarkEnd w:id="536"/>
    <w:bookmarkEnd w:id="537"/>
    <w:bookmarkStart w:id="577" w:name="rétatrutide"/>
    <w:p>
      <w:pPr>
        <w:pStyle w:val="Heading2"/>
      </w:pPr>
      <w:r>
        <w:t xml:space="preserve">Rétatrutide</w:t>
      </w:r>
    </w:p>
    <w:bookmarkStart w:id="538" w:name="fiche-signalétique-5"/>
    <w:p>
      <w:pPr>
        <w:pStyle w:val="Heading3"/>
      </w:pPr>
      <w:r>
        <w:t xml:space="preserve">Fiche signalétique</w:t>
      </w:r>
    </w:p>
    <w:p>
      <w:pPr>
        <w:numPr>
          <w:ilvl w:val="0"/>
          <w:numId w:val="1067"/>
        </w:numPr>
        <w:pStyle w:val="Compact"/>
      </w:pPr>
      <w:r>
        <w:rPr>
          <w:bCs/>
          <w:b/>
        </w:rPr>
        <w:t xml:space="preserve">Type/structure :</w:t>
      </w:r>
      <w:r>
        <w:t xml:space="preserve"> </w:t>
      </w:r>
      <w:r>
        <w:t xml:space="preserve">peptide de synthèse portant une chaîne d’acide gras pour une administration sous-cutanée une fois par semaine ; code de développement LY3437943.</w:t>
      </w:r>
    </w:p>
    <w:p>
      <w:pPr>
        <w:numPr>
          <w:ilvl w:val="0"/>
          <w:numId w:val="1067"/>
        </w:numPr>
        <w:pStyle w:val="Compact"/>
      </w:pPr>
      <w:r>
        <w:rPr>
          <w:bCs/>
          <w:b/>
        </w:rPr>
        <w:t xml:space="preserve">Origine :</w:t>
      </w:r>
      <w:r>
        <w:t xml:space="preserve"> </w:t>
      </w:r>
      <w:r>
        <w:t xml:space="preserve">développé par Eli Lilly comme successeur du tirzépatide.</w:t>
      </w:r>
    </w:p>
    <w:p>
      <w:pPr>
        <w:numPr>
          <w:ilvl w:val="0"/>
          <w:numId w:val="1067"/>
        </w:numPr>
        <w:pStyle w:val="Compact"/>
      </w:pPr>
      <w:r>
        <w:rPr>
          <w:bCs/>
          <w:b/>
        </w:rPr>
        <w:t xml:space="preserve">Principe d’action :</w:t>
      </w:r>
      <w:r>
        <w:t xml:space="preserve"> </w:t>
      </w:r>
      <w:r>
        <w:t xml:space="preserve">« triple agoniste » agissant sur trois récepteurs : GIP, GLP-1 et glucagon. Souvent surnommé « Triple G » dans les médias.</w:t>
      </w:r>
    </w:p>
    <w:p>
      <w:pPr>
        <w:numPr>
          <w:ilvl w:val="0"/>
          <w:numId w:val="1067"/>
        </w:numPr>
        <w:pStyle w:val="Compact"/>
      </w:pPr>
      <w:r>
        <w:rPr>
          <w:bCs/>
          <w:b/>
        </w:rPr>
        <w:t xml:space="preserve">Autorisation UE :</w:t>
      </w:r>
      <w:r>
        <w:t xml:space="preserve"> </w:t>
      </w:r>
      <w:r>
        <w:t xml:space="preserve">non (état octobre 2026 ; programme de phase 3 TRIUMPH en partie terminé).</w:t>
      </w:r>
    </w:p>
    <w:p>
      <w:pPr>
        <w:numPr>
          <w:ilvl w:val="0"/>
          <w:numId w:val="1067"/>
        </w:numPr>
        <w:pStyle w:val="Compact"/>
      </w:pPr>
      <w:r>
        <w:rPr>
          <w:bCs/>
          <w:b/>
        </w:rPr>
        <w:t xml:space="preserve">Autorisation États-Unis :</w:t>
      </w:r>
      <w:r>
        <w:t xml:space="preserve"> </w:t>
      </w:r>
      <w:r>
        <w:t xml:space="preserve">non (état octobre 2026, à vérifier).</w:t>
      </w:r>
    </w:p>
    <w:p>
      <w:pPr>
        <w:numPr>
          <w:ilvl w:val="0"/>
          <w:numId w:val="1067"/>
        </w:numPr>
        <w:pStyle w:val="Compact"/>
      </w:pPr>
      <w:r>
        <w:rPr>
          <w:bCs/>
          <w:b/>
        </w:rPr>
        <w:t xml:space="preserve">AMA (WADA) :</w:t>
      </w:r>
      <w:r>
        <w:t xml:space="preserve"> </w:t>
      </w:r>
      <w:r>
        <w:t xml:space="preserve">non cité nommément ; en tant que substance autorisée nulle part, le rétatrutide relève toutefois de la classe S0 « Substances non approuvées » et est donc interdit en permanence dans le sport.</w:t>
      </w:r>
    </w:p>
    <w:p>
      <w:pPr>
        <w:numPr>
          <w:ilvl w:val="0"/>
          <w:numId w:val="1067"/>
        </w:numPr>
        <w:pStyle w:val="Compact"/>
      </w:pPr>
      <w:r>
        <w:rPr>
          <w:bCs/>
          <w:b/>
        </w:rPr>
        <w:t xml:space="preserve">Niveau de preuve :</w:t>
      </w:r>
      <w:r>
        <w:t xml:space="preserve"> </w:t>
      </w:r>
      <w:r>
        <w:rPr>
          <w:bCs/>
          <w:b/>
        </w:rPr>
        <w:t xml:space="preserve">B</w:t>
      </w:r>
      <w:r>
        <w:t xml:space="preserve"> </w:t>
      </w:r>
      <w:r>
        <w:t xml:space="preserve">– plusieurs grandes études de phase 3 publiées, mais pas encore d’autorisation ni de données sur les critères cliniques cardiaques et rénaux. Une autorisation permettrait d’atteindre le niveau A.</w:t>
      </w:r>
    </w:p>
    <w:bookmarkEnd w:id="538"/>
    <w:bookmarkStart w:id="542" w:name="mode-daction-supposé-5"/>
    <w:p>
      <w:pPr>
        <w:pStyle w:val="Heading3"/>
      </w:pPr>
      <w:r>
        <w:t xml:space="preserve">Mode d’action supposé</w:t>
      </w:r>
    </w:p>
    <w:p>
      <w:pPr>
        <w:pStyle w:val="FirstParagraph"/>
      </w:pPr>
      <w:r>
        <w:t xml:space="preserve">Le rétatrutide reprend le principe du tirzépatide (voir ce chapitre) et y ajoute une troisième cible : le récepteur du glucagon. Cela semble d’abord contradictoire, car le glucagon est l’« hormone antagoniste » de l’insuline – il fait libérer du sucre par le foie et augmente la glycémie. Mais le glucagon a d’autres effets : il augmente la dépense énergétique, favorise la dégradation des graisses dans le foie et contribue à la satiété. L’idée derrière le rétatrutide est d’exploiter ces effets favorables, tandis que les composantes GLP-1 et GIP compensent l’effet hyperglycémiant.</w:t>
      </w:r>
    </w:p>
    <w:p>
      <w:pPr>
        <w:pStyle w:val="BodyText"/>
      </w:pPr>
      <w:r>
        <w:t xml:space="preserve">Dans les essais sur cellules, le rétatrutide agit avec une intensité à peu près égale sur les récepteurs du glucagon et du GLP-1, et plus fortement sur le récepteur du GIP. Chez des souris en surpoids, la composante glucagon a amplifié la perte de poids par une hausse de la dépense énergétique, tandis que le GIP et le GLP-1 réduisaient l’apport calorique</w:t>
      </w:r>
      <w:r>
        <w:rPr>
          <w:rStyle w:val="FootnoteReference"/>
        </w:rPr>
        <w:footnoteReference w:id="539"/>
      </w:r>
      <w:r>
        <w:t xml:space="preserve">. On ne sait pas encore suffisamment si la dépense énergétique augmente de façon notable chez l’humain ; une étude de phase 1 sur ce point est enregistrée</w:t>
      </w:r>
      <w:r>
        <w:rPr>
          <w:rStyle w:val="FootnoteReference"/>
        </w:rPr>
        <w:footnoteReference w:id="540"/>
      </w:r>
      <w:r>
        <w:t xml:space="preserve">.</w:t>
      </w:r>
    </w:p>
    <w:p>
      <w:pPr>
        <w:pStyle w:val="BodyText"/>
      </w:pPr>
      <w:r>
        <w:t xml:space="preserve">Chez l’humain, les participants d’une étude de phase 2 ont rapporté, sous les doses plus élevées, moins de faim et moins de tendance à la « perte de contrôle » face à la nourriture ; ces changements étaient liés à la perte de poids</w:t>
      </w:r>
      <w:r>
        <w:rPr>
          <w:rStyle w:val="FootnoteReference"/>
        </w:rPr>
        <w:footnoteReference w:id="541"/>
      </w:r>
      <w:r>
        <w:t xml:space="preserve">.</w:t>
      </w:r>
    </w:p>
    <w:bookmarkEnd w:id="542"/>
    <w:bookmarkStart w:id="557" w:name="études-chez-lhumain-5"/>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10 études chez l’humain, complétées par une recherche ciblée des publications de phase 1 et de phase 3. Sur ClinicalTrials.gov, 32 études étaient enregistrées (une entrée d’exemple manifestement fictive n’est pas comptée), dont le programme d’homologation TRIUMPH (obésité) et TRANSCEND (diabète de type 2). Pour une substance non autorisée, c’est une base de données exceptionnellement solide – elle provient toutefois presque entièrement d’études financées par le fabricant.</w:t>
      </w:r>
    </w:p>
    <w:bookmarkStart w:id="545" w:name="premières-études"/>
    <w:p>
      <w:pPr>
        <w:pStyle w:val="Heading4"/>
      </w:pPr>
      <w:r>
        <w:t xml:space="preserve">Premières études</w:t>
      </w:r>
    </w:p>
    <w:p>
      <w:pPr>
        <w:pStyle w:val="FirstParagraph"/>
      </w:pPr>
      <w:r>
        <w:t xml:space="preserve">Après une étude à dose unique chez des volontaires sains, dans laquelle le poids corporel est resté diminué jusqu’à 43 jours après une seule injection</w:t>
      </w:r>
      <w:r>
        <w:rPr>
          <w:rStyle w:val="FootnoteReference"/>
        </w:rPr>
        <w:footnoteReference w:id="543"/>
      </w:r>
      <w:r>
        <w:t xml:space="preserve">, a suivi une étude de phase 1b de douze semaines chez 72 personnes atteintes de diabète de type 2. La demi-vie était d’environ six jours, ce qui permet une administration hebdomadaire. Dans le groupe à la dose la plus élevée, la perte de poids par rapport au placebo atteignait près de 9 kg</w:t>
      </w:r>
      <w:r>
        <w:rPr>
          <w:rStyle w:val="FootnoteReference"/>
        </w:rPr>
        <w:footnoteReference w:id="544"/>
      </w:r>
      <w:r>
        <w:t xml:space="preserve">.</w:t>
      </w:r>
    </w:p>
    <w:bookmarkEnd w:id="545"/>
    <w:bookmarkStart w:id="551" w:name="phase-2-obésité-et-diabète-de-type-2"/>
    <w:p>
      <w:pPr>
        <w:pStyle w:val="Heading4"/>
      </w:pPr>
      <w:r>
        <w:t xml:space="preserve">Phase 2 : obésité et diabète de type 2</w:t>
      </w:r>
    </w:p>
    <w:p>
      <w:pPr>
        <w:pStyle w:val="FirstParagraph"/>
      </w:pPr>
      <w:r>
        <w:t xml:space="preserve">L’étude de phase 2 dans l’obésité a fait les gros titres en 2023</w:t>
      </w:r>
      <w:r>
        <w:rPr>
          <w:rStyle w:val="FootnoteReference"/>
        </w:rPr>
        <w:footnoteReference w:id="546"/>
      </w:r>
      <w:r>
        <w:t xml:space="preserve">. 338 adultes ont reçu pendant 48 semaines différentes doses ou un placebo. Dans le groupe à la dose la plus élevée, le poids corporel a diminué en moyenne de 24,2 % (placebo : −2,1 %) ; 83 % de ce groupe ont perdu au moins 15 %. C’étaient les valeurs les plus élevées mesurées jusque-là dans une étude médicamenteuse sur l’obésité. Les effets indésirables digestifs augmentaient avec la dose et étaient moindres avec une titration plus lente. La fréquence cardiaque augmentait de façon dose-dépendante, atteignait son maximum après 24 semaines puis diminuait.</w:t>
      </w:r>
    </w:p>
    <w:p>
      <w:pPr>
        <w:pStyle w:val="BodyText"/>
      </w:pPr>
      <w:r>
        <w:t xml:space="preserve">L’étude de phase 2 parallèle chez 281 personnes atteintes de diabète de type 2 a montré après 24 semaines des baisses de l’HbA1c allant jusqu’à 2,02 points de pourcentage (dulaglutide : −1,41) et après 36 semaines une perte de poids allant jusqu’à 16,94 %</w:t>
      </w:r>
      <w:r>
        <w:rPr>
          <w:rStyle w:val="FootnoteReference"/>
        </w:rPr>
        <w:footnoteReference w:id="547"/>
      </w:r>
      <w:r>
        <w:t xml:space="preserve">. Dans une sous-étude avec mesure de la composition corporelle (DXA), la masse grasse a diminué de 23 à 26 % sous les doses les plus élevées</w:t>
      </w:r>
      <w:r>
        <w:rPr>
          <w:rStyle w:val="FootnoteReference"/>
        </w:rPr>
        <w:footnoteReference w:id="548"/>
      </w:r>
      <w:r>
        <w:t xml:space="preserve">.</w:t>
      </w:r>
    </w:p>
    <w:p>
      <w:pPr>
        <w:pStyle w:val="BodyText"/>
      </w:pPr>
      <w:r>
        <w:t xml:space="preserve">Une sous-étude chez 98 participants atteints de stéatose hépatique (au moins 10 % de graisse hépatique) a constaté après 24 semaines une réduction relative de la graisse hépatique allant jusqu’à 82,4 % ; à la dose la plus élevée, 86 % présentaient ensuite des valeurs normales de graisse hépatique, contre personne sous placebo</w:t>
      </w:r>
      <w:r>
        <w:rPr>
          <w:rStyle w:val="FootnoteReference"/>
        </w:rPr>
        <w:footnoteReference w:id="549"/>
      </w:r>
      <w:r>
        <w:t xml:space="preserve">. La teneur en graisse du foie est un critère de substitution – il n’est pas encore démontré que l’inflammation hépatique, la fibrose et la cirrhose en soient réduites.</w:t>
      </w:r>
    </w:p>
    <w:p>
      <w:pPr>
        <w:pStyle w:val="BodyText"/>
      </w:pPr>
      <w:r>
        <w:t xml:space="preserve">Des analyses complémentaires des études de phase 2 ont montré des améliorations des lipides sanguins et des marqueurs inflammatoires, par exemple un cholestérol non-HDL inférieur de jusqu’à 26,9 % et une CRP inférieure de 54,8 % dans l’étude sur l’obésité</w:t>
      </w:r>
      <w:r>
        <w:rPr>
          <w:rStyle w:val="FootnoteReference"/>
        </w:rPr>
        <w:footnoteReference w:id="550"/>
      </w:r>
      <w:r>
        <w:t xml:space="preserve">. Ce sont là aussi des valeurs biologiques, et non des critères cliniques forts.</w:t>
      </w:r>
    </w:p>
    <w:bookmarkEnd w:id="551"/>
    <w:bookmarkStart w:id="556" w:name="Xd65e2dc586439a885984eb9a1592814a18f9992"/>
    <w:p>
      <w:pPr>
        <w:pStyle w:val="Heading4"/>
      </w:pPr>
      <w:r>
        <w:t xml:space="preserve">Phase 3 : les programmes TRIUMPH et TRANSCEND</w:t>
      </w:r>
    </w:p>
    <w:p>
      <w:pPr>
        <w:pStyle w:val="FirstParagraph"/>
      </w:pPr>
      <w:r>
        <w:t xml:space="preserve">Le programme d’homologation dans l’obésité, TRIUMPH, comprend quatre études regroupant au total plus de 5 800 participants. Une particularité est le schéma « basket » : au sein des grandes études sur le poids, des sous-groupes atteints de gonarthrose ou d’apnée du sommeil ont été analysés avec leurs propres critères principaux</w:t>
      </w:r>
      <w:r>
        <w:rPr>
          <w:rStyle w:val="FootnoteReference"/>
        </w:rPr>
        <w:footnoteReference w:id="55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2 obésité (Jastreboff 2023), PMID 37366315</w:t>
            </w:r>
          </w:p>
        </w:tc>
        <w:tc>
          <w:tcPr/>
          <w:p>
            <w:pPr>
              <w:pStyle w:val="Compact"/>
              <w:jc w:val="left"/>
            </w:pPr>
            <w:r>
              <w:t xml:space="preserve">338 adultes sans diabète, contre placebo</w:t>
            </w:r>
          </w:p>
        </w:tc>
        <w:tc>
          <w:tcPr/>
          <w:p>
            <w:pPr>
              <w:pStyle w:val="Compact"/>
              <w:jc w:val="left"/>
            </w:pPr>
            <w:r>
              <w:t xml:space="preserve">48 semaines</w:t>
            </w:r>
          </w:p>
        </w:tc>
        <w:tc>
          <w:tcPr/>
          <w:p>
            <w:pPr>
              <w:pStyle w:val="Compact"/>
              <w:jc w:val="left"/>
            </w:pPr>
            <w:r>
              <w:t xml:space="preserve">jusqu’à −24,2 % de poids vs −2,1 %</w:t>
            </w:r>
          </w:p>
        </w:tc>
      </w:tr>
      <w:tr>
        <w:tc>
          <w:tcPr/>
          <w:p>
            <w:pPr>
              <w:pStyle w:val="Compact"/>
              <w:jc w:val="left"/>
            </w:pPr>
            <w:r>
              <w:t xml:space="preserve">Phase 2 diabète de type 2 (Rosenstock 2023), PMID 37385280</w:t>
            </w:r>
          </w:p>
        </w:tc>
        <w:tc>
          <w:tcPr/>
          <w:p>
            <w:pPr>
              <w:pStyle w:val="Compact"/>
              <w:jc w:val="left"/>
            </w:pPr>
            <w:r>
              <w:t xml:space="preserve">281 adultes, contre placebo et dulaglutide</w:t>
            </w:r>
          </w:p>
        </w:tc>
        <w:tc>
          <w:tcPr/>
          <w:p>
            <w:pPr>
              <w:pStyle w:val="Compact"/>
              <w:jc w:val="left"/>
            </w:pPr>
            <w:r>
              <w:t xml:space="preserve">36 semaines</w:t>
            </w:r>
          </w:p>
        </w:tc>
        <w:tc>
          <w:tcPr/>
          <w:p>
            <w:pPr>
              <w:pStyle w:val="Compact"/>
              <w:jc w:val="left"/>
            </w:pPr>
            <w:r>
              <w:t xml:space="preserve">HbA1c jusqu’à −2,02 points ; poids jusqu’à −16,94 %</w:t>
            </w:r>
          </w:p>
        </w:tc>
      </w:tr>
      <w:tr>
        <w:tc>
          <w:tcPr/>
          <w:p>
            <w:pPr>
              <w:pStyle w:val="Compact"/>
              <w:jc w:val="left"/>
            </w:pPr>
            <w:r>
              <w:t xml:space="preserve">TRIUMPH-1 (Jastreboff 2026), PMID 42814954</w:t>
            </w:r>
          </w:p>
        </w:tc>
        <w:tc>
          <w:tcPr/>
          <w:p>
            <w:pPr>
              <w:pStyle w:val="Compact"/>
              <w:jc w:val="left"/>
            </w:pPr>
            <w:r>
              <w:t xml:space="preserve">2 339 adultes obèses sans diabète, contre placebo</w:t>
            </w:r>
          </w:p>
        </w:tc>
        <w:tc>
          <w:tcPr/>
          <w:p>
            <w:pPr>
              <w:pStyle w:val="Compact"/>
              <w:jc w:val="left"/>
            </w:pPr>
            <w:r>
              <w:t xml:space="preserve">80 semaines</w:t>
            </w:r>
          </w:p>
        </w:tc>
        <w:tc>
          <w:tcPr/>
          <w:p>
            <w:pPr>
              <w:pStyle w:val="Compact"/>
              <w:jc w:val="left"/>
            </w:pPr>
            <w:r>
              <w:t xml:space="preserve">−17,6 / −23,7 / −25,0 % (4/9/12 mg) vs −3,9 %</w:t>
            </w:r>
          </w:p>
        </w:tc>
      </w:tr>
      <w:tr>
        <w:tc>
          <w:tcPr/>
          <w:p>
            <w:pPr>
              <w:pStyle w:val="Compact"/>
              <w:jc w:val="left"/>
            </w:pPr>
            <w:r>
              <w:t xml:space="preserve">TRIUMPH-2 (Bellido 2026), PMID 42810372</w:t>
            </w:r>
          </w:p>
        </w:tc>
        <w:tc>
          <w:tcPr/>
          <w:p>
            <w:pPr>
              <w:pStyle w:val="Compact"/>
              <w:jc w:val="left"/>
            </w:pPr>
            <w:r>
              <w:t xml:space="preserve">1 152 adultes obèses atteints de diabète de type 2, contre placebo</w:t>
            </w:r>
          </w:p>
        </w:tc>
        <w:tc>
          <w:tcPr/>
          <w:p>
            <w:pPr>
              <w:pStyle w:val="Compact"/>
              <w:jc w:val="left"/>
            </w:pPr>
            <w:r>
              <w:t xml:space="preserve">80 semaines</w:t>
            </w:r>
          </w:p>
        </w:tc>
        <w:tc>
          <w:tcPr/>
          <w:p>
            <w:pPr>
              <w:pStyle w:val="Compact"/>
              <w:jc w:val="left"/>
            </w:pPr>
            <w:r>
              <w:t xml:space="preserve">−11,9 / −16,8 / −18,8 % vs −5,1 %</w:t>
            </w:r>
          </w:p>
        </w:tc>
      </w:tr>
      <w:tr>
        <w:tc>
          <w:tcPr/>
          <w:p>
            <w:pPr>
              <w:pStyle w:val="Compact"/>
              <w:jc w:val="left"/>
            </w:pPr>
            <w:r>
              <w:t xml:space="preserve">TRANSCEND-T2D-1 (Bajaj 2026), PMID 42250575</w:t>
            </w:r>
          </w:p>
        </w:tc>
        <w:tc>
          <w:tcPr/>
          <w:p>
            <w:pPr>
              <w:pStyle w:val="Compact"/>
              <w:jc w:val="left"/>
            </w:pPr>
            <w:r>
              <w:t xml:space="preserve">537 adultes atteints de diabète de type 2 sans traitement, contre placebo</w:t>
            </w:r>
          </w:p>
        </w:tc>
        <w:tc>
          <w:tcPr/>
          <w:p>
            <w:pPr>
              <w:pStyle w:val="Compact"/>
              <w:jc w:val="left"/>
            </w:pPr>
            <w:r>
              <w:t xml:space="preserve">40 semaines</w:t>
            </w:r>
          </w:p>
        </w:tc>
        <w:tc>
          <w:tcPr/>
          <w:p>
            <w:pPr>
              <w:pStyle w:val="Compact"/>
              <w:jc w:val="left"/>
            </w:pPr>
            <w:r>
              <w:t xml:space="preserve">HbA1c −1,69 à −1,94 vs −0,81 ; poids jusqu’à −15,3 %</w:t>
            </w:r>
          </w:p>
        </w:tc>
      </w:tr>
    </w:tbl>
    <w:p>
      <w:pPr>
        <w:pStyle w:val="BodyText"/>
      </w:pPr>
      <w:r>
        <w:rPr>
          <w:bCs/>
          <w:b/>
        </w:rPr>
        <w:t xml:space="preserve">TRIUMPH-1</w:t>
      </w:r>
      <w:r>
        <w:rPr>
          <w:rStyle w:val="FootnoteReference"/>
        </w:rPr>
        <w:footnoteReference w:id="553"/>
      </w:r>
      <w:r>
        <w:t xml:space="preserve"> </w:t>
      </w:r>
      <w:r>
        <w:t xml:space="preserve">est l’étude principale. Chez 2 339 adultes obèses sans diabète, le poids corporel a diminué après 80 semaines de 25,0 % en moyenne à la dose la plus élevée. À titre de comparaison : dans SURMOUNT-1, le tirzépatide à la dose la plus élevée atteignait 20,9 % après 72 semaines. Une telle comparaison croisée entre études de durées et de populations différentes n’est cependant qu’un repère grossier ; la comparaison directe doit être fournie par une étude en cours (voir Perspectives).</w:t>
      </w:r>
    </w:p>
    <w:p>
      <w:pPr>
        <w:pStyle w:val="BodyText"/>
      </w:pPr>
      <w:r>
        <w:t xml:space="preserve">Dans les sous-études intégrées :</w:t>
      </w:r>
    </w:p>
    <w:p>
      <w:pPr>
        <w:numPr>
          <w:ilvl w:val="0"/>
          <w:numId w:val="1068"/>
        </w:numPr>
        <w:pStyle w:val="Compact"/>
      </w:pPr>
      <w:r>
        <w:rPr>
          <w:bCs/>
          <w:b/>
        </w:rPr>
        <w:t xml:space="preserve">Gonarthrose</w:t>
      </w:r>
      <w:r>
        <w:t xml:space="preserve"> </w:t>
      </w:r>
      <w:r>
        <w:t xml:space="preserve">(574 participants) : le score de douleur (WOMAC, échelle de 1 à 10) a baissé de 3,5 et 3,6 points sous 9 et 12 mg respectivement, contre 1,9 point sous placebo.</w:t>
      </w:r>
    </w:p>
    <w:p>
      <w:pPr>
        <w:numPr>
          <w:ilvl w:val="0"/>
          <w:numId w:val="1068"/>
        </w:numPr>
        <w:pStyle w:val="Compact"/>
      </w:pPr>
      <w:r>
        <w:rPr>
          <w:bCs/>
          <w:b/>
        </w:rPr>
        <w:t xml:space="preserve">Apnée du sommeil</w:t>
      </w:r>
      <w:r>
        <w:t xml:space="preserve"> </w:t>
      </w:r>
      <w:r>
        <w:t xml:space="preserve">(243 participants) : l’index d’apnées-hypopnées a diminué d’environ 32 à 34 événements par heure, contre un peu moins de 10 sous placebo.</w:t>
      </w:r>
    </w:p>
    <w:p>
      <w:pPr>
        <w:pStyle w:val="FirstParagraph"/>
      </w:pPr>
      <w:r>
        <w:rPr>
          <w:bCs/>
          <w:b/>
        </w:rPr>
        <w:t xml:space="preserve">TRIUMPH-2</w:t>
      </w:r>
      <w:r>
        <w:rPr>
          <w:rStyle w:val="FootnoteReference"/>
        </w:rPr>
        <w:footnoteReference w:id="554"/>
      </w:r>
      <w:r>
        <w:t xml:space="preserve"> </w:t>
      </w:r>
      <w:r>
        <w:t xml:space="preserve">a confirmé le schéma connu selon lequel les personnes atteintes de diabète de type 2 perdent moins de poids : −18,8 % à la dose la plus élevée contre −5,1 % sous placebo. Cette étude a aussi fourni les données de sécurité les plus précises à ce jour (voir ci-dessous).</w:t>
      </w:r>
    </w:p>
    <w:p>
      <w:pPr>
        <w:pStyle w:val="BodyText"/>
      </w:pPr>
      <w:r>
        <w:rPr>
          <w:bCs/>
          <w:b/>
        </w:rPr>
        <w:t xml:space="preserve">TRANSCEND-T2D-1</w:t>
      </w:r>
      <w:r>
        <w:rPr>
          <w:rStyle w:val="FootnoteReference"/>
        </w:rPr>
        <w:footnoteReference w:id="555"/>
      </w:r>
      <w:r>
        <w:t xml:space="preserve"> </w:t>
      </w:r>
      <w:r>
        <w:t xml:space="preserve">a évalué le rétatrutide comme traitement antidiabétique unique chez des personnes dont le diabète était récent. L’HbA1c a baissé de jusqu’à 1,94 point de pourcentage, le poids de jusqu’à 15,3 % ; aucune hypoglycémie sévère n’est survenue.</w:t>
      </w:r>
    </w:p>
    <w:p>
      <w:pPr>
        <w:pStyle w:val="BodyText"/>
      </w:pPr>
      <w:r>
        <w:t xml:space="preserve">Selon le registre, TRIUMPH-3 (obésité avec maladie cardiovasculaire, NCT05882045) et TRIUMPH-4 (gonarthrose, NCT05931367) sont terminées ; aucune publication évaluée par les pairs n’était encore disponible à la clôture de la rédaction de ces chapitres.</w:t>
      </w:r>
    </w:p>
    <w:bookmarkEnd w:id="556"/>
    <w:bookmarkEnd w:id="557"/>
    <w:bookmarkStart w:id="561" w:name="études-animales-et-de-laboratoire-5"/>
    <w:p>
      <w:pPr>
        <w:pStyle w:val="Heading3"/>
      </w:pPr>
      <w:r>
        <w:t xml:space="preserve">Études animales et de laboratoire</w:t>
      </w:r>
    </w:p>
    <w:p>
      <w:pPr>
        <w:pStyle w:val="FirstParagraph"/>
      </w:pPr>
      <w:r>
        <w:t xml:space="preserve">Les bases précliniques proviennent principalement du fabricant. En culture cellulaire, le rétatrutide active les trois récepteurs ; chez des souris en surpoids, il a réduit le poids et la glycémie, la composante glucagon augmentant la dépense énergétique</w:t>
      </w:r>
      <w:r>
        <w:rPr>
          <w:rStyle w:val="FootnoteReference"/>
        </w:rPr>
        <w:footnoteReference w:id="558"/>
      </w:r>
      <w:r>
        <w:t xml:space="preserve">. Un travail sur des souris en surpoids décrit que des tumeurs pancréatiques et pulmonaires transplantées prenaient moins souvent et croissaient plus lentement sous rétatrutide</w:t>
      </w:r>
      <w:r>
        <w:rPr>
          <w:rStyle w:val="FootnoteReference"/>
        </w:rPr>
        <w:footnoteReference w:id="559"/>
      </w:r>
      <w:r>
        <w:t xml:space="preserve"> </w:t>
      </w:r>
      <w:r>
        <w:t xml:space="preserve">– un résultat animal dont on ne peut rien déduire pour l’humain.</w:t>
      </w:r>
    </w:p>
    <w:p>
      <w:pPr>
        <w:pStyle w:val="BodyText"/>
      </w:pPr>
      <w:r>
        <w:t xml:space="preserve">Pour l’analytique antidopage, une méthode de détection a été développée en 2026. Pour cela, on a analysé des échantillons de sang et d’urine de quatre personnes qui s’étaient elles-mêmes injecté du rétatrutide en dehors de toute étude. Aucun rétatrutide intact n’a été trouvé dans l’urine ; dans le sang, il était détectable jusqu’à environ 56 jours après la première injection</w:t>
      </w:r>
      <w:r>
        <w:rPr>
          <w:rStyle w:val="FootnoteReference"/>
        </w:rPr>
        <w:footnoteReference w:id="560"/>
      </w:r>
      <w:r>
        <w:t xml:space="preserve">. Les auteurs font état de rapports sur son usage chez des sportifs amateurs.</w:t>
      </w:r>
    </w:p>
    <w:bookmarkEnd w:id="561"/>
    <w:bookmarkStart w:id="565" w:name="risques-et-effets-indésirables-5"/>
    <w:p>
      <w:pPr>
        <w:pStyle w:val="Heading3"/>
      </w:pPr>
      <w:r>
        <w:t xml:space="preserve">Risques et effets indésirables</w:t>
      </w:r>
    </w:p>
    <w:p>
      <w:pPr>
        <w:pStyle w:val="FirstParagraph"/>
      </w:pPr>
      <w:r>
        <w:rPr>
          <w:bCs/>
          <w:b/>
        </w:rPr>
        <w:t xml:space="preserve">Établi par les études :</w:t>
      </w:r>
    </w:p>
    <w:p>
      <w:pPr>
        <w:numPr>
          <w:ilvl w:val="0"/>
          <w:numId w:val="1069"/>
        </w:numPr>
        <w:pStyle w:val="Compact"/>
      </w:pPr>
      <w:r>
        <w:rPr>
          <w:bCs/>
          <w:b/>
        </w:rPr>
        <w:t xml:space="preserve">Troubles digestifs</w:t>
      </w:r>
      <w:r>
        <w:t xml:space="preserve"> </w:t>
      </w:r>
      <w:r>
        <w:t xml:space="preserve">: ce sont les effets indésirables les plus fréquents, nettement dose-dépendants. Dans TRIUMPH-2, des diarrhées sont survenues chez 27 à 34 % (placebo 13 %) et des nausées chez 14 à 28 % (placebo 8 %)</w:t>
      </w:r>
      <w:r>
        <w:rPr>
          <w:rStyle w:val="FootnoteReference"/>
        </w:rPr>
        <w:footnoteReference w:id="562"/>
      </w:r>
      <w:r>
        <w:t xml:space="preserve">.</w:t>
      </w:r>
    </w:p>
    <w:p>
      <w:pPr>
        <w:numPr>
          <w:ilvl w:val="0"/>
          <w:numId w:val="1069"/>
        </w:numPr>
        <w:pStyle w:val="Compact"/>
      </w:pPr>
      <w:r>
        <w:rPr>
          <w:bCs/>
          <w:b/>
        </w:rPr>
        <w:t xml:space="preserve">Arrêts de traitement :</w:t>
      </w:r>
      <w:r>
        <w:t xml:space="preserve"> </w:t>
      </w:r>
      <w:r>
        <w:t xml:space="preserve">dans TRIUMPH-2, 12 % (9 mg) et 8 % (12 mg) ont arrêté le traitement en raison d’effets indésirables ou de décès, contre 4 % sous 4 mg et 5 % sous placebo.</w:t>
      </w:r>
    </w:p>
    <w:p>
      <w:pPr>
        <w:numPr>
          <w:ilvl w:val="0"/>
          <w:numId w:val="1069"/>
        </w:numPr>
        <w:pStyle w:val="Compact"/>
      </w:pPr>
      <w:r>
        <w:rPr>
          <w:bCs/>
          <w:b/>
        </w:rPr>
        <w:t xml:space="preserve">Dysesthésie</w:t>
      </w:r>
      <w:r>
        <w:t xml:space="preserve"> </w:t>
      </w:r>
      <w:r>
        <w:t xml:space="preserve">– sensations cutanées désagréables comme picotements, brûlures ou sensibilité au toucher – est survenue dans TRIUMPH-2 de façon dose-dépendante chez 4 à 7 % contre 1 % sous placebo. Ce signal est relativement nouveau pour le rétatrutide ; sa cause n’est pas élucidée.</w:t>
      </w:r>
    </w:p>
    <w:p>
      <w:pPr>
        <w:numPr>
          <w:ilvl w:val="0"/>
          <w:numId w:val="1069"/>
        </w:numPr>
        <w:pStyle w:val="Compact"/>
      </w:pPr>
      <w:r>
        <w:rPr>
          <w:bCs/>
          <w:b/>
        </w:rPr>
        <w:t xml:space="preserve">Pression artérielle basse</w:t>
      </w:r>
      <w:r>
        <w:t xml:space="preserve"> </w:t>
      </w:r>
      <w:r>
        <w:t xml:space="preserve">(hypotension) : 1 à 6 % contre moins de 1 % sous placebo (TRIUMPH-2).</w:t>
      </w:r>
    </w:p>
    <w:p>
      <w:pPr>
        <w:numPr>
          <w:ilvl w:val="0"/>
          <w:numId w:val="1069"/>
        </w:numPr>
        <w:pStyle w:val="Compact"/>
      </w:pPr>
      <w:r>
        <w:rPr>
          <w:bCs/>
          <w:b/>
        </w:rPr>
        <w:t xml:space="preserve">Fréquence cardiaque :</w:t>
      </w:r>
      <w:r>
        <w:t xml:space="preserve"> </w:t>
      </w:r>
      <w:r>
        <w:t xml:space="preserve">dans l’étude de phase 2, le pouls augmentait de façon dose-dépendante puis redescendait après 24 semaines</w:t>
      </w:r>
      <w:r>
        <w:rPr>
          <w:rStyle w:val="FootnoteReference"/>
        </w:rPr>
        <w:footnoteReference w:id="563"/>
      </w:r>
      <w:r>
        <w:t xml:space="preserve">. Une fréquence cardiaque de repos plus élevée est connue pour tous les médicaments GLP-1 ; les études sur critères cliniques doivent établir si elle est cliniquement significative avec le triple agoniste.</w:t>
      </w:r>
    </w:p>
    <w:p>
      <w:pPr>
        <w:numPr>
          <w:ilvl w:val="0"/>
          <w:numId w:val="1069"/>
        </w:numPr>
        <w:pStyle w:val="Compact"/>
      </w:pPr>
      <w:r>
        <w:rPr>
          <w:bCs/>
          <w:b/>
        </w:rPr>
        <w:t xml:space="preserve">Perte de masse maigre :</w:t>
      </w:r>
      <w:r>
        <w:t xml:space="preserve"> </w:t>
      </w:r>
      <w:r>
        <w:t xml:space="preserve">comme pour toute perte de poids importante (voir tirzépatide).</w:t>
      </w:r>
    </w:p>
    <w:p>
      <w:pPr>
        <w:pStyle w:val="FirstParagraph"/>
      </w:pPr>
      <w:r>
        <w:rPr>
          <w:bCs/>
          <w:b/>
        </w:rPr>
        <w:t xml:space="preserve">Théorique ou encore insuffisamment étudié :</w:t>
      </w:r>
      <w:r>
        <w:t xml:space="preserve"> </w:t>
      </w:r>
      <w:r>
        <w:t xml:space="preserve">la composante glucagon pourrait avoir à long terme des effets sur le métabolisme des acides aminés, le rythme cardiaque et les os ; il n’existe pas de données solides à long terme sur ce point. Pour les risques de classe des médicaments GLP-1 (vésicule biliaire, pancréas, cellules C thyroïdiennes chez l’animal), il y a encore trop peu d’années-patients avec le rétatrutide pour en tirer des conclusions propres.</w:t>
      </w:r>
    </w:p>
    <w:p>
      <w:pPr>
        <w:pStyle w:val="BodyText"/>
      </w:pPr>
      <w:r>
        <w:rPr>
          <w:bCs/>
          <w:b/>
        </w:rPr>
        <w:t xml:space="preserve">Marché gris :</w:t>
      </w:r>
      <w:r>
        <w:t xml:space="preserve"> </w:t>
      </w:r>
      <w:r>
        <w:t xml:space="preserve">depuis la publication de phase 2, le rétatrutide est proposé sur Internet comme « research peptide » ; la revue JAMA a fait état en 2026 d’un marché noir croissant du rétatrutide et du zénagamtide</w:t>
      </w:r>
      <w:r>
        <w:rPr>
          <w:rStyle w:val="FootnoteReference"/>
        </w:rPr>
        <w:footnoteReference w:id="564"/>
      </w:r>
      <w:r>
        <w:t xml:space="preserve">. Ces produits ne sont pas des médicaments, leur contenu n’est pas contrôlé, et les schémas de titration utilisés dans les études ne peuvent pas être reproduits de façon fiable avec eux. L’accumulation d’effets indésirables en cas d’augmentation rapide de la dose dans les études montre que ce point est justement déterminant pour la tolérance. Voir à ce sujet la partie I et la partie IV.</w:t>
      </w:r>
    </w:p>
    <w:bookmarkEnd w:id="565"/>
    <w:bookmarkStart w:id="567" w:name="statut-juridique-5"/>
    <w:p>
      <w:pPr>
        <w:pStyle w:val="Heading3"/>
      </w:pPr>
      <w:r>
        <w:t xml:space="preserve">Statut juridique</w:t>
      </w:r>
    </w:p>
    <w:p>
      <w:pPr>
        <w:numPr>
          <w:ilvl w:val="0"/>
          <w:numId w:val="1070"/>
        </w:numPr>
        <w:pStyle w:val="Compact"/>
      </w:pPr>
      <w:r>
        <w:rPr>
          <w:bCs/>
          <w:b/>
        </w:rPr>
        <w:t xml:space="preserve">UE / Autriche / Allemagne :</w:t>
      </w:r>
      <w:r>
        <w:t xml:space="preserve"> </w:t>
      </w:r>
      <w:r>
        <w:t xml:space="preserve">non autorisé. Le rétatrutide ne peut être utilisé que dans le cadre d’essais cliniques. Sa vente comme « produit chimique de recherche » destiné à un usage humain est illégale au regard du droit pharmaceutique.</w:t>
      </w:r>
    </w:p>
    <w:p>
      <w:pPr>
        <w:numPr>
          <w:ilvl w:val="0"/>
          <w:numId w:val="1070"/>
        </w:numPr>
        <w:pStyle w:val="Compact"/>
      </w:pPr>
      <w:r>
        <w:rPr>
          <w:bCs/>
          <w:b/>
        </w:rPr>
        <w:t xml:space="preserve">États-Unis :</w:t>
      </w:r>
      <w:r>
        <w:t xml:space="preserve"> </w:t>
      </w:r>
      <w:r>
        <w:t xml:space="preserve">non autorisé (état octobre 2026). Un programme d’accès élargi avant autorisation (« Expanded Access ») est inscrit au registre</w:t>
      </w:r>
      <w:r>
        <w:rPr>
          <w:rStyle w:val="FootnoteReference"/>
        </w:rPr>
        <w:footnoteReference w:id="566"/>
      </w:r>
      <w:r>
        <w:t xml:space="preserve">. Si et quand une demande d’autorisation sera ou a été déposée : à vérifier.</w:t>
      </w:r>
    </w:p>
    <w:p>
      <w:pPr>
        <w:numPr>
          <w:ilvl w:val="0"/>
          <w:numId w:val="1070"/>
        </w:numPr>
        <w:pStyle w:val="Compact"/>
      </w:pPr>
      <w:r>
        <w:rPr>
          <w:bCs/>
          <w:b/>
        </w:rPr>
        <w:t xml:space="preserve">Sport :</w:t>
      </w:r>
      <w:r>
        <w:t xml:space="preserve"> </w:t>
      </w:r>
      <w:r>
        <w:t xml:space="preserve">en tant que substance non autorisée, le rétatrutide relève de la classe S0 de la WADA (état 2026, à vérifier). Une méthode de détection spécifique dans le sang a été décrite.</w:t>
      </w:r>
    </w:p>
    <w:bookmarkEnd w:id="567"/>
    <w:bookmarkStart w:id="575" w:name="études-en-cours-et-perspectives-5"/>
    <w:p>
      <w:pPr>
        <w:pStyle w:val="Heading3"/>
      </w:pPr>
      <w:r>
        <w:t xml:space="preserve">Études en cours et perspectives</w:t>
      </w:r>
    </w:p>
    <w:p>
      <w:pPr>
        <w:pStyle w:val="FirstParagraph"/>
      </w:pPr>
      <w:r>
        <w:rPr>
          <w:bCs/>
          <w:b/>
        </w:rPr>
        <w:t xml:space="preserve">Établi (études enregistrées, état octobre 2026) :</w:t>
      </w:r>
    </w:p>
    <w:p>
      <w:pPr>
        <w:numPr>
          <w:ilvl w:val="0"/>
          <w:numId w:val="1071"/>
        </w:numPr>
        <w:pStyle w:val="Compact"/>
      </w:pPr>
      <w:r>
        <w:rPr>
          <w:bCs/>
          <w:b/>
        </w:rPr>
        <w:t xml:space="preserve">TRIUMPH-Outcomes</w:t>
      </w:r>
      <w:r>
        <w:rPr>
          <w:rStyle w:val="FootnoteReference"/>
        </w:rPr>
        <w:footnoteReference w:id="568"/>
      </w:r>
      <w:r>
        <w:t xml:space="preserve"> </w:t>
      </w:r>
      <w:r>
        <w:t xml:space="preserve">: étude sur critères cliniques cardiovasculaires et rénaux chez environ 10 000 participants obèses, fin prévue en 2029.</w:t>
      </w:r>
    </w:p>
    <w:p>
      <w:pPr>
        <w:numPr>
          <w:ilvl w:val="0"/>
          <w:numId w:val="1071"/>
        </w:numPr>
        <w:pStyle w:val="Compact"/>
      </w:pPr>
      <w:r>
        <w:rPr>
          <w:bCs/>
          <w:b/>
        </w:rPr>
        <w:t xml:space="preserve">Rétatrutide contre tirzépatide</w:t>
      </w:r>
      <w:r>
        <w:rPr>
          <w:rStyle w:val="FootnoteReference"/>
        </w:rPr>
        <w:footnoteReference w:id="569"/>
      </w:r>
      <w:r>
        <w:t xml:space="preserve"> </w:t>
      </w:r>
      <w:r>
        <w:t xml:space="preserve">: comparaison directe chez 800 adultes obèses, fin d’étude prévue en décembre 2026.</w:t>
      </w:r>
    </w:p>
    <w:p>
      <w:pPr>
        <w:numPr>
          <w:ilvl w:val="0"/>
          <w:numId w:val="1071"/>
        </w:numPr>
        <w:pStyle w:val="Compact"/>
      </w:pPr>
      <w:r>
        <w:rPr>
          <w:bCs/>
          <w:b/>
        </w:rPr>
        <w:t xml:space="preserve">Rétatrutide contre sémaglutide</w:t>
      </w:r>
      <w:r>
        <w:t xml:space="preserve"> </w:t>
      </w:r>
      <w:r>
        <w:t xml:space="preserve">dans le diabète de type 2</w:t>
      </w:r>
      <w:r>
        <w:rPr>
          <w:rStyle w:val="FootnoteReference"/>
        </w:rPr>
        <w:footnoteReference w:id="570"/>
      </w:r>
      <w:r>
        <w:t xml:space="preserve">.</w:t>
      </w:r>
    </w:p>
    <w:p>
      <w:pPr>
        <w:numPr>
          <w:ilvl w:val="0"/>
          <w:numId w:val="1071"/>
        </w:numPr>
        <w:pStyle w:val="Compact"/>
      </w:pPr>
      <w:r>
        <w:rPr>
          <w:bCs/>
          <w:b/>
        </w:rPr>
        <w:t xml:space="preserve">Maintien du poids</w:t>
      </w:r>
      <w:r>
        <w:t xml:space="preserve"> </w:t>
      </w:r>
      <w:r>
        <w:t xml:space="preserve">après perte de poids</w:t>
      </w:r>
      <w:r>
        <w:rPr>
          <w:rStyle w:val="FootnoteReference"/>
        </w:rPr>
        <w:footnoteReference w:id="571"/>
      </w:r>
      <w:r>
        <w:t xml:space="preserve">,</w:t>
      </w:r>
      <w:r>
        <w:t xml:space="preserve"> </w:t>
      </w:r>
      <w:r>
        <w:rPr>
          <w:bCs/>
          <w:b/>
        </w:rPr>
        <w:t xml:space="preserve">fonction rénale</w:t>
      </w:r>
      <w:r>
        <w:t xml:space="preserve"> </w:t>
      </w:r>
      <w:r>
        <w:t xml:space="preserve">dans le diabète de type 2 avec insuffisance rénale</w:t>
      </w:r>
      <w:r>
        <w:rPr>
          <w:rStyle w:val="FootnoteReference"/>
        </w:rPr>
        <w:footnoteReference w:id="572"/>
      </w:r>
      <w:r>
        <w:t xml:space="preserve">,</w:t>
      </w:r>
      <w:r>
        <w:t xml:space="preserve"> </w:t>
      </w:r>
      <w:r>
        <w:rPr>
          <w:bCs/>
          <w:b/>
        </w:rPr>
        <w:t xml:space="preserve">lombalgies chroniques</w:t>
      </w:r>
      <w:r>
        <w:t xml:space="preserve"> </w:t>
      </w:r>
      <w:r>
        <w:t xml:space="preserve">en cas d’obésité</w:t>
      </w:r>
      <w:r>
        <w:rPr>
          <w:rStyle w:val="FootnoteReference"/>
        </w:rPr>
        <w:footnoteReference w:id="573"/>
      </w:r>
      <w:r>
        <w:t xml:space="preserve">.</w:t>
      </w:r>
    </w:p>
    <w:p>
      <w:pPr>
        <w:numPr>
          <w:ilvl w:val="0"/>
          <w:numId w:val="1071"/>
        </w:numPr>
        <w:pStyle w:val="Compact"/>
      </w:pPr>
      <w:r>
        <w:t xml:space="preserve">Le rétatrutide fait par ailleurs partie d’un protocole cadre de phase 3 sur la stéatose hépatique</w:t>
      </w:r>
      <w:r>
        <w:rPr>
          <w:rStyle w:val="FootnoteReference"/>
        </w:rPr>
        <w:footnoteReference w:id="574"/>
      </w:r>
      <w:r>
        <w:t xml:space="preserve">.</w:t>
      </w:r>
    </w:p>
    <w:p>
      <w:pPr>
        <w:pStyle w:val="FirstParagraph"/>
      </w:pPr>
      <w:r>
        <w:rPr>
          <w:bCs/>
          <w:b/>
        </w:rPr>
        <w:t xml:space="preserve">Appréciation :</w:t>
      </w:r>
      <w:r>
        <w:t xml:space="preserve"> </w:t>
      </w:r>
      <w:r>
        <w:t xml:space="preserve">au vu des données de TRIUMPH-1 et TRIUMPH-2, il faut s’attendre à des demandes d’autorisation aux États-Unis et dans l’UE ; une mise sur le marché en 2027 ou 2028 paraît plausible, mais n’est pas assurée. La comparaison directe montrera si une perte de poids supplémentaire par rapport au tirzépatide compense les taux d’arrêt un peu plus élevés et le nouveau signal de dysesthésie. Pour beaucoup de personnes, une perte de poids moyenne et bien tolérée compte davantage qu’une valeur record.</w:t>
      </w:r>
    </w:p>
    <w:bookmarkEnd w:id="575"/>
    <w:bookmarkStart w:id="576" w:name="conclusion-5"/>
    <w:p>
      <w:pPr>
        <w:pStyle w:val="Heading3"/>
      </w:pPr>
      <w:r>
        <w:t xml:space="preserve">Conclusion</w:t>
      </w:r>
    </w:p>
    <w:p>
      <w:pPr>
        <w:pStyle w:val="FirstParagraph"/>
      </w:pPr>
      <w:r>
        <w:t xml:space="preserve">Le rétatrutide est un triple agoniste des récepteurs du GIP, du GLP-1 et du glucagon ; dans l’étude de phase 3 TRIUMPH-1, il a obtenu une perte de poids moyenne de 25,0 % après 80 semaines – la valeur la plus élevée mesurée à ce jour dans une grande étude médicamenteuse. Des effets nets ont aussi été observés dans le diabète de type 2, la gonarthrose et l’apnée du sommeil. Les effets indésirables concernent surtout le tube digestif ; les troubles de la sensibilité cutanée sont nouveaux, et les taux d’arrêt augmentent aux doses élevées. Les données sur les événements cardiovasculaires et une autorisation se font encore attendre. Les produits du marché gris portant l’étiquette « Retatrutide » ne sont pas un raccourci sûr vers ce médicament.</w:t>
      </w:r>
    </w:p>
    <w:bookmarkEnd w:id="576"/>
    <w:bookmarkEnd w:id="577"/>
    <w:bookmarkStart w:id="613" w:name="survodutide"/>
    <w:p>
      <w:pPr>
        <w:pStyle w:val="Heading2"/>
      </w:pPr>
      <w:r>
        <w:t xml:space="preserve">Survodutide</w:t>
      </w:r>
    </w:p>
    <w:bookmarkStart w:id="578" w:name="fiche-signalétique-6"/>
    <w:p>
      <w:pPr>
        <w:pStyle w:val="Heading3"/>
      </w:pPr>
      <w:r>
        <w:t xml:space="preserve">Fiche signalétique</w:t>
      </w:r>
    </w:p>
    <w:p>
      <w:pPr>
        <w:numPr>
          <w:ilvl w:val="0"/>
          <w:numId w:val="1072"/>
        </w:numPr>
        <w:pStyle w:val="Compact"/>
      </w:pPr>
      <w:r>
        <w:rPr>
          <w:bCs/>
          <w:b/>
        </w:rPr>
        <w:t xml:space="preserve">Type/structure :</w:t>
      </w:r>
      <w:r>
        <w:t xml:space="preserve"> </w:t>
      </w:r>
      <w:r>
        <w:t xml:space="preserve">peptide de synthèse modifié par un acide gras, pour une administration sous-cutanée une fois par semaine ; code de développement BI 456906.</w:t>
      </w:r>
    </w:p>
    <w:p>
      <w:pPr>
        <w:numPr>
          <w:ilvl w:val="0"/>
          <w:numId w:val="1072"/>
        </w:numPr>
        <w:pStyle w:val="Compact"/>
      </w:pPr>
      <w:r>
        <w:rPr>
          <w:bCs/>
          <w:b/>
        </w:rPr>
        <w:t xml:space="preserve">Origine :</w:t>
      </w:r>
      <w:r>
        <w:t xml:space="preserve"> </w:t>
      </w:r>
      <w:r>
        <w:t xml:space="preserve">développé par Boehringer Ingelheim en collaboration avec l’entreprise danoise Zealand Pharma.</w:t>
      </w:r>
    </w:p>
    <w:p>
      <w:pPr>
        <w:numPr>
          <w:ilvl w:val="0"/>
          <w:numId w:val="1072"/>
        </w:numPr>
        <w:pStyle w:val="Compact"/>
      </w:pPr>
      <w:r>
        <w:rPr>
          <w:bCs/>
          <w:b/>
        </w:rPr>
        <w:t xml:space="preserve">Principe d’action :</w:t>
      </w:r>
      <w:r>
        <w:t xml:space="preserve"> </w:t>
      </w:r>
      <w:r>
        <w:t xml:space="preserve">double agoniste des récepteurs du glucagon et du GLP-1 (sans composante GIP).</w:t>
      </w:r>
    </w:p>
    <w:p>
      <w:pPr>
        <w:numPr>
          <w:ilvl w:val="0"/>
          <w:numId w:val="1072"/>
        </w:numPr>
        <w:pStyle w:val="Compact"/>
      </w:pPr>
      <w:r>
        <w:rPr>
          <w:bCs/>
          <w:b/>
        </w:rPr>
        <w:t xml:space="preserve">Autorisation UE :</w:t>
      </w:r>
      <w:r>
        <w:t xml:space="preserve"> </w:t>
      </w:r>
      <w:r>
        <w:t xml:space="preserve">non (état octobre 2026).</w:t>
      </w:r>
    </w:p>
    <w:p>
      <w:pPr>
        <w:numPr>
          <w:ilvl w:val="0"/>
          <w:numId w:val="1072"/>
        </w:numPr>
        <w:pStyle w:val="Compact"/>
      </w:pPr>
      <w:r>
        <w:rPr>
          <w:bCs/>
          <w:b/>
        </w:rPr>
        <w:t xml:space="preserve">Autorisation États-Unis :</w:t>
      </w:r>
      <w:r>
        <w:t xml:space="preserve"> </w:t>
      </w:r>
      <w:r>
        <w:t xml:space="preserve">non (état octobre 2026).</w:t>
      </w:r>
    </w:p>
    <w:p>
      <w:pPr>
        <w:numPr>
          <w:ilvl w:val="0"/>
          <w:numId w:val="1072"/>
        </w:numPr>
        <w:pStyle w:val="Compact"/>
      </w:pPr>
      <w:r>
        <w:rPr>
          <w:bCs/>
          <w:b/>
        </w:rPr>
        <w:t xml:space="preserve">AMA (WADA) :</w:t>
      </w:r>
      <w:r>
        <w:t xml:space="preserve"> </w:t>
      </w:r>
      <w:r>
        <w:t xml:space="preserve">en tant que substance autorisée nulle part, interdit au titre de S0 « Substances non approuvées ».</w:t>
      </w:r>
    </w:p>
    <w:p>
      <w:pPr>
        <w:numPr>
          <w:ilvl w:val="0"/>
          <w:numId w:val="1072"/>
        </w:numPr>
        <w:pStyle w:val="Compact"/>
      </w:pPr>
      <w:r>
        <w:rPr>
          <w:bCs/>
          <w:b/>
        </w:rPr>
        <w:t xml:space="preserve">Niveau de preuve :</w:t>
      </w:r>
      <w:r>
        <w:t xml:space="preserve"> </w:t>
      </w:r>
      <w:r>
        <w:rPr>
          <w:bCs/>
          <w:b/>
        </w:rPr>
        <w:t xml:space="preserve">B</w:t>
      </w:r>
      <w:r>
        <w:t xml:space="preserve"> </w:t>
      </w:r>
      <w:r>
        <w:t xml:space="preserve">– études randomisées de phase 2 et premières études de phase 3 publiées, pas d’autorisation.</w:t>
      </w:r>
    </w:p>
    <w:bookmarkEnd w:id="578"/>
    <w:bookmarkStart w:id="582" w:name="mode-daction-supposé-6"/>
    <w:p>
      <w:pPr>
        <w:pStyle w:val="Heading3"/>
      </w:pPr>
      <w:r>
        <w:t xml:space="preserve">Mode d’action supposé</w:t>
      </w:r>
    </w:p>
    <w:p>
      <w:pPr>
        <w:pStyle w:val="FirstParagraph"/>
      </w:pPr>
      <w:r>
        <w:t xml:space="preserve">Le survodutide associe deux hormones de l’intestin et du pancréas : le GLP-1, qui favorise la satiété et renforce la sécrétion d’insuline, et le glucagon, qui augmente la dépense énergétique et stimule la dégradation des graisses dans le foie. Alors que le tirzépatide mise sur le GIP plus le GLP-1 et que le rétatrutide réunit les trois signaux, le survodutide renonce à la composante GIP et met plutôt l’accent sur l’effet du glucagon. Le fabricant vise ainsi particulièrement le foie : la stéatohépatite MASH est, à côté de l’obésité, le second grand domaine de développement.</w:t>
      </w:r>
    </w:p>
    <w:p>
      <w:pPr>
        <w:pStyle w:val="BodyText"/>
      </w:pPr>
      <w:r>
        <w:t xml:space="preserve">Le survodutide a été choisi parmi 19 candidats similaires parce qu’il activait de façon équilibrée les deux récepteurs dans les expériences animales. Chez des souris en surpoids, le poids corporel a diminué d’environ un quart</w:t>
      </w:r>
      <w:r>
        <w:rPr>
          <w:rStyle w:val="FootnoteReference"/>
        </w:rPr>
        <w:footnoteReference w:id="579"/>
      </w:r>
      <w:r>
        <w:t xml:space="preserve">. Des travaux chez la souris suggèrent que l’effet coupe-faim dans le cerveau passe surtout par le récepteur du GLP-1 ; la composante glucagon agit plutôt dans l’organisme, par exemple dans le foie</w:t>
      </w:r>
      <w:r>
        <w:rPr>
          <w:rStyle w:val="FootnoteReference"/>
        </w:rPr>
        <w:footnoteReference w:id="580"/>
      </w:r>
      <w:r>
        <w:t xml:space="preserve">. Ce sont des résultats animaux ; chez l’humain, l’effet sur la dépense énergétique est actuellement mesuré dans une étude dédiée</w:t>
      </w:r>
      <w:r>
        <w:rPr>
          <w:rStyle w:val="FootnoteReference"/>
        </w:rPr>
        <w:footnoteReference w:id="581"/>
      </w:r>
      <w:r>
        <w:t xml:space="preserve">.</w:t>
      </w:r>
    </w:p>
    <w:bookmarkEnd w:id="582"/>
    <w:bookmarkStart w:id="592" w:name="études-chez-lhumain-6"/>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10 études chez l’humain ; s’y ajoute la publication de l’étude de phase 3 SYNCHRONIZE-2, recherchée de façon ciblée. Sur ClinicalTrials.gov, 29 études étaient enregistrées, dont le programme de phase 3 SYNCHRONIZE (obésité) et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2 diabète de type 2 (Blüher 2024), PMID 38095657</w:t>
            </w:r>
          </w:p>
        </w:tc>
        <w:tc>
          <w:tcPr/>
          <w:p>
            <w:pPr>
              <w:pStyle w:val="Compact"/>
              <w:jc w:val="left"/>
            </w:pPr>
            <w:r>
              <w:t xml:space="preserve">413 adultes sous metformine, contre placebo et sémaglutide en ouvert</w:t>
            </w:r>
          </w:p>
        </w:tc>
        <w:tc>
          <w:tcPr/>
          <w:p>
            <w:pPr>
              <w:pStyle w:val="Compact"/>
              <w:jc w:val="left"/>
            </w:pPr>
            <w:r>
              <w:t xml:space="preserve">16 semaines</w:t>
            </w:r>
          </w:p>
        </w:tc>
        <w:tc>
          <w:tcPr/>
          <w:p>
            <w:pPr>
              <w:pStyle w:val="Compact"/>
              <w:jc w:val="left"/>
            </w:pPr>
            <w:r>
              <w:t xml:space="preserve">HbA1c jusqu’à −1,71 point ; poids jusqu’à −8,7 % (sémaglutide −5,3 %)</w:t>
            </w:r>
          </w:p>
        </w:tc>
      </w:tr>
      <w:tr>
        <w:tc>
          <w:tcPr/>
          <w:p>
            <w:pPr>
              <w:pStyle w:val="Compact"/>
              <w:jc w:val="left"/>
            </w:pPr>
            <w:r>
              <w:t xml:space="preserve">Phase 2 obésité (le Roux 2024), PMID 38330987</w:t>
            </w:r>
          </w:p>
        </w:tc>
        <w:tc>
          <w:tcPr/>
          <w:p>
            <w:pPr>
              <w:pStyle w:val="Compact"/>
              <w:jc w:val="left"/>
            </w:pPr>
            <w:r>
              <w:t xml:space="preserve">387 adultes sans diabète, contre placebo</w:t>
            </w:r>
          </w:p>
        </w:tc>
        <w:tc>
          <w:tcPr/>
          <w:p>
            <w:pPr>
              <w:pStyle w:val="Compact"/>
              <w:jc w:val="left"/>
            </w:pPr>
            <w:r>
              <w:t xml:space="preserve">46 semaines</w:t>
            </w:r>
          </w:p>
        </w:tc>
        <w:tc>
          <w:tcPr/>
          <w:p>
            <w:pPr>
              <w:pStyle w:val="Compact"/>
              <w:jc w:val="left"/>
            </w:pPr>
            <w:r>
              <w:t xml:space="preserve">−6,2 à −14,9 % de poids vs −2,8 %</w:t>
            </w:r>
          </w:p>
        </w:tc>
      </w:tr>
      <w:tr>
        <w:tc>
          <w:tcPr/>
          <w:p>
            <w:pPr>
              <w:pStyle w:val="Compact"/>
              <w:jc w:val="left"/>
            </w:pPr>
            <w:r>
              <w:t xml:space="preserve">Phase 2 MASH (Sanyal 2024), PMID 38847460</w:t>
            </w:r>
          </w:p>
        </w:tc>
        <w:tc>
          <w:tcPr/>
          <w:p>
            <w:pPr>
              <w:pStyle w:val="Compact"/>
              <w:jc w:val="left"/>
            </w:pPr>
            <w:r>
              <w:t xml:space="preserve">293 adultes avec MASH prouvée par biopsie et fibrose F1–F3</w:t>
            </w:r>
          </w:p>
        </w:tc>
        <w:tc>
          <w:tcPr/>
          <w:p>
            <w:pPr>
              <w:pStyle w:val="Compact"/>
              <w:jc w:val="left"/>
            </w:pPr>
            <w:r>
              <w:t xml:space="preserve">48 semaines</w:t>
            </w:r>
          </w:p>
        </w:tc>
        <w:tc>
          <w:tcPr/>
          <w:p>
            <w:pPr>
              <w:pStyle w:val="Compact"/>
              <w:jc w:val="left"/>
            </w:pPr>
            <w:r>
              <w:t xml:space="preserve">amélioration de la MASH chez 43–62 % vs 14 %</w:t>
            </w:r>
          </w:p>
        </w:tc>
      </w:tr>
      <w:tr>
        <w:tc>
          <w:tcPr/>
          <w:p>
            <w:pPr>
              <w:pStyle w:val="Compact"/>
              <w:jc w:val="left"/>
            </w:pPr>
            <w:r>
              <w:t xml:space="preserve">SYNCHRONIZE-1 (le Roux 2026), PMID 42253238</w:t>
            </w:r>
          </w:p>
        </w:tc>
        <w:tc>
          <w:tcPr/>
          <w:p>
            <w:pPr>
              <w:pStyle w:val="Compact"/>
              <w:jc w:val="left"/>
            </w:pPr>
            <w:r>
              <w:t xml:space="preserve">725 adultes obèses sans diabète, contre placebo</w:t>
            </w:r>
          </w:p>
        </w:tc>
        <w:tc>
          <w:tcPr/>
          <w:p>
            <w:pPr>
              <w:pStyle w:val="Compact"/>
              <w:jc w:val="left"/>
            </w:pPr>
            <w:r>
              <w:t xml:space="preserve">76 semaines</w:t>
            </w:r>
          </w:p>
        </w:tc>
        <w:tc>
          <w:tcPr/>
          <w:p>
            <w:pPr>
              <w:pStyle w:val="Compact"/>
              <w:jc w:val="left"/>
            </w:pPr>
            <w:r>
              <w:t xml:space="preserve">−12,2 / −13,0 % (3,6/6,0 mg) vs −5,4 %</w:t>
            </w:r>
          </w:p>
        </w:tc>
      </w:tr>
      <w:tr>
        <w:tc>
          <w:tcPr/>
          <w:p>
            <w:pPr>
              <w:pStyle w:val="Compact"/>
              <w:jc w:val="left"/>
            </w:pPr>
            <w:r>
              <w:t xml:space="preserve">SYNCHRONIZE-2 (Wharton 2026), PMID 42820639</w:t>
            </w:r>
          </w:p>
        </w:tc>
        <w:tc>
          <w:tcPr/>
          <w:p>
            <w:pPr>
              <w:pStyle w:val="Compact"/>
              <w:jc w:val="left"/>
            </w:pPr>
            <w:r>
              <w:t xml:space="preserve">752 adultes obèses atteints de diabète de type 2, contre placebo</w:t>
            </w:r>
          </w:p>
        </w:tc>
        <w:tc>
          <w:tcPr/>
          <w:p>
            <w:pPr>
              <w:pStyle w:val="Compact"/>
              <w:jc w:val="left"/>
            </w:pPr>
            <w:r>
              <w:t xml:space="preserve">76 semaines</w:t>
            </w:r>
          </w:p>
        </w:tc>
        <w:tc>
          <w:tcPr/>
          <w:p>
            <w:pPr>
              <w:pStyle w:val="Compact"/>
              <w:jc w:val="left"/>
            </w:pPr>
            <w:r>
              <w:t xml:space="preserve">−8,2 / −9,8 % vs −3,9 %</w:t>
            </w:r>
          </w:p>
        </w:tc>
      </w:tr>
      <w:tr>
        <w:tc>
          <w:tcPr/>
          <w:p>
            <w:pPr>
              <w:pStyle w:val="Compact"/>
              <w:jc w:val="left"/>
            </w:pPr>
            <w:r>
              <w:t xml:space="preserve">SYNCHRONIZE-MASLD (Kaplan 2026), PMID 42252333</w:t>
            </w:r>
          </w:p>
        </w:tc>
        <w:tc>
          <w:tcPr/>
          <w:p>
            <w:pPr>
              <w:pStyle w:val="Compact"/>
              <w:jc w:val="left"/>
            </w:pPr>
            <w:r>
              <w:t xml:space="preserve">216 adultes obèses avec stéatose hépatique et signes de risque</w:t>
            </w:r>
          </w:p>
        </w:tc>
        <w:tc>
          <w:tcPr/>
          <w:p>
            <w:pPr>
              <w:pStyle w:val="Compact"/>
              <w:jc w:val="left"/>
            </w:pPr>
            <w:r>
              <w:t xml:space="preserve">48 semaines</w:t>
            </w:r>
          </w:p>
        </w:tc>
        <w:tc>
          <w:tcPr/>
          <w:p>
            <w:pPr>
              <w:pStyle w:val="Compact"/>
              <w:jc w:val="left"/>
            </w:pPr>
            <w:r>
              <w:t xml:space="preserve">graisse hépatique −30 % ou plus chez 84,2 % vs 24,3 %</w:t>
            </w:r>
          </w:p>
        </w:tc>
      </w:tr>
    </w:tbl>
    <w:bookmarkStart w:id="587" w:name="obésité-et-diabète-de-type-2"/>
    <w:p>
      <w:pPr>
        <w:pStyle w:val="Heading4"/>
      </w:pPr>
      <w:r>
        <w:t xml:space="preserve">Obésité et diabète de type 2</w:t>
      </w:r>
    </w:p>
    <w:p>
      <w:pPr>
        <w:pStyle w:val="FirstParagraph"/>
      </w:pPr>
      <w:r>
        <w:t xml:space="preserve">L’étude de phase 2 dans l’obésité</w:t>
      </w:r>
      <w:r>
        <w:rPr>
          <w:rStyle w:val="FootnoteReference"/>
        </w:rPr>
        <w:footnoteReference w:id="583"/>
      </w:r>
      <w:r>
        <w:t xml:space="preserve"> </w:t>
      </w:r>
      <w:r>
        <w:t xml:space="preserve">a montré après 46 semaines une perte de poids dose-dépendante allant jusqu’à 14,9 %. Le taux d’abandon élevé était frappant : seuls 61 % des participants sous survodutide ont achevé les 46 semaines de traitement, mais aussi seulement 60 % sous placebo. Des effets indésirables digestifs sont survenus chez 75 % sous survodutide et 42 % sous placebo. La titration était relativement rapide dans cette étude.</w:t>
      </w:r>
    </w:p>
    <w:p>
      <w:pPr>
        <w:pStyle w:val="BodyText"/>
      </w:pPr>
      <w:r>
        <w:t xml:space="preserve">Dans l’étude de phase 3</w:t>
      </w:r>
      <w:r>
        <w:t xml:space="preserve"> </w:t>
      </w:r>
      <w:r>
        <w:rPr>
          <w:bCs/>
          <w:b/>
        </w:rPr>
        <w:t xml:space="preserve">SYNCHRONIZE-1</w:t>
      </w:r>
      <w:r>
        <w:rPr>
          <w:rStyle w:val="FootnoteReference"/>
        </w:rPr>
        <w:footnoteReference w:id="584"/>
      </w:r>
      <w:r>
        <w:t xml:space="preserve">, la titration a été plus lente. Après 76 semaines, les participants à la dose la plus élevée ont perdu 13,0 % de leur poids corporel, contre 5,4 % sous placebo. C’est moins que les valeurs atteintes par le tirzépatide ou le rétatrutide dans des études de conception similaire. Il faut noter que l’analyse principale incluait toutes les personnes – y compris celles qui ont arrêté le traitement ou dont la titration a été prolongée. Les troubles digestifs ont concerné 80,9 % et 89,7 % contre 47,9 % sous placebo ; aucun décès n’est survenu.</w:t>
      </w:r>
    </w:p>
    <w:p>
      <w:pPr>
        <w:pStyle w:val="BodyText"/>
      </w:pPr>
      <w:r>
        <w:rPr>
          <w:bCs/>
          <w:b/>
        </w:rPr>
        <w:t xml:space="preserve">SYNCHRONIZE-2</w:t>
      </w:r>
      <w:r>
        <w:rPr>
          <w:rStyle w:val="FootnoteReference"/>
        </w:rPr>
        <w:footnoteReference w:id="585"/>
      </w:r>
      <w:r>
        <w:t xml:space="preserve"> </w:t>
      </w:r>
      <w:r>
        <w:t xml:space="preserve">a étudié 752 personnes obèses atteintes de diabète de type 2. La perte de poids après 76 semaines était de 8,2 % et 9,8 % contre 3,9 % sous placebo ; l’HbA1c, partant de 7,4 %, a baissé de 0,8 à 0,9 point de pourcentage.</w:t>
      </w:r>
    </w:p>
    <w:p>
      <w:pPr>
        <w:pStyle w:val="BodyText"/>
      </w:pPr>
      <w:r>
        <w:t xml:space="preserve">Dans l’étude de phase 2 dans le diabète de type 2, le survodutide à faible dose a abaissé l’HbA1c après 16 semaines à peu près autant que le sémaglutide 1 mg (environ −1,46 et −1,47 point respectivement) ; les doses plus élevées ont entraîné une perte de poids supérieure à celle du sémaglutide</w:t>
      </w:r>
      <w:r>
        <w:rPr>
          <w:rStyle w:val="FootnoteReference"/>
        </w:rPr>
        <w:footnoteReference w:id="586"/>
      </w:r>
      <w:r>
        <w:t xml:space="preserve">. Le bras sémaglutide était toutefois en ouvert et l’étude courte.</w:t>
      </w:r>
    </w:p>
    <w:bookmarkEnd w:id="587"/>
    <w:bookmarkStart w:id="591" w:name="stéatose-hépatique-masld-et-mash"/>
    <w:p>
      <w:pPr>
        <w:pStyle w:val="Heading4"/>
      </w:pPr>
      <w:r>
        <w:t xml:space="preserve">Stéatose hépatique (MASLD et MASH)</w:t>
      </w:r>
    </w:p>
    <w:p>
      <w:pPr>
        <w:pStyle w:val="FirstParagraph"/>
      </w:pPr>
      <w:r>
        <w:t xml:space="preserve">C’est ici que réside la véritable force des données actuelles. Dans l’étude de phase 2 chez des personnes atteintes de MASH prouvée par biopsie avec fibrose</w:t>
      </w:r>
      <w:r>
        <w:rPr>
          <w:rStyle w:val="FootnoteReference"/>
        </w:rPr>
        <w:footnoteReference w:id="588"/>
      </w:r>
      <w:r>
        <w:t xml:space="preserve">, l’inflammation hépatique s’est améliorée sans aggravation de la fibrose chez 47 %, 62 % et 43 % des trois groupes de dose, contre 14 % sous placebo. Une amélioration de la fibrose d’au moins un stade a été observée chez 34 à 36 % contre 22 %. La courbe dose-effet n’était pas linéaire : la dose intermédiaire a obtenu les meilleurs résultats.</w:t>
      </w:r>
    </w:p>
    <w:p>
      <w:pPr>
        <w:pStyle w:val="BodyText"/>
      </w:pPr>
      <w:r>
        <w:t xml:space="preserve">L’étude de phase 3</w:t>
      </w:r>
      <w:r>
        <w:t xml:space="preserve"> </w:t>
      </w:r>
      <w:r>
        <w:rPr>
          <w:bCs/>
          <w:b/>
        </w:rPr>
        <w:t xml:space="preserve">SYNCHRONIZE-MASLD</w:t>
      </w:r>
      <w:r>
        <w:rPr>
          <w:rStyle w:val="FootnoteReference"/>
        </w:rPr>
        <w:footnoteReference w:id="589"/>
      </w:r>
      <w:r>
        <w:t xml:space="preserve">, menée chez 216 adultes, a montré après 48 semaines une diminution de la graisse hépatique d’au moins 30 % chez 84,2 % des participants sous survodutide (placebo 24,3 %), mesurée par IRM. Selon l’analyse plus stricte, qui tient aussi compte des arrêts de traitement, ces chiffres étaient de 68,5 % contre 28,6 %. Les auteurs citent eux-mêmes comme limites la courte durée et un recrutement limité aux États-Unis et à l’Espagne.</w:t>
      </w:r>
    </w:p>
    <w:p>
      <w:pPr>
        <w:pStyle w:val="BodyText"/>
      </w:pPr>
      <w:r>
        <w:t xml:space="preserve">Dans une étude de phase 1 en ouvert, le survodutide a aussi été étudié chez des personnes atteintes de cirrhose, y compris à des stades avancés. Les concentrations sanguines ne différaient pas notablement de celles des personnes au foie sain ; la graisse hépatique, la rigidité hépatique et le poids corporel ont diminué sur 28 semaines</w:t>
      </w:r>
      <w:r>
        <w:rPr>
          <w:rStyle w:val="FootnoteReference"/>
        </w:rPr>
        <w:footnoteReference w:id="590"/>
      </w:r>
      <w:r>
        <w:t xml:space="preserve">. Cette étude était petite et non contrôlée.</w:t>
      </w:r>
    </w:p>
    <w:bookmarkEnd w:id="591"/>
    <w:bookmarkEnd w:id="592"/>
    <w:bookmarkStart w:id="595" w:name="études-animales-et-de-laboratoire-6"/>
    <w:p>
      <w:pPr>
        <w:pStyle w:val="Heading3"/>
      </w:pPr>
      <w:r>
        <w:t xml:space="preserve">Études animales et de laboratoire</w:t>
      </w:r>
    </w:p>
    <w:p>
      <w:pPr>
        <w:pStyle w:val="FirstParagraph"/>
      </w:pPr>
      <w:r>
        <w:t xml:space="preserve">Les données précliniques proviennent principalement des laboratoires du fabricant : profils de récepteurs dans des lignées cellulaires, perte de poids chez des souris atteintes d’obésité d’origine alimentaire et baisse de la glycémie chez des souris diabétiques</w:t>
      </w:r>
      <w:r>
        <w:rPr>
          <w:rStyle w:val="FootnoteReference"/>
        </w:rPr>
        <w:footnoteReference w:id="593"/>
      </w:r>
      <w:r>
        <w:t xml:space="preserve">. Sur le site d’action dans le cerveau, il existe des travaux chez la souris et sur du tissu humain</w:t>
      </w:r>
      <w:r>
        <w:rPr>
          <w:rStyle w:val="FootnoteReference"/>
        </w:rPr>
        <w:footnoteReference w:id="594"/>
      </w:r>
      <w:r>
        <w:t xml:space="preserve">. Les études animales indépendantes sont rares.</w:t>
      </w:r>
    </w:p>
    <w:bookmarkEnd w:id="595"/>
    <w:bookmarkStart w:id="599" w:name="risques-et-effets-indésirables-6"/>
    <w:p>
      <w:pPr>
        <w:pStyle w:val="Heading3"/>
      </w:pPr>
      <w:r>
        <w:t xml:space="preserve">Risques et effets indésirables</w:t>
      </w:r>
    </w:p>
    <w:p>
      <w:pPr>
        <w:pStyle w:val="FirstParagraph"/>
      </w:pPr>
      <w:r>
        <w:rPr>
          <w:bCs/>
          <w:b/>
        </w:rPr>
        <w:t xml:space="preserve">Établi par les études :</w:t>
      </w:r>
    </w:p>
    <w:p>
      <w:pPr>
        <w:numPr>
          <w:ilvl w:val="0"/>
          <w:numId w:val="1073"/>
        </w:numPr>
        <w:pStyle w:val="Compact"/>
      </w:pPr>
      <w:r>
        <w:rPr>
          <w:bCs/>
          <w:b/>
        </w:rPr>
        <w:t xml:space="preserve">Troubles digestifs</w:t>
      </w:r>
      <w:r>
        <w:t xml:space="preserve"> </w:t>
      </w:r>
      <w:r>
        <w:t xml:space="preserve">: ils sont particulièrement fréquents avec le survodutide. Dans l’étude MASH, des nausées sont survenues chez 66 % (placebo 23 %), des diarrhées chez 49 % (23 %) et des vomissements chez 41 % (4 %)</w:t>
      </w:r>
      <w:r>
        <w:rPr>
          <w:rStyle w:val="FootnoteReference"/>
        </w:rPr>
        <w:footnoteReference w:id="596"/>
      </w:r>
      <w:r>
        <w:t xml:space="preserve">. Dans SYNCHRONIZE-1, jusqu’à 89,7 % ont signalé des troubles digestifs</w:t>
      </w:r>
      <w:r>
        <w:rPr>
          <w:rStyle w:val="FootnoteReference"/>
        </w:rPr>
        <w:footnoteReference w:id="597"/>
      </w:r>
      <w:r>
        <w:t xml:space="preserve">. Cette fréquence est élevée par rapport aux autres médicaments incrétiniques, même si la plupart des troubles étaient légers à modérés.</w:t>
      </w:r>
    </w:p>
    <w:p>
      <w:pPr>
        <w:numPr>
          <w:ilvl w:val="0"/>
          <w:numId w:val="1073"/>
        </w:numPr>
        <w:pStyle w:val="Compact"/>
      </w:pPr>
      <w:r>
        <w:rPr>
          <w:bCs/>
          <w:b/>
        </w:rPr>
        <w:t xml:space="preserve">Événements indésirables graves :</w:t>
      </w:r>
      <w:r>
        <w:t xml:space="preserve"> </w:t>
      </w:r>
      <w:r>
        <w:t xml:space="preserve">dans l’étude MASH, ils étaient de fréquence similaire, avec 8 % sous survodutide et 7 % sous placebo.</w:t>
      </w:r>
    </w:p>
    <w:p>
      <w:pPr>
        <w:numPr>
          <w:ilvl w:val="0"/>
          <w:numId w:val="1073"/>
        </w:numPr>
        <w:pStyle w:val="Compact"/>
      </w:pPr>
      <w:r>
        <w:rPr>
          <w:bCs/>
          <w:b/>
        </w:rPr>
        <w:t xml:space="preserve">Abandons :</w:t>
      </w:r>
      <w:r>
        <w:t xml:space="preserve"> </w:t>
      </w:r>
      <w:r>
        <w:t xml:space="preserve">dans l’étude de phase 2 sur l’obésité, seuls environ 60 % ont terminé la phase de traitement – dans les deux groupes.</w:t>
      </w:r>
    </w:p>
    <w:p>
      <w:pPr>
        <w:pStyle w:val="FirstParagraph"/>
      </w:pPr>
      <w:r>
        <w:rPr>
          <w:bCs/>
          <w:b/>
        </w:rPr>
        <w:t xml:space="preserve">Encore ouvert :</w:t>
      </w:r>
      <w:r>
        <w:t xml:space="preserve"> </w:t>
      </w:r>
      <w:r>
        <w:t xml:space="preserve">des augmentations de la fréquence cardiaque sont connues avec les agonistes du glucagon et du GLP-1 ; une étude dédiée à la sécurité cardiaque a été menée</w:t>
      </w:r>
      <w:r>
        <w:rPr>
          <w:rStyle w:val="FootnoteReference"/>
        </w:rPr>
        <w:footnoteReference w:id="598"/>
      </w:r>
      <w:r>
        <w:t xml:space="preserve">. La grande étude de sécurité cardiovasculaire SYNCHRONIZE-CVOT est terminée selon le registre ; ses résultats n’étaient pas encore publiés dans une revue à comité de lecture à la clôture de la rédaction. Les effets à long terme de la composante glucagon sur les muscles, les os et le métabolisme des acides aminés n’ont pas été étudiés.</w:t>
      </w:r>
    </w:p>
    <w:bookmarkEnd w:id="599"/>
    <w:bookmarkStart w:id="600" w:name="statut-juridique-6"/>
    <w:p>
      <w:pPr>
        <w:pStyle w:val="Heading3"/>
      </w:pPr>
      <w:r>
        <w:t xml:space="preserve">Statut juridique</w:t>
      </w:r>
    </w:p>
    <w:p>
      <w:pPr>
        <w:numPr>
          <w:ilvl w:val="0"/>
          <w:numId w:val="1074"/>
        </w:numPr>
        <w:pStyle w:val="Compact"/>
      </w:pPr>
      <w:r>
        <w:rPr>
          <w:bCs/>
          <w:b/>
        </w:rPr>
        <w:t xml:space="preserve">UE / Autriche / Allemagne :</w:t>
      </w:r>
      <w:r>
        <w:t xml:space="preserve"> </w:t>
      </w:r>
      <w:r>
        <w:t xml:space="preserve">non autorisé ; utilisation uniquement dans des essais cliniques. Les offres du marché gris ne sont pas des médicaments légaux.</w:t>
      </w:r>
    </w:p>
    <w:p>
      <w:pPr>
        <w:numPr>
          <w:ilvl w:val="0"/>
          <w:numId w:val="1074"/>
        </w:numPr>
        <w:pStyle w:val="Compact"/>
      </w:pPr>
      <w:r>
        <w:rPr>
          <w:bCs/>
          <w:b/>
        </w:rPr>
        <w:t xml:space="preserve">États-Unis :</w:t>
      </w:r>
      <w:r>
        <w:t xml:space="preserve"> </w:t>
      </w:r>
      <w:r>
        <w:t xml:space="preserve">non autorisé. La FDA a classé le survodutide comme « Breakthrough Therapy » pour le traitement de la MASH, ce qui peut accélérer la procédure d’évaluation.</w:t>
      </w:r>
    </w:p>
    <w:p>
      <w:pPr>
        <w:numPr>
          <w:ilvl w:val="0"/>
          <w:numId w:val="1074"/>
        </w:numPr>
        <w:pStyle w:val="Compact"/>
      </w:pPr>
      <w:r>
        <w:rPr>
          <w:bCs/>
          <w:b/>
        </w:rPr>
        <w:t xml:space="preserve">Sport :</w:t>
      </w:r>
      <w:r>
        <w:t xml:space="preserve"> </w:t>
      </w:r>
      <w:r>
        <w:t xml:space="preserve">classe S0 de la WADA (substance non approuvée), état 2026, à vérifier.</w:t>
      </w:r>
    </w:p>
    <w:bookmarkEnd w:id="600"/>
    <w:bookmarkStart w:id="611" w:name="études-en-cours-et-perspectives-6"/>
    <w:p>
      <w:pPr>
        <w:pStyle w:val="Heading3"/>
      </w:pPr>
      <w:r>
        <w:t xml:space="preserve">Études en cours et perspectives</w:t>
      </w:r>
    </w:p>
    <w:p>
      <w:pPr>
        <w:pStyle w:val="FirstParagraph"/>
      </w:pPr>
      <w:r>
        <w:rPr>
          <w:bCs/>
          <w:b/>
        </w:rPr>
        <w:t xml:space="preserve">Établi (études enregistrées, état octobre 2026) :</w:t>
      </w:r>
    </w:p>
    <w:p>
      <w:pPr>
        <w:numPr>
          <w:ilvl w:val="0"/>
          <w:numId w:val="1075"/>
        </w:numPr>
        <w:pStyle w:val="Compact"/>
      </w:pPr>
      <w:r>
        <w:rPr>
          <w:bCs/>
          <w:b/>
        </w:rPr>
        <w:t xml:space="preserve">SYNCHRONIZE-CVOT</w:t>
      </w:r>
      <w:r>
        <w:rPr>
          <w:rStyle w:val="FootnoteReference"/>
        </w:rPr>
        <w:footnoteReference w:id="601"/>
      </w:r>
      <w:r>
        <w:t xml:space="preserve"> </w:t>
      </w:r>
      <w:r>
        <w:t xml:space="preserve">: étude de sécurité cardiovasculaire avec 5 531 participants, terminée selon le registre ; schéma décrit par Kosiborod 2024</w:t>
      </w:r>
      <w:r>
        <w:rPr>
          <w:rStyle w:val="FootnoteReference"/>
        </w:rPr>
        <w:footnoteReference w:id="602"/>
      </w:r>
      <w:r>
        <w:t xml:space="preserve">.</w:t>
      </w:r>
    </w:p>
    <w:p>
      <w:pPr>
        <w:numPr>
          <w:ilvl w:val="0"/>
          <w:numId w:val="1075"/>
        </w:numPr>
        <w:pStyle w:val="Compact"/>
      </w:pPr>
      <w:r>
        <w:rPr>
          <w:bCs/>
          <w:b/>
        </w:rPr>
        <w:t xml:space="preserve">LIVERAGE</w:t>
      </w:r>
      <w:r>
        <w:rPr>
          <w:rStyle w:val="FootnoteReference"/>
        </w:rPr>
        <w:footnoteReference w:id="603"/>
      </w:r>
      <w:r>
        <w:t xml:space="preserve"> </w:t>
      </w:r>
      <w:r>
        <w:t xml:space="preserve">avec 1 800 participants atteints de MASH et de fibrose, ainsi que</w:t>
      </w:r>
      <w:r>
        <w:t xml:space="preserve"> </w:t>
      </w:r>
      <w:r>
        <w:rPr>
          <w:bCs/>
          <w:b/>
        </w:rPr>
        <w:t xml:space="preserve">LIVERAGE-Cirrhosis</w:t>
      </w:r>
      <w:r>
        <w:rPr>
          <w:rStyle w:val="FootnoteReference"/>
        </w:rPr>
        <w:footnoteReference w:id="604"/>
      </w:r>
      <w:r>
        <w:t xml:space="preserve"> </w:t>
      </w:r>
      <w:r>
        <w:t xml:space="preserve">avec 1 590 participants atteints de cirrhose liée à la MASH – les études décisives pour une autorisation en hépatologie, avec des dates de fin prévues entre 2029 et 2031.</w:t>
      </w:r>
    </w:p>
    <w:p>
      <w:pPr>
        <w:numPr>
          <w:ilvl w:val="0"/>
          <w:numId w:val="1075"/>
        </w:numPr>
        <w:pStyle w:val="Compact"/>
      </w:pPr>
      <w:r>
        <w:t xml:space="preserve">Autres études de phase 3 : diabète de type 2</w:t>
      </w:r>
      <w:r>
        <w:rPr>
          <w:rStyle w:val="FootnoteReference"/>
        </w:rPr>
        <w:footnoteReference w:id="605"/>
      </w:r>
      <w:r>
        <w:t xml:space="preserve">, femmes obèses</w:t>
      </w:r>
      <w:r>
        <w:rPr>
          <w:rStyle w:val="FootnoteReference"/>
        </w:rPr>
        <w:footnoteReference w:id="606"/>
      </w:r>
      <w:r>
        <w:t xml:space="preserve">, structure cardiaque en cas d’obésité</w:t>
      </w:r>
      <w:r>
        <w:rPr>
          <w:rStyle w:val="FootnoteReference"/>
        </w:rPr>
        <w:footnoteReference w:id="607"/>
      </w:r>
      <w:r>
        <w:t xml:space="preserve">, personnes sans traitement préalable</w:t>
      </w:r>
      <w:r>
        <w:rPr>
          <w:rStyle w:val="FootnoteReference"/>
        </w:rPr>
        <w:footnoteReference w:id="608"/>
      </w:r>
      <w:r>
        <w:t xml:space="preserve">.</w:t>
      </w:r>
    </w:p>
    <w:p>
      <w:pPr>
        <w:numPr>
          <w:ilvl w:val="0"/>
          <w:numId w:val="1075"/>
        </w:numPr>
        <w:pStyle w:val="Compact"/>
      </w:pPr>
      <w:r>
        <w:t xml:space="preserve">Des études de phase 3 en Chine</w:t>
      </w:r>
      <w:r>
        <w:rPr>
          <w:rStyle w:val="FootnoteReference"/>
        </w:rPr>
        <w:footnoteReference w:id="609"/>
      </w:r>
      <w:r>
        <w:t xml:space="preserve"> </w:t>
      </w:r>
      <w:r>
        <w:t xml:space="preserve">et au Japon</w:t>
      </w:r>
      <w:r>
        <w:rPr>
          <w:rStyle w:val="FootnoteReference"/>
        </w:rPr>
        <w:footnoteReference w:id="610"/>
      </w:r>
      <w:r>
        <w:t xml:space="preserve"> </w:t>
      </w:r>
      <w:r>
        <w:t xml:space="preserve">sont terminées.</w:t>
      </w:r>
    </w:p>
    <w:p>
      <w:pPr>
        <w:pStyle w:val="FirstParagraph"/>
      </w:pPr>
      <w:r>
        <w:rPr>
          <w:bCs/>
          <w:b/>
        </w:rPr>
        <w:t xml:space="preserve">Appréciation :</w:t>
      </w:r>
      <w:r>
        <w:t xml:space="preserve"> </w:t>
      </w:r>
      <w:r>
        <w:t xml:space="preserve">en tant que simple médicament amaigrissant, le survodutide aura sans doute du mal à s’imposer face au tirzépatide, au sémaglutide et aux futurs triples agonistes – la perte de poids dans SYNCHRONIZE-1 était plus faible et les effets indésirables digestifs fréquents. Sa niche pourrait être la stéatose hépatique, en particulier les stades avancés jusqu’à la cirrhose, pour lesquels il n’existe guère d’options thérapeutiques. Les études LIVERAGE diront si cela réussit.</w:t>
      </w:r>
    </w:p>
    <w:bookmarkEnd w:id="611"/>
    <w:bookmarkStart w:id="612" w:name="conclusion-6"/>
    <w:p>
      <w:pPr>
        <w:pStyle w:val="Heading3"/>
      </w:pPr>
      <w:r>
        <w:t xml:space="preserve">Conclusion</w:t>
      </w:r>
    </w:p>
    <w:p>
      <w:pPr>
        <w:pStyle w:val="FirstParagraph"/>
      </w:pPr>
      <w:r>
        <w:t xml:space="preserve">Le survodutide est un double agoniste du glucagon et du GLP-1 qui, dans les études de phase 3, a réduit le poids corporel après 76 semaines de jusqu’à 13,0 % (sans diabète) et 9,8 % (avec diabète de type 2). Les effets sur le foie étaient plus nets : dans l’étude de phase 2, l’inflammation hépatique s’est améliorée chez jusqu’à 62 % contre 14 % sous placebo. Les troubles digestifs sont très fréquents. Le survodutide n’est pas autorisé ; les études de phase 3 en cours montreront s’il a un avenir comme médicament du foie.</w:t>
      </w:r>
    </w:p>
    <w:bookmarkEnd w:id="612"/>
    <w:bookmarkEnd w:id="613"/>
    <w:bookmarkStart w:id="651" w:name="mazdutide"/>
    <w:p>
      <w:pPr>
        <w:pStyle w:val="Heading2"/>
      </w:pPr>
      <w:r>
        <w:t xml:space="preserve">Mazdutide</w:t>
      </w:r>
    </w:p>
    <w:bookmarkStart w:id="614" w:name="fiche-signalétique-7"/>
    <w:p>
      <w:pPr>
        <w:pStyle w:val="Heading3"/>
      </w:pPr>
      <w:r>
        <w:t xml:space="preserve">Fiche signalétique</w:t>
      </w:r>
    </w:p>
    <w:p>
      <w:pPr>
        <w:numPr>
          <w:ilvl w:val="0"/>
          <w:numId w:val="1076"/>
        </w:numPr>
        <w:pStyle w:val="Compact"/>
      </w:pPr>
      <w:r>
        <w:rPr>
          <w:bCs/>
          <w:b/>
        </w:rPr>
        <w:t xml:space="preserve">Type/structure :</w:t>
      </w:r>
      <w:r>
        <w:t xml:space="preserve"> </w:t>
      </w:r>
      <w:r>
        <w:t xml:space="preserve">peptide de synthèse modifié par un acide gras, dérivé de l’hormone intestinale oxyntomoduline ; administration sous-cutanée une fois par semaine. Codes de développement LY3305677 (Eli Lilly) et IBI362 (Innovent Biologics).</w:t>
      </w:r>
    </w:p>
    <w:p>
      <w:pPr>
        <w:numPr>
          <w:ilvl w:val="0"/>
          <w:numId w:val="1076"/>
        </w:numPr>
        <w:pStyle w:val="Compact"/>
      </w:pPr>
      <w:r>
        <w:rPr>
          <w:bCs/>
          <w:b/>
        </w:rPr>
        <w:t xml:space="preserve">Origine :</w:t>
      </w:r>
      <w:r>
        <w:t xml:space="preserve"> </w:t>
      </w:r>
      <w:r>
        <w:t xml:space="preserve">développé à l’origine par Eli Lilly ; mené jusqu’à l’autorisation en Chine par Innovent Biologics, et étudié hors de Chine par Lilly.</w:t>
      </w:r>
    </w:p>
    <w:p>
      <w:pPr>
        <w:numPr>
          <w:ilvl w:val="0"/>
          <w:numId w:val="1076"/>
        </w:numPr>
        <w:pStyle w:val="Compact"/>
      </w:pPr>
      <w:r>
        <w:rPr>
          <w:bCs/>
          <w:b/>
        </w:rPr>
        <w:t xml:space="preserve">Principe d’action :</w:t>
      </w:r>
      <w:r>
        <w:t xml:space="preserve"> </w:t>
      </w:r>
      <w:r>
        <w:t xml:space="preserve">double agoniste des récepteurs du GLP-1 et du glucagon – comme le survodutide, mais il s’agit d’une molécule distincte.</w:t>
      </w:r>
    </w:p>
    <w:p>
      <w:pPr>
        <w:numPr>
          <w:ilvl w:val="0"/>
          <w:numId w:val="1076"/>
        </w:numPr>
        <w:pStyle w:val="Compact"/>
      </w:pPr>
      <w:r>
        <w:rPr>
          <w:bCs/>
          <w:b/>
        </w:rPr>
        <w:t xml:space="preserve">Autorisation UE :</w:t>
      </w:r>
      <w:r>
        <w:t xml:space="preserve"> </w:t>
      </w:r>
      <w:r>
        <w:t xml:space="preserve">non.</w:t>
      </w:r>
    </w:p>
    <w:p>
      <w:pPr>
        <w:numPr>
          <w:ilvl w:val="0"/>
          <w:numId w:val="1076"/>
        </w:numPr>
        <w:pStyle w:val="Compact"/>
      </w:pPr>
      <w:r>
        <w:rPr>
          <w:bCs/>
          <w:b/>
        </w:rPr>
        <w:t xml:space="preserve">Autorisation États-Unis :</w:t>
      </w:r>
      <w:r>
        <w:t xml:space="preserve"> </w:t>
      </w:r>
      <w:r>
        <w:t xml:space="preserve">non.</w:t>
      </w:r>
    </w:p>
    <w:p>
      <w:pPr>
        <w:numPr>
          <w:ilvl w:val="0"/>
          <w:numId w:val="1076"/>
        </w:numPr>
        <w:pStyle w:val="Compact"/>
      </w:pPr>
      <w:r>
        <w:rPr>
          <w:bCs/>
          <w:b/>
        </w:rPr>
        <w:t xml:space="preserve">Autorisation Chine :</w:t>
      </w:r>
      <w:r>
        <w:t xml:space="preserve"> </w:t>
      </w:r>
      <w:r>
        <w:t xml:space="preserve">oui, depuis juin 2025 pour la gestion du poids, depuis septembre 2025 aussi pour le diabète de type 2 (nom commercial Xinermei).</w:t>
      </w:r>
    </w:p>
    <w:p>
      <w:pPr>
        <w:numPr>
          <w:ilvl w:val="0"/>
          <w:numId w:val="1076"/>
        </w:numPr>
        <w:pStyle w:val="Compact"/>
      </w:pPr>
      <w:r>
        <w:rPr>
          <w:bCs/>
          <w:b/>
        </w:rPr>
        <w:t xml:space="preserve">AMA (WADA) :</w:t>
      </w:r>
      <w:r>
        <w:t xml:space="preserve"> </w:t>
      </w:r>
      <w:r>
        <w:t xml:space="preserve">non cité nommément. Le mazdutide étant autorisé par une autorité sanitaire nationale (Chine), il ne relève plus, selon la lettre du texte, de S0 ; son usage dans le sport sans indication médicale reste néanmoins problématique.</w:t>
      </w:r>
    </w:p>
    <w:p>
      <w:pPr>
        <w:numPr>
          <w:ilvl w:val="0"/>
          <w:numId w:val="1076"/>
        </w:numPr>
        <w:pStyle w:val="Compact"/>
      </w:pPr>
      <w:r>
        <w:rPr>
          <w:bCs/>
          <w:b/>
        </w:rPr>
        <w:t xml:space="preserve">Niveau de preuve :</w:t>
      </w:r>
      <w:r>
        <w:t xml:space="preserve"> </w:t>
      </w:r>
      <w:r>
        <w:rPr>
          <w:bCs/>
          <w:b/>
        </w:rPr>
        <w:t xml:space="preserve">A</w:t>
      </w:r>
      <w:r>
        <w:t xml:space="preserve"> </w:t>
      </w:r>
      <w:r>
        <w:t xml:space="preserve">– plusieurs grandes études de phase 3 et une autorisation, mais presque exclusivement chez des participants chinois.</w:t>
      </w:r>
    </w:p>
    <w:bookmarkEnd w:id="614"/>
    <w:bookmarkStart w:id="615" w:name="mode-daction-supposé-7"/>
    <w:p>
      <w:pPr>
        <w:pStyle w:val="Heading3"/>
      </w:pPr>
      <w:r>
        <w:t xml:space="preserve">Mode d’action supposé</w:t>
      </w:r>
    </w:p>
    <w:p>
      <w:pPr>
        <w:pStyle w:val="FirstParagraph"/>
      </w:pPr>
      <w:r>
        <w:t xml:space="preserve">L’oxyntomoduline est une hormone naturelle de l’intestin qui, comme le GLP-1, est sécrétée après les repas. Elle active à la fois les récepteurs du GLP-1 et du glucagon, mais seulement faiblement et très brièvement. Le mazdutide est une version stabilisée et à action prolongée de ce principe.</w:t>
      </w:r>
    </w:p>
    <w:p>
      <w:pPr>
        <w:pStyle w:val="BodyText"/>
      </w:pPr>
      <w:r>
        <w:t xml:space="preserve">La composante GLP-1 atténue l’appétit, ralentit la vidange gastrique et favorise la sécrétion d’insuline glucose-dépendante. La composante glucagon doit augmenter la dépense énergétique et favoriser la dégradation des graisses dans le foie (voir aussi le chapitre Survodutide). Chez l’humain, la contribution de la composante glucagon à la perte de poids n’a pas été mesurée directement ; l’hypothèse repose surtout sur des données animales.</w:t>
      </w:r>
    </w:p>
    <w:bookmarkEnd w:id="615"/>
    <w:bookmarkStart w:id="630" w:name="études-chez-lhumain-7"/>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9 études chez l’humain, complétées par une étude de phase 1 à haute dose et un rapport de cas. Sur ClinicalTrials.gov, 44 études étaient enregistrées, la plupart en Chine. Les études d’homologation s’appellent</w:t>
      </w:r>
      <w:r>
        <w:t xml:space="preserve"> </w:t>
      </w:r>
      <w:r>
        <w:rPr>
          <w:bCs/>
          <w:b/>
        </w:rPr>
        <w:t xml:space="preserve">GLORY</w:t>
      </w:r>
      <w:r>
        <w:t xml:space="preserve"> </w:t>
      </w:r>
      <w:r>
        <w:t xml:space="preserve">(obésité) et</w:t>
      </w:r>
      <w:r>
        <w:t xml:space="preserve"> </w:t>
      </w:r>
      <w:r>
        <w:rPr>
          <w:bCs/>
          <w:b/>
        </w:rPr>
        <w:t xml:space="preserve">DREAMS</w:t>
      </w:r>
      <w:r>
        <w:t xml:space="preserve"> </w:t>
      </w:r>
      <w:r>
        <w:t xml:space="preserve">(diabète de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2 obésité (Ji 2023), PMID 38092790</w:t>
            </w:r>
          </w:p>
        </w:tc>
        <w:tc>
          <w:tcPr/>
          <w:p>
            <w:pPr>
              <w:pStyle w:val="Compact"/>
              <w:jc w:val="left"/>
            </w:pPr>
            <w:r>
              <w:t xml:space="preserve">248 adultes chinois en surpoids/obèses</w:t>
            </w:r>
          </w:p>
        </w:tc>
        <w:tc>
          <w:tcPr/>
          <w:p>
            <w:pPr>
              <w:pStyle w:val="Compact"/>
              <w:jc w:val="left"/>
            </w:pPr>
            <w:r>
              <w:t xml:space="preserve">24 semaines</w:t>
            </w:r>
          </w:p>
        </w:tc>
        <w:tc>
          <w:tcPr/>
          <w:p>
            <w:pPr>
              <w:pStyle w:val="Compact"/>
              <w:jc w:val="left"/>
            </w:pPr>
            <w:r>
              <w:t xml:space="preserve">−6,7 à −11,3 % de poids vs +1,0 %</w:t>
            </w:r>
          </w:p>
        </w:tc>
      </w:tr>
      <w:tr>
        <w:tc>
          <w:tcPr/>
          <w:p>
            <w:pPr>
              <w:pStyle w:val="Compact"/>
              <w:jc w:val="left"/>
            </w:pPr>
            <w:r>
              <w:t xml:space="preserve">Phase 2 diabète de type 2 (Zhang 2024), PMID 37943529</w:t>
            </w:r>
          </w:p>
        </w:tc>
        <w:tc>
          <w:tcPr/>
          <w:p>
            <w:pPr>
              <w:pStyle w:val="Compact"/>
              <w:jc w:val="left"/>
            </w:pPr>
            <w:r>
              <w:t xml:space="preserve">250 adultes chinois, contre placebo et dulaglutide en ouvert</w:t>
            </w:r>
          </w:p>
        </w:tc>
        <w:tc>
          <w:tcPr/>
          <w:p>
            <w:pPr>
              <w:pStyle w:val="Compact"/>
              <w:jc w:val="left"/>
            </w:pPr>
            <w:r>
              <w:t xml:space="preserve">20 semaines</w:t>
            </w:r>
          </w:p>
        </w:tc>
        <w:tc>
          <w:tcPr/>
          <w:p>
            <w:pPr>
              <w:pStyle w:val="Compact"/>
              <w:jc w:val="left"/>
            </w:pPr>
            <w:r>
              <w:t xml:space="preserve">HbA1c −1,41 à −1,67 (dulaglutide −1,35)</w:t>
            </w:r>
          </w:p>
        </w:tc>
      </w:tr>
      <w:tr>
        <w:tc>
          <w:tcPr/>
          <w:p>
            <w:pPr>
              <w:pStyle w:val="Compact"/>
              <w:jc w:val="left"/>
            </w:pPr>
            <w:r>
              <w:t xml:space="preserve">GLORY-1 (Ji 2025), PMID 40421736</w:t>
            </w:r>
          </w:p>
        </w:tc>
        <w:tc>
          <w:tcPr/>
          <w:p>
            <w:pPr>
              <w:pStyle w:val="Compact"/>
              <w:jc w:val="left"/>
            </w:pPr>
            <w:r>
              <w:t xml:space="preserve">610 adultes chinois en surpoids/obèses, contre placebo</w:t>
            </w:r>
          </w:p>
        </w:tc>
        <w:tc>
          <w:tcPr/>
          <w:p>
            <w:pPr>
              <w:pStyle w:val="Compact"/>
              <w:jc w:val="left"/>
            </w:pPr>
            <w:r>
              <w:t xml:space="preserve">48 semaines</w:t>
            </w:r>
          </w:p>
        </w:tc>
        <w:tc>
          <w:tcPr/>
          <w:p>
            <w:pPr>
              <w:pStyle w:val="Compact"/>
              <w:jc w:val="left"/>
            </w:pPr>
            <w:r>
              <w:t xml:space="preserve">−11,00 / −14,01 % (4/6 mg) vs +0,30 %</w:t>
            </w:r>
          </w:p>
        </w:tc>
      </w:tr>
      <w:tr>
        <w:tc>
          <w:tcPr/>
          <w:p>
            <w:pPr>
              <w:pStyle w:val="Compact"/>
              <w:jc w:val="left"/>
            </w:pPr>
            <w:r>
              <w:t xml:space="preserve">GLORY-2 (Gao 2026), PMID 42251595</w:t>
            </w:r>
          </w:p>
        </w:tc>
        <w:tc>
          <w:tcPr/>
          <w:p>
            <w:pPr>
              <w:pStyle w:val="Compact"/>
              <w:jc w:val="left"/>
            </w:pPr>
            <w:r>
              <w:t xml:space="preserve">461 adultes chinois obèses, dose plus élevée contre placebo</w:t>
            </w:r>
          </w:p>
        </w:tc>
        <w:tc>
          <w:tcPr/>
          <w:p>
            <w:pPr>
              <w:pStyle w:val="Compact"/>
              <w:jc w:val="left"/>
            </w:pPr>
            <w:r>
              <w:t xml:space="preserve">60 semaines</w:t>
            </w:r>
          </w:p>
        </w:tc>
        <w:tc>
          <w:tcPr/>
          <w:p>
            <w:pPr>
              <w:pStyle w:val="Compact"/>
              <w:jc w:val="left"/>
            </w:pPr>
            <w:r>
              <w:t xml:space="preserve">−16,65 % vs −1,50 %</w:t>
            </w:r>
          </w:p>
        </w:tc>
      </w:tr>
      <w:tr>
        <w:tc>
          <w:tcPr/>
          <w:p>
            <w:pPr>
              <w:pStyle w:val="Compact"/>
              <w:jc w:val="left"/>
            </w:pPr>
            <w:r>
              <w:t xml:space="preserve">DREAMS-1 (Zhu 2026), PMID 41407859</w:t>
            </w:r>
          </w:p>
        </w:tc>
        <w:tc>
          <w:tcPr/>
          <w:p>
            <w:pPr>
              <w:pStyle w:val="Compact"/>
              <w:jc w:val="left"/>
            </w:pPr>
            <w:r>
              <w:t xml:space="preserve">320 adultes chinois atteints de diabète de type 2, contre placebo</w:t>
            </w:r>
          </w:p>
        </w:tc>
        <w:tc>
          <w:tcPr/>
          <w:p>
            <w:pPr>
              <w:pStyle w:val="Compact"/>
              <w:jc w:val="left"/>
            </w:pPr>
            <w:r>
              <w:t xml:space="preserve">24 semaines</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adultes chinois atteints de diabète de type 2, contre dulaglutide</w:t>
            </w:r>
          </w:p>
        </w:tc>
        <w:tc>
          <w:tcPr/>
          <w:p>
            <w:pPr>
              <w:pStyle w:val="Compact"/>
              <w:jc w:val="left"/>
            </w:pPr>
            <w:r>
              <w:t xml:space="preserve">28 semaines</w:t>
            </w:r>
          </w:p>
        </w:tc>
        <w:tc>
          <w:tcPr/>
          <w:p>
            <w:pPr>
              <w:pStyle w:val="Compact"/>
              <w:jc w:val="left"/>
            </w:pPr>
            <w:r>
              <w:t xml:space="preserve">HbA1c −0,24 / −0,30 supplémentaires ; poids −3,78 / −5,76 % supplémentaires</w:t>
            </w:r>
          </w:p>
        </w:tc>
      </w:tr>
      <w:tr>
        <w:tc>
          <w:tcPr/>
          <w:p>
            <w:pPr>
              <w:pStyle w:val="Compact"/>
              <w:jc w:val="left"/>
            </w:pPr>
            <w:r>
              <w:t xml:space="preserve">Phase 2 États-Unis (Hsia 2026), PMID 42628555</w:t>
            </w:r>
          </w:p>
        </w:tc>
        <w:tc>
          <w:tcPr/>
          <w:p>
            <w:pPr>
              <w:pStyle w:val="Compact"/>
              <w:jc w:val="left"/>
            </w:pPr>
            <w:r>
              <w:t xml:space="preserve">179 adultes en surpoids/obèses, contre placebo</w:t>
            </w:r>
          </w:p>
        </w:tc>
        <w:tc>
          <w:tcPr/>
          <w:p>
            <w:pPr>
              <w:pStyle w:val="Compact"/>
              <w:jc w:val="left"/>
            </w:pPr>
            <w:r>
              <w:t xml:space="preserve">48 semaines (critère principal à 32)</w:t>
            </w:r>
          </w:p>
        </w:tc>
        <w:tc>
          <w:tcPr/>
          <w:p>
            <w:pPr>
              <w:pStyle w:val="Compact"/>
              <w:jc w:val="left"/>
            </w:pPr>
            <w:r>
              <w:t xml:space="preserve">−7,3 à −18,1 % après 32 semaines vs −0,9 %</w:t>
            </w:r>
          </w:p>
        </w:tc>
      </w:tr>
    </w:tbl>
    <w:bookmarkStart w:id="618" w:name="obésité-glory-1-et-glory-2"/>
    <w:p>
      <w:pPr>
        <w:pStyle w:val="Heading4"/>
      </w:pPr>
      <w:r>
        <w:t xml:space="preserve">Obésité : GLORY-1 et GLORY-2</w:t>
      </w:r>
    </w:p>
    <w:p>
      <w:pPr>
        <w:pStyle w:val="FirstParagraph"/>
      </w:pPr>
      <w:r>
        <w:rPr>
          <w:bCs/>
          <w:b/>
        </w:rPr>
        <w:t xml:space="preserve">GLORY-1</w:t>
      </w:r>
      <w:r>
        <w:rPr>
          <w:rStyle w:val="FootnoteReference"/>
        </w:rPr>
        <w:footnoteReference w:id="616"/>
      </w:r>
      <w:r>
        <w:t xml:space="preserve"> </w:t>
      </w:r>
      <w:r>
        <w:t xml:space="preserve">était l’étude d’homologation pour la Chine. Les critères d’inclusion s’appuyaient sur les seuils chinois : IMC à partir de 28, ou à partir de 24 avec une comorbidité. Pour un poids initial de 87,2 kg, le poids a diminué après 48 semaines de 11,0 % (4 mg) et 14,0 % (6 mg) ; sous placebo, il est resté pratiquement inchangé. 35,7 % et 49,5 % des participants ont perdu au moins 15 %. Les arrêts pour effets indésirables étaient très rares, de 0,5 à 1,5 %.</w:t>
      </w:r>
    </w:p>
    <w:p>
      <w:pPr>
        <w:pStyle w:val="BodyText"/>
      </w:pPr>
      <w:r>
        <w:rPr>
          <w:bCs/>
          <w:b/>
        </w:rPr>
        <w:t xml:space="preserve">GLORY-2</w:t>
      </w:r>
      <w:r>
        <w:rPr>
          <w:rStyle w:val="FootnoteReference"/>
        </w:rPr>
        <w:footnoteReference w:id="617"/>
      </w:r>
      <w:r>
        <w:t xml:space="preserve"> </w:t>
      </w:r>
      <w:r>
        <w:t xml:space="preserve">a évalué une dose plus élevée chez des personnes ayant un IMC d’au moins 30. Les participants étaient remarquablement jeunes, avec en moyenne 33,9 ans. Après 60 semaines, la perte de poids était de 16,65 % contre 1,50 % sous placebo. Le prix à payer était nettement plus de troubles digestifs : vomissements chez 53,1 % (placebo 1,3 %), nausées chez 46,9 % (3,2 %) et diarrhées chez 39,4 % (6,5 %). Malgré cela, seuls 2,9 % ont arrêté le traitement en raison d’effets indésirables.</w:t>
      </w:r>
    </w:p>
    <w:bookmarkEnd w:id="618"/>
    <w:bookmarkStart w:id="623" w:name="diabète-de-type-2-dreams-1-et-dreams-2"/>
    <w:p>
      <w:pPr>
        <w:pStyle w:val="Heading4"/>
      </w:pPr>
      <w:r>
        <w:t xml:space="preserve">Diabète de type 2 : DREAMS-1 et DREAMS-2</w:t>
      </w:r>
    </w:p>
    <w:p>
      <w:pPr>
        <w:pStyle w:val="FirstParagraph"/>
      </w:pPr>
      <w:r>
        <w:t xml:space="preserve">Dans</w:t>
      </w:r>
      <w:r>
        <w:t xml:space="preserve"> </w:t>
      </w:r>
      <w:r>
        <w:rPr>
          <w:bCs/>
          <w:b/>
        </w:rPr>
        <w:t xml:space="preserve">DREAMS-1</w:t>
      </w:r>
      <w:r>
        <w:rPr>
          <w:rStyle w:val="FootnoteReference"/>
        </w:rPr>
        <w:footnoteReference w:id="619"/>
      </w:r>
      <w:r>
        <w:t xml:space="preserve">, des personnes atteintes de diabète de type 2 insuffisamment équilibré par l’alimentation et l’activité physique seules (ancienneté moyenne du diabète 1,9 an) ont reçu du mazdutide sans autre antidiabétique. À la dose la plus élevée, l’HbA1c a baissé après 24 semaines de 2,15 points de pourcentage (placebo −0,14), le poids de 7,81 %.</w:t>
      </w:r>
    </w:p>
    <w:p>
      <w:pPr>
        <w:pStyle w:val="BodyText"/>
      </w:pPr>
      <w:r>
        <w:rPr>
          <w:bCs/>
          <w:b/>
        </w:rPr>
        <w:t xml:space="preserve">DREAMS-2</w:t>
      </w:r>
      <w:r>
        <w:rPr>
          <w:rStyle w:val="FootnoteReference"/>
        </w:rPr>
        <w:footnoteReference w:id="620"/>
      </w:r>
      <w:r>
        <w:t xml:space="preserve"> </w:t>
      </w:r>
      <w:r>
        <w:t xml:space="preserve">est jusqu’ici l’étude comparative la plus importante : face au médicament GLP-1 établi qu’est le dulaglutide, le mazdutide s’est montré non inférieur puis supérieur sur l’HbA1c, quoique avec un faible écart (−0,24 et −0,30 point de pourcentage supplémentaires). La différence était plus nette sur le poids (−3,78 et −5,76 % supplémentaires). Les effets indésirables digestifs étaient plus fréquents sous mazdutide que sous dulaglutide.</w:t>
      </w:r>
    </w:p>
    <w:p>
      <w:pPr>
        <w:pStyle w:val="BodyText"/>
      </w:pPr>
      <w:r>
        <w:t xml:space="preserve">Une étude comparative contre le sémaglutide chez des personnes atteintes de diabète de type 2 débutant et d’obésité (DREAMS-3) est terminée selon le registre</w:t>
      </w:r>
      <w:r>
        <w:rPr>
          <w:rStyle w:val="FootnoteReference"/>
        </w:rPr>
        <w:footnoteReference w:id="621"/>
      </w:r>
      <w:r>
        <w:t xml:space="preserve"> </w:t>
      </w:r>
      <w:r>
        <w:t xml:space="preserve">; son schéma et les caractéristiques initiales des 349 participants sont publiés</w:t>
      </w:r>
      <w:r>
        <w:rPr>
          <w:rStyle w:val="FootnoteReference"/>
        </w:rPr>
        <w:footnoteReference w:id="622"/>
      </w:r>
      <w:r>
        <w:t xml:space="preserve">, mais pas encore les résultats.</w:t>
      </w:r>
    </w:p>
    <w:bookmarkEnd w:id="623"/>
    <w:bookmarkStart w:id="626" w:name="X75a92ea10eba00bce29f0facf437174bf5bf136"/>
    <w:p>
      <w:pPr>
        <w:pStyle w:val="Heading4"/>
      </w:pPr>
      <w:r>
        <w:t xml:space="preserve">Études hors de Chine et doses plus élevées</w:t>
      </w:r>
    </w:p>
    <w:p>
      <w:pPr>
        <w:pStyle w:val="FirstParagraph"/>
      </w:pPr>
      <w:r>
        <w:t xml:space="preserve">Lilly étudie le mazdutide hors de Chine à des doses plus élevées. Dans une petite étude de phase 1 chez 32 adultes aux États-Unis, le poids corporel a baissé à la dose la plus élevée de 20,0 et 21,0 % après 20 semaines (deux schémas de titration), contre 0,1 % sous placebo ; aucun effet indésirable grave n’est survenu</w:t>
      </w:r>
      <w:r>
        <w:rPr>
          <w:rStyle w:val="FootnoteReference"/>
        </w:rPr>
        <w:footnoteReference w:id="624"/>
      </w:r>
      <w:r>
        <w:t xml:space="preserve">.</w:t>
      </w:r>
    </w:p>
    <w:p>
      <w:pPr>
        <w:pStyle w:val="BodyText"/>
      </w:pPr>
      <w:r>
        <w:t xml:space="preserve">Dans l’étude de phase 2 américaine avec 179 participants</w:t>
      </w:r>
      <w:r>
        <w:rPr>
          <w:rStyle w:val="FootnoteReference"/>
        </w:rPr>
        <w:footnoteReference w:id="625"/>
      </w:r>
      <w:r>
        <w:t xml:space="preserve">, la perte de poids atteignait 18,1 % après 32 semaines à la dose la plus élevée. Cependant, à cette dose, 20 % ont arrêté le traitement en raison d’effets indésirables, principalement digestifs. L’analyse principale utilisait en outre l’« estimande d’efficacité », qui ne tient plus compte des personnes après un arrêt et présente donc l’effet de manière plutôt favorable.</w:t>
      </w:r>
    </w:p>
    <w:bookmarkEnd w:id="626"/>
    <w:bookmarkStart w:id="629" w:name="rapports-de-cas-isolés"/>
    <w:p>
      <w:pPr>
        <w:pStyle w:val="Heading4"/>
      </w:pPr>
      <w:r>
        <w:t xml:space="preserve">Rapports de cas isolés</w:t>
      </w:r>
    </w:p>
    <w:p>
      <w:pPr>
        <w:pStyle w:val="FirstParagraph"/>
      </w:pPr>
      <w:r>
        <w:t xml:space="preserve">Un rapport de cas décrit un patient de 15 ans atteint d’obésité, de diabète de type 2 et d’hyperuricémie, qui a reçu du mazdutide en plus de la metformine et de l’insuline et a perdu 16,8 kg en 36 semaines</w:t>
      </w:r>
      <w:r>
        <w:rPr>
          <w:rStyle w:val="FootnoteReference"/>
        </w:rPr>
        <w:footnoteReference w:id="627"/>
      </w:r>
      <w:r>
        <w:t xml:space="preserve">. Un cas isolé ne permet aucune conclusion sur l’efficacité ou la sécurité chez l’adolescent ; une étude est en cours sur ce sujet</w:t>
      </w:r>
      <w:r>
        <w:rPr>
          <w:rStyle w:val="FootnoteReference"/>
        </w:rPr>
        <w:footnoteReference w:id="628"/>
      </w:r>
      <w:r>
        <w:t xml:space="preserve">.</w:t>
      </w:r>
    </w:p>
    <w:bookmarkEnd w:id="629"/>
    <w:bookmarkEnd w:id="630"/>
    <w:bookmarkStart w:id="634" w:name="études-animales-et-de-laboratoire-7"/>
    <w:p>
      <w:pPr>
        <w:pStyle w:val="Heading3"/>
      </w:pPr>
      <w:r>
        <w:t xml:space="preserve">Études animales et de laboratoire</w:t>
      </w:r>
    </w:p>
    <w:p>
      <w:pPr>
        <w:pStyle w:val="FirstParagraph"/>
      </w:pPr>
      <w:r>
        <w:t xml:space="preserve">Chez des souris diabétiques (modèle db/db), le mazdutide a obtenu de meilleurs résultats que le dulaglutide dans des tests de mémoire et de comportement ; le tissu cérébral présentait moins de lésions</w:t>
      </w:r>
      <w:r>
        <w:rPr>
          <w:rStyle w:val="FootnoteReference"/>
        </w:rPr>
        <w:footnoteReference w:id="631"/>
      </w:r>
      <w:r>
        <w:t xml:space="preserve">. Chez des souris atteintes de stéatose hépatique d’origine alimentaire et dans des cultures de cellules hépatiques, le mazdutide a réduit le stockage des graisses et les signes d’inflammation</w:t>
      </w:r>
      <w:r>
        <w:rPr>
          <w:rStyle w:val="FootnoteReference"/>
        </w:rPr>
        <w:footnoteReference w:id="632"/>
      </w:r>
      <w:r>
        <w:t xml:space="preserve">. On ignore s’il en résulte des bénéfices pour l’humain ; une étude dans le diabète de type 2 avec troubles cognitifs débutants est enregistrée en Chine</w:t>
      </w:r>
      <w:r>
        <w:rPr>
          <w:rStyle w:val="FootnoteReference"/>
        </w:rPr>
        <w:footnoteReference w:id="633"/>
      </w:r>
      <w:r>
        <w:t xml:space="preserve">.</w:t>
      </w:r>
    </w:p>
    <w:bookmarkEnd w:id="634"/>
    <w:bookmarkStart w:id="639" w:name="risques-et-effets-indésirables-7"/>
    <w:p>
      <w:pPr>
        <w:pStyle w:val="Heading3"/>
      </w:pPr>
      <w:r>
        <w:t xml:space="preserve">Risques et effets indésirables</w:t>
      </w:r>
    </w:p>
    <w:p>
      <w:pPr>
        <w:pStyle w:val="FirstParagraph"/>
      </w:pPr>
      <w:r>
        <w:rPr>
          <w:bCs/>
          <w:b/>
        </w:rPr>
        <w:t xml:space="preserve">Établi par les études :</w:t>
      </w:r>
    </w:p>
    <w:p>
      <w:pPr>
        <w:numPr>
          <w:ilvl w:val="0"/>
          <w:numId w:val="1077"/>
        </w:numPr>
        <w:pStyle w:val="Compact"/>
      </w:pPr>
      <w:r>
        <w:rPr>
          <w:bCs/>
          <w:b/>
        </w:rPr>
        <w:t xml:space="preserve">Troubles digestifs</w:t>
      </w:r>
      <w:r>
        <w:t xml:space="preserve"> </w:t>
      </w:r>
      <w:r>
        <w:t xml:space="preserve">: ce sont les effets indésirables les plus fréquents ; leur fréquence augmente avec la dose. Dans l’étude de phase 2 sur le diabète, des diarrhées sont survenues chez 36 %, une baisse de l’appétit chez 29 %, des nausées chez 23 % et des vomissements chez 14 %</w:t>
      </w:r>
      <w:r>
        <w:rPr>
          <w:rStyle w:val="FootnoteReference"/>
        </w:rPr>
        <w:footnoteReference w:id="635"/>
      </w:r>
      <w:r>
        <w:t xml:space="preserve">. Dans GLORY-2, plus de la moitié des participants ont vomi au moins une fois</w:t>
      </w:r>
      <w:r>
        <w:rPr>
          <w:rStyle w:val="FootnoteReference"/>
        </w:rPr>
        <w:footnoteReference w:id="636"/>
      </w:r>
      <w:r>
        <w:t xml:space="preserve">.</w:t>
      </w:r>
    </w:p>
    <w:p>
      <w:pPr>
        <w:numPr>
          <w:ilvl w:val="0"/>
          <w:numId w:val="1077"/>
        </w:numPr>
        <w:pStyle w:val="Compact"/>
      </w:pPr>
      <w:r>
        <w:rPr>
          <w:bCs/>
          <w:b/>
        </w:rPr>
        <w:t xml:space="preserve">Hypoglycémie :</w:t>
      </w:r>
      <w:r>
        <w:t xml:space="preserve"> </w:t>
      </w:r>
      <w:r>
        <w:t xml:space="preserve">dans l’étude de phase 2 sur le diabète, des hypoglycémies ont été rapportées chez 10 % sous mazdutide et 8 % sous placebo</w:t>
      </w:r>
      <w:r>
        <w:rPr>
          <w:rStyle w:val="FootnoteReference"/>
        </w:rPr>
        <w:footnoteReference w:id="637"/>
      </w:r>
      <w:r>
        <w:t xml:space="preserve">.</w:t>
      </w:r>
    </w:p>
    <w:p>
      <w:pPr>
        <w:numPr>
          <w:ilvl w:val="0"/>
          <w:numId w:val="1077"/>
        </w:numPr>
        <w:pStyle w:val="Compact"/>
      </w:pPr>
      <w:r>
        <w:rPr>
          <w:bCs/>
          <w:b/>
        </w:rPr>
        <w:t xml:space="preserve">Arrêts aux doses élevées :</w:t>
      </w:r>
      <w:r>
        <w:t xml:space="preserve"> </w:t>
      </w:r>
      <w:r>
        <w:t xml:space="preserve">jusqu’à 20 % dans l’étude de phase 2 américaine</w:t>
      </w:r>
      <w:r>
        <w:rPr>
          <w:rStyle w:val="FootnoteReference"/>
        </w:rPr>
        <w:footnoteReference w:id="638"/>
      </w:r>
      <w:r>
        <w:t xml:space="preserve">.</w:t>
      </w:r>
    </w:p>
    <w:p>
      <w:pPr>
        <w:pStyle w:val="FirstParagraph"/>
      </w:pPr>
      <w:r>
        <w:rPr>
          <w:bCs/>
          <w:b/>
        </w:rPr>
        <w:t xml:space="preserve">Encore ouvert :</w:t>
      </w:r>
      <w:r>
        <w:t xml:space="preserve"> </w:t>
      </w:r>
      <w:r>
        <w:t xml:space="preserve">il n’existe pas d’étude sur critères cliniques cardiovasculaires. Les données à long terme au-delà de 60 semaines manquent. Les études ont inclus presque exclusivement des personnes d’origine chinoise, qui avaient, pour une même perte de poids, des valeurs initiales différentes (poids corporel plus faible) de celles des populations d’étude européennes. Les risques de classe connus des médicaments GLP-1 (vésicule biliaire, pancréas, cellules C thyroïdiennes chez l’animal) n’ont pas encore été évalués de manière propre pour le mazdutide, faute d’années-patients.</w:t>
      </w:r>
    </w:p>
    <w:bookmarkEnd w:id="639"/>
    <w:bookmarkStart w:id="641" w:name="statut-juridique-7"/>
    <w:p>
      <w:pPr>
        <w:pStyle w:val="Heading3"/>
      </w:pPr>
      <w:r>
        <w:t xml:space="preserve">Statut juridique</w:t>
      </w:r>
    </w:p>
    <w:p>
      <w:pPr>
        <w:numPr>
          <w:ilvl w:val="0"/>
          <w:numId w:val="1078"/>
        </w:numPr>
        <w:pStyle w:val="Compact"/>
      </w:pPr>
      <w:r>
        <w:rPr>
          <w:bCs/>
          <w:b/>
        </w:rPr>
        <w:t xml:space="preserve">Chine :</w:t>
      </w:r>
      <w:r>
        <w:t xml:space="preserve"> </w:t>
      </w:r>
      <w:r>
        <w:t xml:space="preserve">autorisé (juin 2025 pour la gestion du poids, septembre 2025 pour le diabète de type 2)</w:t>
      </w:r>
      <w:r>
        <w:rPr>
          <w:rStyle w:val="FootnoteReference"/>
        </w:rPr>
        <w:footnoteReference w:id="640"/>
      </w:r>
      <w:r>
        <w:t xml:space="preserve">.</w:t>
      </w:r>
    </w:p>
    <w:p>
      <w:pPr>
        <w:numPr>
          <w:ilvl w:val="0"/>
          <w:numId w:val="1078"/>
        </w:numPr>
        <w:pStyle w:val="Compact"/>
      </w:pPr>
      <w:r>
        <w:rPr>
          <w:bCs/>
          <w:b/>
        </w:rPr>
        <w:t xml:space="preserve">UE / Autriche / Allemagne :</w:t>
      </w:r>
      <w:r>
        <w:t xml:space="preserve"> </w:t>
      </w:r>
      <w:r>
        <w:t xml:space="preserve">non autorisé. Une importation pour usage n’est pas légale sans autorisation ; les produits « Mazdutide » proposés sur le marché gris ne sont pas des médicaments contrôlés.</w:t>
      </w:r>
    </w:p>
    <w:p>
      <w:pPr>
        <w:numPr>
          <w:ilvl w:val="0"/>
          <w:numId w:val="1078"/>
        </w:numPr>
        <w:pStyle w:val="Compact"/>
      </w:pPr>
      <w:r>
        <w:rPr>
          <w:bCs/>
          <w:b/>
        </w:rPr>
        <w:t xml:space="preserve">États-Unis :</w:t>
      </w:r>
      <w:r>
        <w:t xml:space="preserve"> </w:t>
      </w:r>
      <w:r>
        <w:t xml:space="preserve">non autorisé ; Lilly mène ses propres études.</w:t>
      </w:r>
    </w:p>
    <w:p>
      <w:pPr>
        <w:numPr>
          <w:ilvl w:val="0"/>
          <w:numId w:val="1078"/>
        </w:numPr>
        <w:pStyle w:val="Compact"/>
      </w:pPr>
      <w:r>
        <w:rPr>
          <w:bCs/>
          <w:b/>
        </w:rPr>
        <w:t xml:space="preserve">Sport :</w:t>
      </w:r>
      <w:r>
        <w:t xml:space="preserve"> </w:t>
      </w:r>
      <w:r>
        <w:t xml:space="preserve">non cité nommément ; statut au regard de S0 incertain en raison de l’autorisation chinoise – état 2026, à vérifier.</w:t>
      </w:r>
    </w:p>
    <w:bookmarkEnd w:id="641"/>
    <w:bookmarkStart w:id="649" w:name="études-en-cours-et-perspectives-7"/>
    <w:p>
      <w:pPr>
        <w:pStyle w:val="Heading3"/>
      </w:pPr>
      <w:r>
        <w:t xml:space="preserve">Études en cours et perspectives</w:t>
      </w:r>
    </w:p>
    <w:p>
      <w:pPr>
        <w:pStyle w:val="FirstParagraph"/>
      </w:pPr>
      <w:r>
        <w:rPr>
          <w:bCs/>
          <w:b/>
        </w:rPr>
        <w:t xml:space="preserve">Établi (études enregistrées, état octobre 2026) :</w:t>
      </w:r>
    </w:p>
    <w:p>
      <w:pPr>
        <w:numPr>
          <w:ilvl w:val="0"/>
          <w:numId w:val="1079"/>
        </w:numPr>
        <w:pStyle w:val="Compact"/>
      </w:pPr>
      <w:r>
        <w:t xml:space="preserve">Comparaison avec le sémaglutide dans la stéatose hépatique</w:t>
      </w:r>
      <w:r>
        <w:rPr>
          <w:rStyle w:val="FootnoteReference"/>
        </w:rPr>
        <w:footnoteReference w:id="642"/>
      </w:r>
      <w:r>
        <w:t xml:space="preserve"> </w:t>
      </w:r>
      <w:r>
        <w:t xml:space="preserve">et dans le diabète de type 2 débutant (NCT06184568, terminée).</w:t>
      </w:r>
    </w:p>
    <w:p>
      <w:pPr>
        <w:numPr>
          <w:ilvl w:val="0"/>
          <w:numId w:val="1079"/>
        </w:numPr>
        <w:pStyle w:val="Compact"/>
      </w:pPr>
      <w:r>
        <w:t xml:space="preserve">Apnée du sommeil</w:t>
      </w:r>
      <w:r>
        <w:rPr>
          <w:rStyle w:val="FootnoteReference"/>
        </w:rPr>
        <w:footnoteReference w:id="643"/>
      </w:r>
      <w:r>
        <w:t xml:space="preserve">, hypertension artérielle avec obésité</w:t>
      </w:r>
      <w:r>
        <w:rPr>
          <w:rStyle w:val="FootnoteReference"/>
        </w:rPr>
        <w:footnoteReference w:id="644"/>
      </w:r>
      <w:r>
        <w:t xml:space="preserve">, adolescents</w:t>
      </w:r>
      <w:r>
        <w:rPr>
          <w:rStyle w:val="FootnoteReference"/>
        </w:rPr>
        <w:footnoteReference w:id="645"/>
      </w:r>
      <w:r>
        <w:t xml:space="preserve">.</w:t>
      </w:r>
    </w:p>
    <w:p>
      <w:pPr>
        <w:numPr>
          <w:ilvl w:val="0"/>
          <w:numId w:val="1079"/>
        </w:numPr>
        <w:pStyle w:val="Compact"/>
      </w:pPr>
      <w:r>
        <w:t xml:space="preserve">Études de phase 2 sur la MASH</w:t>
      </w:r>
      <w:r>
        <w:rPr>
          <w:rStyle w:val="FootnoteReference"/>
        </w:rPr>
        <w:footnoteReference w:id="646"/>
      </w:r>
      <w:r>
        <w:t xml:space="preserve">, l’insuffisance cardiaque avec obésité</w:t>
      </w:r>
      <w:r>
        <w:rPr>
          <w:rStyle w:val="FootnoteReference"/>
        </w:rPr>
        <w:footnoteReference w:id="647"/>
      </w:r>
      <w:r>
        <w:t xml:space="preserve"> </w:t>
      </w:r>
      <w:r>
        <w:t xml:space="preserve">et le trouble de l’usage de l’alcool (NCT06817356, terminée, promoteur Lilly).</w:t>
      </w:r>
    </w:p>
    <w:p>
      <w:pPr>
        <w:numPr>
          <w:ilvl w:val="0"/>
          <w:numId w:val="1079"/>
        </w:numPr>
        <w:pStyle w:val="Compact"/>
      </w:pPr>
      <w:r>
        <w:t xml:space="preserve">Lilly évalue en outre le mazdutide dans un protocole cadre de phase 2</w:t>
      </w:r>
      <w:r>
        <w:rPr>
          <w:rStyle w:val="FootnoteReference"/>
        </w:rPr>
        <w:footnoteReference w:id="648"/>
      </w:r>
      <w:r>
        <w:t xml:space="preserve">.</w:t>
      </w:r>
    </w:p>
    <w:p>
      <w:pPr>
        <w:pStyle w:val="FirstParagraph"/>
      </w:pPr>
      <w:r>
        <w:rPr>
          <w:bCs/>
          <w:b/>
        </w:rPr>
        <w:t xml:space="preserve">Appréciation :</w:t>
      </w:r>
      <w:r>
        <w:t xml:space="preserve"> </w:t>
      </w:r>
      <w:r>
        <w:t xml:space="preserve">le mazdutide est le premier double agoniste glucagon/GLP-1 à obtenir une autorisation – mais seulement en Chine. Que Lilly vise une autorisation aux États-Unis et en Europe dépend probablement de la possibilité de démarquer la molécule du tirzépatide et du rétatrutide issus du même laboratoire, par exemple dans la stéatose hépatique ou le trouble de l’usage de l’alcool. Il s’agit d’une appréciation ; aucune demande d’autorisation concrète hors de Chine n’est connue.</w:t>
      </w:r>
    </w:p>
    <w:bookmarkEnd w:id="649"/>
    <w:bookmarkStart w:id="650" w:name="conclusion-7"/>
    <w:p>
      <w:pPr>
        <w:pStyle w:val="Heading3"/>
      </w:pPr>
      <w:r>
        <w:t xml:space="preserve">Conclusion</w:t>
      </w:r>
    </w:p>
    <w:p>
      <w:pPr>
        <w:pStyle w:val="FirstParagraph"/>
      </w:pPr>
      <w:r>
        <w:t xml:space="preserve">Le mazdutide est un dérivé à action prolongée de l’hormone intestinale oxyntomoduline, qui active simultanément les récepteurs du GLP-1 et du glucagon. Dans les études chinoises de phase 3, le poids corporel a diminué de 11 à 14 % après 48 semaines et de 16,65 % après 60 semaines avec une dose plus élevée ; dans le diabète de type 2, il a été légèrement supérieur au dulaglutide. Les effets indésirables les plus fréquents sont les troubles digestifs, qui deviennent très fréquents aux doses élevées. Le mazdutide n’est autorisé qu’en Chine ; les données sur les critères cardiovasculaires et sur les populations non asiatiques font largement défaut.</w:t>
      </w:r>
    </w:p>
    <w:bookmarkEnd w:id="650"/>
    <w:bookmarkEnd w:id="651"/>
    <w:bookmarkStart w:id="699" w:name="cagrilintide-et-cagrisema"/>
    <w:p>
      <w:pPr>
        <w:pStyle w:val="Heading2"/>
      </w:pPr>
      <w:r>
        <w:t xml:space="preserve">Cagrilintide et CagriSema</w:t>
      </w:r>
    </w:p>
    <w:bookmarkStart w:id="652" w:name="fiche-signalétique-8"/>
    <w:p>
      <w:pPr>
        <w:pStyle w:val="Heading3"/>
      </w:pPr>
      <w:r>
        <w:t xml:space="preserve">Fiche signalétique</w:t>
      </w:r>
    </w:p>
    <w:p>
      <w:pPr>
        <w:numPr>
          <w:ilvl w:val="0"/>
          <w:numId w:val="1080"/>
        </w:numPr>
        <w:pStyle w:val="Compact"/>
      </w:pPr>
      <w:r>
        <w:rPr>
          <w:bCs/>
          <w:b/>
        </w:rPr>
        <w:t xml:space="preserve">Type/structure :</w:t>
      </w:r>
      <w:r>
        <w:t xml:space="preserve"> </w:t>
      </w:r>
      <w:r>
        <w:t xml:space="preserve">le cagrilintide est un analogue de synthèse de l’hormone amyline, modifié par un acide gras, pour une administration sous-cutanée une fois par semaine.</w:t>
      </w:r>
      <w:r>
        <w:t xml:space="preserve"> </w:t>
      </w:r>
      <w:r>
        <w:rPr>
          <w:bCs/>
          <w:b/>
        </w:rPr>
        <w:t xml:space="preserve">CagriSema</w:t>
      </w:r>
      <w:r>
        <w:t xml:space="preserve"> </w:t>
      </w:r>
      <w:r>
        <w:t xml:space="preserve">est l’association fixe de cagrilintide et de sémaglutide dans un même stylo injecteur.</w:t>
      </w:r>
    </w:p>
    <w:p>
      <w:pPr>
        <w:numPr>
          <w:ilvl w:val="0"/>
          <w:numId w:val="1080"/>
        </w:numPr>
        <w:pStyle w:val="Compact"/>
      </w:pPr>
      <w:r>
        <w:rPr>
          <w:bCs/>
          <w:b/>
        </w:rPr>
        <w:t xml:space="preserve">Origine :</w:t>
      </w:r>
      <w:r>
        <w:t xml:space="preserve"> </w:t>
      </w:r>
      <w:r>
        <w:t xml:space="preserve">développé par Novo Nordisk, le fabricant du sémaglutide.</w:t>
      </w:r>
    </w:p>
    <w:p>
      <w:pPr>
        <w:numPr>
          <w:ilvl w:val="0"/>
          <w:numId w:val="1080"/>
        </w:numPr>
        <w:pStyle w:val="Compact"/>
      </w:pPr>
      <w:r>
        <w:rPr>
          <w:bCs/>
          <w:b/>
        </w:rPr>
        <w:t xml:space="preserve">Principe d’action :</w:t>
      </w:r>
      <w:r>
        <w:t xml:space="preserve"> </w:t>
      </w:r>
      <w:r>
        <w:t xml:space="preserve">le cagrilintide active les récepteurs de l’amyline ainsi que le récepteur apparenté de la calcitonine (un « double agoniste des récepteurs de l’amyline et de la calcitonine »). Dans CagriSema s’y ajoute l’effet GLP-1 du sémaglutide.</w:t>
      </w:r>
    </w:p>
    <w:p>
      <w:pPr>
        <w:numPr>
          <w:ilvl w:val="0"/>
          <w:numId w:val="1080"/>
        </w:numPr>
        <w:pStyle w:val="Compact"/>
      </w:pPr>
      <w:r>
        <w:rPr>
          <w:bCs/>
          <w:b/>
        </w:rPr>
        <w:t xml:space="preserve">Autorisation UE :</w:t>
      </w:r>
      <w:r>
        <w:t xml:space="preserve"> </w:t>
      </w:r>
      <w:r>
        <w:t xml:space="preserve">non (état octobre 2026).</w:t>
      </w:r>
    </w:p>
    <w:p>
      <w:pPr>
        <w:numPr>
          <w:ilvl w:val="0"/>
          <w:numId w:val="1080"/>
        </w:numPr>
        <w:pStyle w:val="Compact"/>
      </w:pPr>
      <w:r>
        <w:rPr>
          <w:bCs/>
          <w:b/>
        </w:rPr>
        <w:t xml:space="preserve">Autorisation États-Unis :</w:t>
      </w:r>
      <w:r>
        <w:t xml:space="preserve"> </w:t>
      </w:r>
      <w:r>
        <w:t xml:space="preserve">non (état octobre 2026 ; une procédure d’autorisation pour CagriSema a été annoncée ou pourrait déjà être en cours – à vérifier).</w:t>
      </w:r>
    </w:p>
    <w:p>
      <w:pPr>
        <w:numPr>
          <w:ilvl w:val="0"/>
          <w:numId w:val="1080"/>
        </w:numPr>
        <w:pStyle w:val="Compact"/>
      </w:pPr>
      <w:r>
        <w:rPr>
          <w:bCs/>
          <w:b/>
        </w:rPr>
        <w:t xml:space="preserve">AMA (WADA) :</w:t>
      </w:r>
      <w:r>
        <w:t xml:space="preserve"> </w:t>
      </w:r>
      <w:r>
        <w:t xml:space="preserve">interdit au titre de S0 en tant que substance non approuvée.</w:t>
      </w:r>
    </w:p>
    <w:p>
      <w:pPr>
        <w:numPr>
          <w:ilvl w:val="0"/>
          <w:numId w:val="1080"/>
        </w:numPr>
        <w:pStyle w:val="Compact"/>
      </w:pPr>
      <w:r>
        <w:rPr>
          <w:bCs/>
          <w:b/>
        </w:rPr>
        <w:t xml:space="preserve">Niveau de preuve :</w:t>
      </w:r>
      <w:r>
        <w:t xml:space="preserve"> </w:t>
      </w:r>
      <w:r>
        <w:rPr>
          <w:bCs/>
          <w:b/>
        </w:rPr>
        <w:t xml:space="preserve">B</w:t>
      </w:r>
      <w:r>
        <w:t xml:space="preserve"> </w:t>
      </w:r>
      <w:r>
        <w:t xml:space="preserve">– plusieurs grandes études de phase 3 publiées, mais pas encore d’autorisation. Avec une autorisation, CagriSema atteindrait le niveau A.</w:t>
      </w:r>
    </w:p>
    <w:bookmarkEnd w:id="652"/>
    <w:bookmarkStart w:id="657" w:name="mode-daction-supposé-8"/>
    <w:p>
      <w:pPr>
        <w:pStyle w:val="Heading3"/>
      </w:pPr>
      <w:r>
        <w:t xml:space="preserve">Mode d’action supposé</w:t>
      </w:r>
    </w:p>
    <w:p>
      <w:pPr>
        <w:pStyle w:val="FirstParagraph"/>
      </w:pPr>
      <w:r>
        <w:t xml:space="preserve">L’amyline est une hormone que les cellules bêta du pancréas sécrètent en même temps que l’insuline. Elle agit surtout dans le tronc cérébral : elle favorise la sensation de satiété, ralentit la vidange gastrique et freine la sécrétion de glucagon après les repas. Chez les personnes atteintes de diabète de type 1, l’amyline fait défaut en plus de l’insuline.</w:t>
      </w:r>
    </w:p>
    <w:p>
      <w:pPr>
        <w:pStyle w:val="BodyText"/>
      </w:pPr>
      <w:r>
        <w:t xml:space="preserve">L’amyline naturelle ne convient pas comme médicament, car elle tend à s’agréger (elle forme des fibrilles dites amyloïdes) et ne persiste que quelques minutes dans le sang. Le premier médicament à base d’amyline, le pramlintide (voir le chapitre dédié), doit donc être injecté plusieurs fois par jour. Le cagrilintide a été modifié de manière ciblée pour rester stable et agir une semaine grâce à une chaîne d’acide gras</w:t>
      </w:r>
      <w:r>
        <w:rPr>
          <w:rStyle w:val="FootnoteReference"/>
        </w:rPr>
        <w:footnoteReference w:id="653"/>
      </w:r>
      <w:r>
        <w:t xml:space="preserve">. Dans les données de phase 1, la demi-vie était de 159 à 195 heures, soit environ une semaine</w:t>
      </w:r>
      <w:r>
        <w:rPr>
          <w:rStyle w:val="FootnoteReference"/>
        </w:rPr>
        <w:footnoteReference w:id="654"/>
      </w:r>
      <w:r>
        <w:t xml:space="preserve">.</w:t>
      </w:r>
    </w:p>
    <w:p>
      <w:pPr>
        <w:pStyle w:val="BodyText"/>
      </w:pPr>
      <w:r>
        <w:t xml:space="preserve">L’association avec le sémaglutide répond à une idée simple : l’amyline et le GLP-1 agissent sur la satiété par des récepteurs différents et en partie par des régions cérébrales différentes – leurs effets pourraient s’additionner. Des travaux sur des souris génétiquement modifiées montrent que le cagrilintide a besoin des sous-types 1 et 3 du récepteur de l’amyline dans le cerveau pour son effet sur le poids</w:t>
      </w:r>
      <w:r>
        <w:rPr>
          <w:rStyle w:val="FootnoteReference"/>
        </w:rPr>
        <w:footnoteReference w:id="655"/>
      </w:r>
      <w:r>
        <w:t xml:space="preserve">. Chez le rat, CagriSema a surtout réduit l’apport énergétique, tandis que la dépense énergétique était largement préservée</w:t>
      </w:r>
      <w:r>
        <w:rPr>
          <w:rStyle w:val="FootnoteReference"/>
        </w:rPr>
        <w:footnoteReference w:id="656"/>
      </w:r>
      <w:r>
        <w:t xml:space="preserve">.</w:t>
      </w:r>
    </w:p>
    <w:bookmarkEnd w:id="657"/>
    <w:bookmarkStart w:id="672" w:name="études-chez-lhumain-8"/>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15 études chez l’humain sur le cagrilintide ou CagriSema. Sur ClinicalTrials.gov, 44 études étaient enregistrées. Le programme d’homologation s’appelle</w:t>
      </w:r>
      <w:r>
        <w:t xml:space="preserve"> </w:t>
      </w:r>
      <w:r>
        <w:rPr>
          <w:bCs/>
          <w:b/>
        </w:rPr>
        <w:t xml:space="preserve">REDEFINE</w:t>
      </w:r>
      <w:r>
        <w:t xml:space="preserve"> </w:t>
      </w:r>
      <w:r>
        <w:t xml:space="preserve">(gestion du poids) et</w:t>
      </w:r>
      <w:r>
        <w:t xml:space="preserve"> </w:t>
      </w:r>
      <w:r>
        <w:rPr>
          <w:bCs/>
          <w:b/>
        </w:rPr>
        <w:t xml:space="preserve">REIMAGINE</w:t>
      </w:r>
      <w:r>
        <w:t xml:space="preserve"> </w:t>
      </w:r>
      <w:r>
        <w:t xml:space="preserve">(diabète de type 2).</w:t>
      </w:r>
    </w:p>
    <w:bookmarkStart w:id="660" w:name="cagrilintide-seul"/>
    <w:p>
      <w:pPr>
        <w:pStyle w:val="Heading4"/>
      </w:pPr>
      <w:r>
        <w:t xml:space="preserve">Cagrilintide seul</w:t>
      </w:r>
    </w:p>
    <w:p>
      <w:pPr>
        <w:pStyle w:val="FirstParagraph"/>
      </w:pPr>
      <w:r>
        <w:t xml:space="preserve">Dans l’étude de phase 2 de recherche de dose</w:t>
      </w:r>
      <w:r>
        <w:rPr>
          <w:rStyle w:val="FootnoteReference"/>
        </w:rPr>
        <w:footnoteReference w:id="658"/>
      </w:r>
      <w:r>
        <w:t xml:space="preserve">, 706 adultes en surpoids ou obèses ont reçu pendant 26 semaines du cagrilintide à cinq doses, 99 du liraglutide et 101 un placebo. Le poids a diminué de façon dose-dépendante de 6,0 à 10,8 % (placebo 3,0 %). La dose la plus élevée a été légèrement supérieure au liraglutide 3,0 mg (10,8 % vs 9,0 %). Des nausées sont survenues chez 20 à 47 % (placebo 18 %). Le cagrilintide seul atteint ainsi à peu près l’ordre de grandeur des anciens médicaments GLP-1, pas celui du sémaglutide ou du tirzépatide. Il est désormais aussi évalué en phase 3 en tant que substance seule</w:t>
      </w:r>
      <w:r>
        <w:rPr>
          <w:rStyle w:val="FootnoteReference"/>
        </w:rPr>
        <w:footnoteReference w:id="659"/>
      </w:r>
      <w:r>
        <w:t xml:space="preserve">.</w:t>
      </w:r>
    </w:p>
    <w:bookmarkEnd w:id="660"/>
    <w:bookmarkStart w:id="663" w:name="cagrisema-premières-études"/>
    <w:p>
      <w:pPr>
        <w:pStyle w:val="Heading4"/>
      </w:pPr>
      <w:r>
        <w:t xml:space="preserve">CagriSema : premières études</w:t>
      </w:r>
    </w:p>
    <w:p>
      <w:pPr>
        <w:pStyle w:val="FirstParagraph"/>
      </w:pPr>
      <w:r>
        <w:t xml:space="preserve">Dans une étude de phase 1b chez 95 personnes en bonne santé et en surpoids, les participants sous sémaglutide plus cagrilintide ont perdu jusqu’à 17,1 % de leur poids après 20 semaines, ceux sous sémaglutide plus placebo 9,8 %</w:t>
      </w:r>
      <w:r>
        <w:rPr>
          <w:rStyle w:val="FootnoteReference"/>
        </w:rPr>
        <w:footnoteReference w:id="661"/>
      </w:r>
      <w:r>
        <w:t xml:space="preserve">. Le cagrilintide n’a pas modifié les concentrations sanguines de sémaglutide.</w:t>
      </w:r>
    </w:p>
    <w:p>
      <w:pPr>
        <w:pStyle w:val="BodyText"/>
      </w:pPr>
      <w:r>
        <w:t xml:space="preserve">Une petite étude de phase 2 chez 92 personnes atteintes de diabète de type 2 a comparé directement CagriSema aux deux substances seules</w:t>
      </w:r>
      <w:r>
        <w:rPr>
          <w:rStyle w:val="FootnoteReference"/>
        </w:rPr>
        <w:footnoteReference w:id="662"/>
      </w:r>
      <w:r>
        <w:t xml:space="preserve">. Après 32 semaines, la perte de poids était de 15,6 % avec CagriSema, 5,1 % avec le sémaglutide et 8,1 % avec le cagrilintide. Sur l’HbA1c, CagriSema (−2,2 points de pourcentage) n’était pas statistiquement supérieur au sémaglutide (−1,8).</w:t>
      </w:r>
    </w:p>
    <w:bookmarkEnd w:id="663"/>
    <w:bookmarkStart w:id="671" w:name="cagrisema-phase-3-redefine-et-reimagine"/>
    <w:p>
      <w:pPr>
        <w:pStyle w:val="Heading4"/>
      </w:pPr>
      <w:r>
        <w:t xml:space="preserve">CagriSema : phase 3 (REDEFINE et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REDEFINE 1 (Garvey 2025), PMID 40544433</w:t>
            </w:r>
          </w:p>
        </w:tc>
        <w:tc>
          <w:tcPr/>
          <w:p>
            <w:pPr>
              <w:pStyle w:val="Compact"/>
              <w:jc w:val="left"/>
            </w:pPr>
            <w:r>
              <w:t xml:space="preserve">3 417 adultes en surpoids/obèses sans diabète ; contre placebo et substances seules</w:t>
            </w:r>
          </w:p>
        </w:tc>
        <w:tc>
          <w:tcPr/>
          <w:p>
            <w:pPr>
              <w:pStyle w:val="Compact"/>
              <w:jc w:val="left"/>
            </w:pPr>
            <w:r>
              <w:t xml:space="preserve">68 semaines</w:t>
            </w:r>
          </w:p>
        </w:tc>
        <w:tc>
          <w:tcPr/>
          <w:p>
            <w:pPr>
              <w:pStyle w:val="Compact"/>
              <w:jc w:val="left"/>
            </w:pPr>
            <w:r>
              <w:t xml:space="preserve">−20,4 % de poids vs −3,0 %</w:t>
            </w:r>
          </w:p>
        </w:tc>
      </w:tr>
      <w:tr>
        <w:tc>
          <w:tcPr/>
          <w:p>
            <w:pPr>
              <w:pStyle w:val="Compact"/>
              <w:jc w:val="left"/>
            </w:pPr>
            <w:r>
              <w:t xml:space="preserve">REDEFINE 2 (Davies 2025), PMID 40544432</w:t>
            </w:r>
          </w:p>
        </w:tc>
        <w:tc>
          <w:tcPr/>
          <w:p>
            <w:pPr>
              <w:pStyle w:val="Compact"/>
              <w:jc w:val="left"/>
            </w:pPr>
            <w:r>
              <w:t xml:space="preserve">1 206 adultes obèses atteints de diabète de type 2, contre placebo</w:t>
            </w:r>
          </w:p>
        </w:tc>
        <w:tc>
          <w:tcPr/>
          <w:p>
            <w:pPr>
              <w:pStyle w:val="Compact"/>
              <w:jc w:val="left"/>
            </w:pPr>
            <w:r>
              <w:t xml:space="preserve">68 semaines</w:t>
            </w:r>
          </w:p>
        </w:tc>
        <w:tc>
          <w:tcPr/>
          <w:p>
            <w:pPr>
              <w:pStyle w:val="Compact"/>
              <w:jc w:val="left"/>
            </w:pPr>
            <w:r>
              <w:t xml:space="preserve">−13,7 % vs −3,4 %</w:t>
            </w:r>
          </w:p>
        </w:tc>
      </w:tr>
      <w:tr>
        <w:tc>
          <w:tcPr/>
          <w:p>
            <w:pPr>
              <w:pStyle w:val="Compact"/>
              <w:jc w:val="left"/>
            </w:pPr>
            <w:r>
              <w:t xml:space="preserve">REDEFINE 5 (Yamauchi 2026), PMID 42009015</w:t>
            </w:r>
          </w:p>
        </w:tc>
        <w:tc>
          <w:tcPr/>
          <w:p>
            <w:pPr>
              <w:pStyle w:val="Compact"/>
              <w:jc w:val="left"/>
            </w:pPr>
            <w:r>
              <w:t xml:space="preserve">331 adultes au Japon et à Taïwan, contre sémaglutide</w:t>
            </w:r>
          </w:p>
        </w:tc>
        <w:tc>
          <w:tcPr/>
          <w:p>
            <w:pPr>
              <w:pStyle w:val="Compact"/>
              <w:jc w:val="left"/>
            </w:pPr>
            <w:r>
              <w:t xml:space="preserve">68 semaines</w:t>
            </w:r>
          </w:p>
        </w:tc>
        <w:tc>
          <w:tcPr/>
          <w:p>
            <w:pPr>
              <w:pStyle w:val="Compact"/>
              <w:jc w:val="left"/>
            </w:pPr>
            <w:r>
              <w:t xml:space="preserve">−18,4 % vs −11,9 % (sémaglutide)</w:t>
            </w:r>
          </w:p>
        </w:tc>
      </w:tr>
      <w:tr>
        <w:tc>
          <w:tcPr/>
          <w:p>
            <w:pPr>
              <w:pStyle w:val="Compact"/>
              <w:jc w:val="left"/>
            </w:pPr>
            <w:r>
              <w:t xml:space="preserve">REIMAGINE 1 (Aroda 2026), PMID 42251860</w:t>
            </w:r>
          </w:p>
        </w:tc>
        <w:tc>
          <w:tcPr/>
          <w:p>
            <w:pPr>
              <w:pStyle w:val="Compact"/>
              <w:jc w:val="left"/>
            </w:pPr>
            <w:r>
              <w:t xml:space="preserve">189 adultes atteints de diabète de type 2 sans traitement, contre placebo</w:t>
            </w:r>
          </w:p>
        </w:tc>
        <w:tc>
          <w:tcPr/>
          <w:p>
            <w:pPr>
              <w:pStyle w:val="Compact"/>
              <w:jc w:val="left"/>
            </w:pPr>
            <w:r>
              <w:t xml:space="preserve">40 semaines</w:t>
            </w:r>
          </w:p>
        </w:tc>
        <w:tc>
          <w:tcPr/>
          <w:p>
            <w:pPr>
              <w:pStyle w:val="Compact"/>
              <w:jc w:val="left"/>
            </w:pPr>
            <w:r>
              <w:t xml:space="preserve">HbA1c −1,8 vs −0,1 ; poids −13,8 % vs −1,4 %</w:t>
            </w:r>
          </w:p>
        </w:tc>
      </w:tr>
      <w:tr>
        <w:tc>
          <w:tcPr/>
          <w:p>
            <w:pPr>
              <w:pStyle w:val="Compact"/>
              <w:jc w:val="left"/>
            </w:pPr>
            <w:r>
              <w:t xml:space="preserve">REIMAGINE 2 (Buse 2026), PMID 42251859</w:t>
            </w:r>
          </w:p>
        </w:tc>
        <w:tc>
          <w:tcPr/>
          <w:p>
            <w:pPr>
              <w:pStyle w:val="Compact"/>
              <w:jc w:val="left"/>
            </w:pPr>
            <w:r>
              <w:t xml:space="preserve">2 713 adultes atteints de diabète de type 2, contre sémaglutide, cagrilintide et placebo</w:t>
            </w:r>
          </w:p>
        </w:tc>
        <w:tc>
          <w:tcPr/>
          <w:p>
            <w:pPr>
              <w:pStyle w:val="Compact"/>
              <w:jc w:val="left"/>
            </w:pPr>
            <w:r>
              <w:t xml:space="preserve">68 semaines</w:t>
            </w:r>
          </w:p>
        </w:tc>
        <w:tc>
          <w:tcPr/>
          <w:p>
            <w:pPr>
              <w:pStyle w:val="Compact"/>
              <w:jc w:val="left"/>
            </w:pPr>
            <w:r>
              <w:t xml:space="preserve">HbA1c −1,91 vs −1,75 (sémaglutide 2,4 mg)</w:t>
            </w:r>
          </w:p>
        </w:tc>
      </w:tr>
      <w:tr>
        <w:tc>
          <w:tcPr/>
          <w:p>
            <w:pPr>
              <w:pStyle w:val="Compact"/>
              <w:jc w:val="left"/>
            </w:pPr>
            <w:r>
              <w:t xml:space="preserve">REIMAGINE 3 (Rosenstock 2026), PMID 42251856</w:t>
            </w:r>
          </w:p>
        </w:tc>
        <w:tc>
          <w:tcPr/>
          <w:p>
            <w:pPr>
              <w:pStyle w:val="Compact"/>
              <w:jc w:val="left"/>
            </w:pPr>
            <w:r>
              <w:t xml:space="preserve">274 adultes atteints de diabète de type 2 sous insuline basale, contre placebo</w:t>
            </w:r>
          </w:p>
        </w:tc>
        <w:tc>
          <w:tcPr/>
          <w:p>
            <w:pPr>
              <w:pStyle w:val="Compact"/>
              <w:jc w:val="left"/>
            </w:pPr>
            <w:r>
              <w:t xml:space="preserve">40 semaines</w:t>
            </w:r>
          </w:p>
        </w:tc>
        <w:tc>
          <w:tcPr/>
          <w:p>
            <w:pPr>
              <w:pStyle w:val="Compact"/>
              <w:jc w:val="left"/>
            </w:pPr>
            <w:r>
              <w:t xml:space="preserve">HbA1c −2,33 vs −0,66 ; poids −10 à −12 %</w:t>
            </w:r>
          </w:p>
        </w:tc>
      </w:tr>
    </w:tbl>
    <w:p>
      <w:pPr>
        <w:pStyle w:val="BodyText"/>
      </w:pPr>
      <w:r>
        <w:rPr>
          <w:bCs/>
          <w:b/>
        </w:rPr>
        <w:t xml:space="preserve">REDEFINE 1</w:t>
      </w:r>
      <w:r>
        <w:rPr>
          <w:rStyle w:val="FootnoteReference"/>
        </w:rPr>
        <w:footnoteReference w:id="664"/>
      </w:r>
      <w:r>
        <w:t xml:space="preserve"> </w:t>
      </w:r>
      <w:r>
        <w:t xml:space="preserve">est l’étude principale. Chez 3 417 adultes sans diabète, le poids corporel a diminué après 68 semaines de 20,4 % en moyenne contre 3,0 % sous placebo. L’étude comprenait aussi de plus petits groupes sous sémaglutide seul et sous cagrilintide seul. Dans une analyse complémentaire, 30,3 % sous CagriSema, 19,1 % sous sémaglutide, 9,0 % sous cagrilintide et 3,3 % sous placebo ont atteint à la fois un IMC inférieur à 27 et un rapport tour de taille/taille favorable</w:t>
      </w:r>
      <w:r>
        <w:rPr>
          <w:rStyle w:val="FootnoteReference"/>
        </w:rPr>
        <w:footnoteReference w:id="665"/>
      </w:r>
      <w:r>
        <w:t xml:space="preserve">. La pression artérielle systolique a baissé de 10,9 mmHg sous CagriSema (placebo −2,8)</w:t>
      </w:r>
      <w:r>
        <w:rPr>
          <w:rStyle w:val="FootnoteReference"/>
        </w:rPr>
        <w:footnoteReference w:id="666"/>
      </w:r>
      <w:r>
        <w:t xml:space="preserve">.</w:t>
      </w:r>
    </w:p>
    <w:p>
      <w:pPr>
        <w:pStyle w:val="BodyText"/>
      </w:pPr>
      <w:r>
        <w:t xml:space="preserve">Pour situer : les 20,4 % obtenus sont du même ordre que ceux du tirzépatide dans SURMOUNT-1 (20,9 % après 72 semaines à la dose la plus élevée). Une telle comparaison croisée entre études différentes n’est qu’un repère grossier ; la comparaison directe reste à venir (voir ci-dessous).</w:t>
      </w:r>
    </w:p>
    <w:p>
      <w:pPr>
        <w:pStyle w:val="BodyText"/>
      </w:pPr>
      <w:r>
        <w:rPr>
          <w:bCs/>
          <w:b/>
        </w:rPr>
        <w:t xml:space="preserve">REDEFINE 2</w:t>
      </w:r>
      <w:r>
        <w:rPr>
          <w:rStyle w:val="FootnoteReference"/>
        </w:rPr>
        <w:footnoteReference w:id="667"/>
      </w:r>
      <w:r>
        <w:t xml:space="preserve"> </w:t>
      </w:r>
      <w:r>
        <w:t xml:space="preserve">a confirmé ce schéma chez les personnes atteintes de diabète de type 2 : −13,7 % contre −3,4 %. 73,5 % ont atteint une HbA1c d’au plus 6,5 % (placebo 15,9 %).</w:t>
      </w:r>
    </w:p>
    <w:p>
      <w:pPr>
        <w:pStyle w:val="BodyText"/>
      </w:pPr>
      <w:r>
        <w:rPr>
          <w:bCs/>
          <w:b/>
        </w:rPr>
        <w:t xml:space="preserve">REDEFINE 5</w:t>
      </w:r>
      <w:r>
        <w:rPr>
          <w:rStyle w:val="FootnoteReference"/>
        </w:rPr>
        <w:footnoteReference w:id="668"/>
      </w:r>
      <w:r>
        <w:t xml:space="preserve"> </w:t>
      </w:r>
      <w:r>
        <w:t xml:space="preserve">est la première étude de phase 3 en aveugle publiée en comparaison directe avec le sémaglutide 2,4 mg : au Japon et à Taïwan, les participants ont perdu 18,4 % avec CagriSema contre 11,9 % avec le sémaglutide seul. Les troubles digestifs étaient de fréquence similaire, 53 % contre 51 %.</w:t>
      </w:r>
    </w:p>
    <w:p>
      <w:pPr>
        <w:pStyle w:val="BodyText"/>
      </w:pPr>
      <w:r>
        <w:rPr>
          <w:bCs/>
          <w:b/>
        </w:rPr>
        <w:t xml:space="preserve">REIMAGINE 2</w:t>
      </w:r>
      <w:r>
        <w:rPr>
          <w:rStyle w:val="FootnoteReference"/>
        </w:rPr>
        <w:footnoteReference w:id="669"/>
      </w:r>
      <w:r>
        <w:t xml:space="preserve"> </w:t>
      </w:r>
      <w:r>
        <w:t xml:space="preserve">a montré dans le diabète de type 2 que CagriSema abaisse l’HbA1c à peine plus que le sémaglutide 2,4 mg seul (−1,91 vs −1,75 point de pourcentage). Le bénéfice supplémentaire du cagrilintide porte donc surtout sur le poids, très peu sur la glycémie.</w:t>
      </w:r>
    </w:p>
    <w:p>
      <w:pPr>
        <w:pStyle w:val="BodyText"/>
      </w:pPr>
      <w:r>
        <w:t xml:space="preserve">L’étude de comparaison directe contre le tirzépatide dans l’obésité (REDEFINE 4, NCT06131437) ainsi que deux études comparatives contre le tirzépatide dans le diabète de type 2</w:t>
      </w:r>
      <w:r>
        <w:rPr>
          <w:rStyle w:val="FootnoteReference"/>
        </w:rPr>
        <w:footnoteReference w:id="670"/>
      </w:r>
      <w:r>
        <w:t xml:space="preserve"> </w:t>
      </w:r>
      <w:r>
        <w:t xml:space="preserve">sont terminées selon le registre ; aucune publication évaluée par les pairs n’était encore disponible au moment de la recherche.</w:t>
      </w:r>
    </w:p>
    <w:bookmarkEnd w:id="671"/>
    <w:bookmarkEnd w:id="672"/>
    <w:bookmarkStart w:id="677" w:name="études-animales-et-de-laboratoire-8"/>
    <w:p>
      <w:pPr>
        <w:pStyle w:val="Heading3"/>
      </w:pPr>
      <w:r>
        <w:t xml:space="preserve">Études animales et de laboratoire</w:t>
      </w:r>
    </w:p>
    <w:p>
      <w:pPr>
        <w:pStyle w:val="FirstParagraph"/>
      </w:pPr>
      <w:r>
        <w:t xml:space="preserve">Des travaux de biologie structurale montrent comment le cagrilintide se lie aux récepteurs de l’amyline et de la calcitonine</w:t>
      </w:r>
      <w:r>
        <w:rPr>
          <w:rStyle w:val="FootnoteReference"/>
        </w:rPr>
        <w:footnoteReference w:id="673"/>
      </w:r>
      <w:r>
        <w:t xml:space="preserve">. Chez des souris dépourvues des sous-types 1 et 3 du récepteur de l’amyline, l’effet était fortement atténué</w:t>
      </w:r>
      <w:r>
        <w:rPr>
          <w:rStyle w:val="FootnoteReference"/>
        </w:rPr>
        <w:footnoteReference w:id="674"/>
      </w:r>
      <w:r>
        <w:t xml:space="preserve">. Chez le rat, CagriSema a réduit la prise alimentaire de 39 % ; selon le calcul des auteurs, environ un tiers de la perte de poids s’expliquait par le fait que la dépense énergétique ne diminuait pas dans la mesure habituelle</w:t>
      </w:r>
      <w:r>
        <w:rPr>
          <w:rStyle w:val="FootnoteReference"/>
        </w:rPr>
        <w:footnoteReference w:id="675"/>
      </w:r>
      <w:r>
        <w:t xml:space="preserve">. Dans une autre étude chez le rat, l’association du cagrilintide au rétatrutide a amplifié la perte de poids</w:t>
      </w:r>
      <w:r>
        <w:rPr>
          <w:rStyle w:val="FootnoteReference"/>
        </w:rPr>
        <w:footnoteReference w:id="676"/>
      </w:r>
      <w:r>
        <w:t xml:space="preserve"> </w:t>
      </w:r>
      <w:r>
        <w:t xml:space="preserve">– un indice que les substances à base d’amyline pourraient à l’avenir être associées aussi à d’autres médicaments incrétiniques. Tous ces résultats proviennent d’expériences animales.</w:t>
      </w:r>
    </w:p>
    <w:bookmarkEnd w:id="677"/>
    <w:bookmarkStart w:id="685" w:name="risques-et-effets-indésirables-8"/>
    <w:p>
      <w:pPr>
        <w:pStyle w:val="Heading3"/>
      </w:pPr>
      <w:r>
        <w:t xml:space="preserve">Risques et effets indésirables</w:t>
      </w:r>
    </w:p>
    <w:p>
      <w:pPr>
        <w:pStyle w:val="FirstParagraph"/>
      </w:pPr>
      <w:r>
        <w:rPr>
          <w:bCs/>
          <w:b/>
        </w:rPr>
        <w:t xml:space="preserve">Établi par les études :</w:t>
      </w:r>
    </w:p>
    <w:p>
      <w:pPr>
        <w:numPr>
          <w:ilvl w:val="0"/>
          <w:numId w:val="1081"/>
        </w:numPr>
        <w:pStyle w:val="Compact"/>
      </w:pPr>
      <w:r>
        <w:rPr>
          <w:bCs/>
          <w:b/>
        </w:rPr>
        <w:t xml:space="preserve">Troubles digestifs</w:t>
      </w:r>
      <w:r>
        <w:t xml:space="preserve"> </w:t>
      </w:r>
      <w:r>
        <w:t xml:space="preserve">– nausées, vomissements, diarrhées, constipation, douleurs abdominales – ont concerné dans REDEFINE 1 79,6 % sous CagriSema contre 39,9 % sous placebo ; ils étaient le plus souvent transitoires et légers à modérés</w:t>
      </w:r>
      <w:r>
        <w:rPr>
          <w:rStyle w:val="FootnoteReference"/>
        </w:rPr>
        <w:footnoteReference w:id="678"/>
      </w:r>
      <w:r>
        <w:t xml:space="preserve">. Dans REDEFINE 2, ils étaient de 72,5 % contre 34,4 %</w:t>
      </w:r>
      <w:r>
        <w:rPr>
          <w:rStyle w:val="FootnoteReference"/>
        </w:rPr>
        <w:footnoteReference w:id="679"/>
      </w:r>
      <w:r>
        <w:t xml:space="preserve">.</w:t>
      </w:r>
    </w:p>
    <w:p>
      <w:pPr>
        <w:numPr>
          <w:ilvl w:val="0"/>
          <w:numId w:val="1081"/>
        </w:numPr>
        <w:pStyle w:val="Compact"/>
      </w:pPr>
      <w:r>
        <w:rPr>
          <w:bCs/>
          <w:b/>
        </w:rPr>
        <w:t xml:space="preserve">Hypoglycémie :</w:t>
      </w:r>
      <w:r>
        <w:t xml:space="preserve"> </w:t>
      </w:r>
      <w:r>
        <w:t xml:space="preserve">dans REIMAGINE 3, aucune hypoglycémie sévère n’est survenue malgré un traitement concomitant par insuline</w:t>
      </w:r>
      <w:r>
        <w:rPr>
          <w:rStyle w:val="FootnoteReference"/>
        </w:rPr>
        <w:footnoteReference w:id="680"/>
      </w:r>
      <w:r>
        <w:t xml:space="preserve">. En association avec l’insuline ou les sulfamides hypoglycémiants, le risque persiste néanmoins en principe.</w:t>
      </w:r>
    </w:p>
    <w:p>
      <w:pPr>
        <w:numPr>
          <w:ilvl w:val="0"/>
          <w:numId w:val="1081"/>
        </w:numPr>
        <w:pStyle w:val="Compact"/>
      </w:pPr>
      <w:r>
        <w:rPr>
          <w:bCs/>
          <w:b/>
        </w:rPr>
        <w:t xml:space="preserve">Rythme cardiaque :</w:t>
      </w:r>
      <w:r>
        <w:t xml:space="preserve"> </w:t>
      </w:r>
      <w:r>
        <w:t xml:space="preserve">dans une étude dédiée chez 105 personnes en bonne santé, le cagrilintide n’a pas allongé l’intervalle QT à l’ECG de manière cliniquement pertinente</w:t>
      </w:r>
      <w:r>
        <w:rPr>
          <w:rStyle w:val="FootnoteReference"/>
        </w:rPr>
        <w:footnoteReference w:id="681"/>
      </w:r>
      <w:r>
        <w:t xml:space="preserve">.</w:t>
      </w:r>
    </w:p>
    <w:p>
      <w:pPr>
        <w:numPr>
          <w:ilvl w:val="0"/>
          <w:numId w:val="1081"/>
        </w:numPr>
        <w:pStyle w:val="Compact"/>
      </w:pPr>
      <w:r>
        <w:rPr>
          <w:bCs/>
          <w:b/>
        </w:rPr>
        <w:t xml:space="preserve">Fonction rénale et hépatique :</w:t>
      </w:r>
      <w:r>
        <w:t xml:space="preserve"> </w:t>
      </w:r>
      <w:r>
        <w:t xml:space="preserve">les concentrations sanguines de cagrilintide ne se modifiaient pas notablement en cas d’insuffisance rénale ou hépatique</w:t>
      </w:r>
      <w:r>
        <w:rPr>
          <w:rStyle w:val="FootnoteReference"/>
        </w:rPr>
        <w:footnoteReference w:id="682"/>
      </w:r>
      <w:r>
        <w:t xml:space="preserve">.</w:t>
      </w:r>
    </w:p>
    <w:p>
      <w:pPr>
        <w:pStyle w:val="FirstParagraph"/>
      </w:pPr>
      <w:r>
        <w:rPr>
          <w:bCs/>
          <w:b/>
        </w:rPr>
        <w:t xml:space="preserve">Théorique ou encore insuffisamment étudié :</w:t>
      </w:r>
      <w:r>
        <w:t xml:space="preserve"> </w:t>
      </w:r>
      <w:r>
        <w:t xml:space="preserve">le récepteur de la calcitonine est aussi présent dans l’os ; l’effet de sa stimulation continue sur le métabolisme osseux est en cours d’étude</w:t>
      </w:r>
      <w:r>
        <w:rPr>
          <w:rStyle w:val="FootnoteReference"/>
        </w:rPr>
        <w:footnoteReference w:id="683"/>
      </w:r>
      <w:r>
        <w:t xml:space="preserve">. On ignore également si l’association influence la perte de masse musculaire</w:t>
      </w:r>
      <w:r>
        <w:rPr>
          <w:rStyle w:val="FootnoteReference"/>
        </w:rPr>
        <w:footnoteReference w:id="684"/>
      </w:r>
      <w:r>
        <w:t xml:space="preserve">. Pour les risques de classe du sémaglutide (vésicule biliaire, pancréas, cellules C thyroïdiennes chez l’animal), voir le chapitre Sémaglutide.</w:t>
      </w:r>
    </w:p>
    <w:bookmarkEnd w:id="685"/>
    <w:bookmarkStart w:id="686" w:name="statut-juridique-8"/>
    <w:p>
      <w:pPr>
        <w:pStyle w:val="Heading3"/>
      </w:pPr>
      <w:r>
        <w:t xml:space="preserve">Statut juridique</w:t>
      </w:r>
    </w:p>
    <w:p>
      <w:pPr>
        <w:numPr>
          <w:ilvl w:val="0"/>
          <w:numId w:val="1082"/>
        </w:numPr>
        <w:pStyle w:val="Compact"/>
      </w:pPr>
      <w:r>
        <w:rPr>
          <w:bCs/>
          <w:b/>
        </w:rPr>
        <w:t xml:space="preserve">UE / Autriche / Allemagne :</w:t>
      </w:r>
      <w:r>
        <w:t xml:space="preserve"> </w:t>
      </w:r>
      <w:r>
        <w:t xml:space="preserve">ni le cagrilintide ni CagriSema ne sont autorisés ; utilisation uniquement dans des études. Les offres de « Cagrilintide » sur le marché gris ne sont pas des médicaments et ne sont pas contrôlées.</w:t>
      </w:r>
    </w:p>
    <w:p>
      <w:pPr>
        <w:numPr>
          <w:ilvl w:val="0"/>
          <w:numId w:val="1082"/>
        </w:numPr>
        <w:pStyle w:val="Compact"/>
      </w:pPr>
      <w:r>
        <w:rPr>
          <w:bCs/>
          <w:b/>
        </w:rPr>
        <w:t xml:space="preserve">États-Unis :</w:t>
      </w:r>
      <w:r>
        <w:t xml:space="preserve"> </w:t>
      </w:r>
      <w:r>
        <w:t xml:space="preserve">non autorisé (état octobre 2026, à vérifier).</w:t>
      </w:r>
    </w:p>
    <w:p>
      <w:pPr>
        <w:numPr>
          <w:ilvl w:val="0"/>
          <w:numId w:val="1082"/>
        </w:numPr>
        <w:pStyle w:val="Compact"/>
      </w:pPr>
      <w:r>
        <w:rPr>
          <w:bCs/>
          <w:b/>
        </w:rPr>
        <w:t xml:space="preserve">Sport :</w:t>
      </w:r>
      <w:r>
        <w:t xml:space="preserve"> </w:t>
      </w:r>
      <w:r>
        <w:t xml:space="preserve">classe S0 de la WADA (non approuvé), état 2026, à vérifier.</w:t>
      </w:r>
    </w:p>
    <w:bookmarkEnd w:id="686"/>
    <w:bookmarkStart w:id="697" w:name="études-en-cours-et-perspectives-8"/>
    <w:p>
      <w:pPr>
        <w:pStyle w:val="Heading3"/>
      </w:pPr>
      <w:r>
        <w:t xml:space="preserve">Études en cours et perspectives</w:t>
      </w:r>
    </w:p>
    <w:p>
      <w:pPr>
        <w:pStyle w:val="FirstParagraph"/>
      </w:pPr>
      <w:r>
        <w:rPr>
          <w:bCs/>
          <w:b/>
        </w:rPr>
        <w:t xml:space="preserve">Établi (études enregistrées, état octobre 2026) :</w:t>
      </w:r>
    </w:p>
    <w:p>
      <w:pPr>
        <w:numPr>
          <w:ilvl w:val="0"/>
          <w:numId w:val="1083"/>
        </w:numPr>
        <w:pStyle w:val="Compact"/>
      </w:pPr>
      <w:r>
        <w:rPr>
          <w:bCs/>
          <w:b/>
        </w:rPr>
        <w:t xml:space="preserve">REDEFINE 3</w:t>
      </w:r>
      <w:r>
        <w:rPr>
          <w:rStyle w:val="FootnoteReference"/>
        </w:rPr>
        <w:footnoteReference w:id="687"/>
      </w:r>
      <w:r>
        <w:t xml:space="preserve"> </w:t>
      </w:r>
      <w:r>
        <w:t xml:space="preserve">: étude sur critères cliniques cardiovasculaires chez 7 076 personnes randomisées en surpoids et atteintes d’une maladie cardiovasculaire avérée ; fin prévue en 2027. Le schéma et les caractéristiques initiales sont publiés</w:t>
      </w:r>
      <w:r>
        <w:rPr>
          <w:rStyle w:val="FootnoteReference"/>
        </w:rPr>
        <w:footnoteReference w:id="688"/>
      </w:r>
      <w:r>
        <w:t xml:space="preserve">.</w:t>
      </w:r>
    </w:p>
    <w:p>
      <w:pPr>
        <w:numPr>
          <w:ilvl w:val="0"/>
          <w:numId w:val="1083"/>
        </w:numPr>
        <w:pStyle w:val="Compact"/>
      </w:pPr>
      <w:r>
        <w:rPr>
          <w:bCs/>
          <w:b/>
        </w:rPr>
        <w:t xml:space="preserve">Comparaisons avec le tirzépatide</w:t>
      </w:r>
      <w:r>
        <w:rPr>
          <w:rStyle w:val="FootnoteReference"/>
        </w:rPr>
        <w:footnoteReference w:id="689"/>
      </w:r>
      <w:r>
        <w:t xml:space="preserve"> </w:t>
      </w:r>
      <w:r>
        <w:t xml:space="preserve">: terminées, publication en attente.</w:t>
      </w:r>
    </w:p>
    <w:p>
      <w:pPr>
        <w:numPr>
          <w:ilvl w:val="0"/>
          <w:numId w:val="1083"/>
        </w:numPr>
        <w:pStyle w:val="Compact"/>
      </w:pPr>
      <w:r>
        <w:rPr>
          <w:bCs/>
          <w:b/>
        </w:rPr>
        <w:t xml:space="preserve">Doses plus élevées de CagriSema</w:t>
      </w:r>
      <w:r>
        <w:t xml:space="preserve"> </w:t>
      </w:r>
      <w:r>
        <w:t xml:space="preserve">contre sémaglutide</w:t>
      </w:r>
      <w:r>
        <w:rPr>
          <w:rStyle w:val="FootnoteReference"/>
        </w:rPr>
        <w:footnoteReference w:id="690"/>
      </w:r>
      <w:r>
        <w:t xml:space="preserve"> </w:t>
      </w:r>
      <w:r>
        <w:t xml:space="preserve">et étude à long terme sur le maintien du poids</w:t>
      </w:r>
      <w:r>
        <w:rPr>
          <w:rStyle w:val="FootnoteReference"/>
        </w:rPr>
        <w:footnoteReference w:id="691"/>
      </w:r>
      <w:r>
        <w:t xml:space="preserve">.</w:t>
      </w:r>
    </w:p>
    <w:p>
      <w:pPr>
        <w:numPr>
          <w:ilvl w:val="0"/>
          <w:numId w:val="1083"/>
        </w:numPr>
        <w:pStyle w:val="Compact"/>
      </w:pPr>
      <w:r>
        <w:rPr>
          <w:bCs/>
          <w:b/>
        </w:rPr>
        <w:t xml:space="preserve">Enfants et adolescents</w:t>
      </w:r>
      <w:r>
        <w:rPr>
          <w:rStyle w:val="FootnoteReference"/>
        </w:rPr>
        <w:footnoteReference w:id="692"/>
      </w:r>
      <w:r>
        <w:t xml:space="preserve"> </w:t>
      </w:r>
      <w:r>
        <w:t xml:space="preserve">ainsi que cagrilintide seul</w:t>
      </w:r>
      <w:r>
        <w:rPr>
          <w:rStyle w:val="FootnoteReference"/>
        </w:rPr>
        <w:footnoteReference w:id="693"/>
      </w:r>
      <w:r>
        <w:t xml:space="preserve">.</w:t>
      </w:r>
    </w:p>
    <w:p>
      <w:pPr>
        <w:numPr>
          <w:ilvl w:val="0"/>
          <w:numId w:val="1083"/>
        </w:numPr>
        <w:pStyle w:val="Compact"/>
      </w:pPr>
      <w:r>
        <w:t xml:space="preserve">Études plus petites sur les os</w:t>
      </w:r>
      <w:r>
        <w:rPr>
          <w:rStyle w:val="FootnoteReference"/>
        </w:rPr>
        <w:footnoteReference w:id="694"/>
      </w:r>
      <w:r>
        <w:t xml:space="preserve">, les muscles</w:t>
      </w:r>
      <w:r>
        <w:rPr>
          <w:rStyle w:val="FootnoteReference"/>
        </w:rPr>
        <w:footnoteReference w:id="695"/>
      </w:r>
      <w:r>
        <w:t xml:space="preserve"> </w:t>
      </w:r>
      <w:r>
        <w:t xml:space="preserve">et les personnes qui ne tolèrent pas les médicaments GLP-1</w:t>
      </w:r>
      <w:r>
        <w:rPr>
          <w:rStyle w:val="FootnoteReference"/>
        </w:rPr>
        <w:footnoteReference w:id="696"/>
      </w:r>
      <w:r>
        <w:t xml:space="preserve">.</w:t>
      </w:r>
    </w:p>
    <w:p>
      <w:pPr>
        <w:pStyle w:val="FirstParagraph"/>
      </w:pPr>
      <w:r>
        <w:rPr>
          <w:bCs/>
          <w:b/>
        </w:rPr>
        <w:t xml:space="preserve">Appréciation :</w:t>
      </w:r>
      <w:r>
        <w:t xml:space="preserve"> </w:t>
      </w:r>
      <w:r>
        <w:t xml:space="preserve">CagriSema devrait être la première association amyline-GLP-1 à arriver sur le marché. Qu’elle s’impose face au tirzépatide et aux futurs triples agonistes dépendra des études comparatives et de la tolérance. L’aspect scientifiquement le plus intéressant est l’élargissement de la boîte à outils : après le GLP-1, le GIP et le glucagon, l’amyline est la quatrième voie hormonale exploitée pour le traitement de l’obésité (voir aussi Amycrétine).</w:t>
      </w:r>
    </w:p>
    <w:bookmarkEnd w:id="697"/>
    <w:bookmarkStart w:id="698" w:name="conclusion-8"/>
    <w:p>
      <w:pPr>
        <w:pStyle w:val="Heading3"/>
      </w:pPr>
      <w:r>
        <w:t xml:space="preserve">Conclusion</w:t>
      </w:r>
    </w:p>
    <w:p>
      <w:pPr>
        <w:pStyle w:val="FirstParagraph"/>
      </w:pPr>
      <w:r>
        <w:t xml:space="preserve">Le cagrilintide est un analogue de l’amyline à action prolongée qui, seul, a réduit le poids de jusqu’à 10,8 % en phase 2. Associé au sémaglutide (CagriSema), il a permis dans REDEFINE 1 une perte de poids de 20,4 % après 68 semaines et s’est montré nettement supérieur au sémaglutide seul en Asie de l’Est (18,4 % vs 11,9 %). Les troubles digestifs touchent environ quatre personnes traitées sur cinq. CagriSema n’est pas encore autorisé ; les données sur les événements cardiovasculaires et la comparaison directe avec le tirzépatide sont encore attendues.</w:t>
      </w:r>
    </w:p>
    <w:bookmarkEnd w:id="698"/>
    <w:bookmarkEnd w:id="699"/>
    <w:bookmarkStart w:id="728" w:name="amycrétine-zénagamtide"/>
    <w:p>
      <w:pPr>
        <w:pStyle w:val="Heading2"/>
      </w:pPr>
      <w:r>
        <w:t xml:space="preserve">Amycrétine (zénagamtide)</w:t>
      </w:r>
    </w:p>
    <w:bookmarkStart w:id="700" w:name="fiche-signalétique-9"/>
    <w:p>
      <w:pPr>
        <w:pStyle w:val="Heading3"/>
      </w:pPr>
      <w:r>
        <w:t xml:space="preserve">Fiche signalétique</w:t>
      </w:r>
    </w:p>
    <w:p>
      <w:pPr>
        <w:numPr>
          <w:ilvl w:val="0"/>
          <w:numId w:val="1084"/>
        </w:numPr>
        <w:pStyle w:val="Compact"/>
      </w:pPr>
      <w:r>
        <w:rPr>
          <w:bCs/>
          <w:b/>
        </w:rPr>
        <w:t xml:space="preserve">Type/structure :</w:t>
      </w:r>
      <w:r>
        <w:t xml:space="preserve"> </w:t>
      </w:r>
      <w:r>
        <w:t xml:space="preserve">peptide de synthèse qui réunit en une seule molécule les effets du GLP-1 et de l’amyline (« unimoléculaire »). Depuis 2026, il porte la dénomination commune internationale</w:t>
      </w:r>
      <w:r>
        <w:t xml:space="preserve"> </w:t>
      </w:r>
      <w:r>
        <w:rPr>
          <w:bCs/>
          <w:b/>
        </w:rPr>
        <w:t xml:space="preserve">zénagamtide</w:t>
      </w:r>
      <w:r>
        <w:t xml:space="preserve"> </w:t>
      </w:r>
      <w:r>
        <w:t xml:space="preserve">(en anglais zenagamtide) ; code de développement NNC0487-0111. Il est développé sous deux formes : en injection hebdomadaire et en comprimé quotidien.</w:t>
      </w:r>
    </w:p>
    <w:p>
      <w:pPr>
        <w:numPr>
          <w:ilvl w:val="0"/>
          <w:numId w:val="1084"/>
        </w:numPr>
        <w:pStyle w:val="Compact"/>
      </w:pPr>
      <w:r>
        <w:rPr>
          <w:bCs/>
          <w:b/>
        </w:rPr>
        <w:t xml:space="preserve">Origine :</w:t>
      </w:r>
      <w:r>
        <w:t xml:space="preserve"> </w:t>
      </w:r>
      <w:r>
        <w:t xml:space="preserve">développé par Novo Nordisk.</w:t>
      </w:r>
    </w:p>
    <w:p>
      <w:pPr>
        <w:numPr>
          <w:ilvl w:val="0"/>
          <w:numId w:val="1084"/>
        </w:numPr>
        <w:pStyle w:val="Compact"/>
      </w:pPr>
      <w:r>
        <w:rPr>
          <w:bCs/>
          <w:b/>
        </w:rPr>
        <w:t xml:space="preserve">Principe d’action :</w:t>
      </w:r>
      <w:r>
        <w:t xml:space="preserve"> </w:t>
      </w:r>
      <w:r>
        <w:t xml:space="preserve">agoniste des récepteurs du GLP-1, de l’amyline et de la calcitonine.</w:t>
      </w:r>
    </w:p>
    <w:p>
      <w:pPr>
        <w:numPr>
          <w:ilvl w:val="0"/>
          <w:numId w:val="1084"/>
        </w:numPr>
        <w:pStyle w:val="Compact"/>
      </w:pPr>
      <w:r>
        <w:rPr>
          <w:bCs/>
          <w:b/>
        </w:rPr>
        <w:t xml:space="preserve">Autorisation UE :</w:t>
      </w:r>
      <w:r>
        <w:t xml:space="preserve"> </w:t>
      </w:r>
      <w:r>
        <w:t xml:space="preserve">non.</w:t>
      </w:r>
    </w:p>
    <w:p>
      <w:pPr>
        <w:numPr>
          <w:ilvl w:val="0"/>
          <w:numId w:val="1084"/>
        </w:numPr>
        <w:pStyle w:val="Compact"/>
      </w:pPr>
      <w:r>
        <w:rPr>
          <w:bCs/>
          <w:b/>
        </w:rPr>
        <w:t xml:space="preserve">Autorisation États-Unis :</w:t>
      </w:r>
      <w:r>
        <w:t xml:space="preserve"> </w:t>
      </w:r>
      <w:r>
        <w:t xml:space="preserve">non.</w:t>
      </w:r>
    </w:p>
    <w:p>
      <w:pPr>
        <w:numPr>
          <w:ilvl w:val="0"/>
          <w:numId w:val="1084"/>
        </w:numPr>
        <w:pStyle w:val="Compact"/>
      </w:pPr>
      <w:r>
        <w:rPr>
          <w:bCs/>
          <w:b/>
        </w:rPr>
        <w:t xml:space="preserve">AMA (WADA) :</w:t>
      </w:r>
      <w:r>
        <w:t xml:space="preserve"> </w:t>
      </w:r>
      <w:r>
        <w:t xml:space="preserve">interdit au titre de S0 en tant que substance non approuvée.</w:t>
      </w:r>
    </w:p>
    <w:p>
      <w:pPr>
        <w:numPr>
          <w:ilvl w:val="0"/>
          <w:numId w:val="1084"/>
        </w:numPr>
        <w:pStyle w:val="Compact"/>
      </w:pPr>
      <w:r>
        <w:rPr>
          <w:bCs/>
          <w:b/>
        </w:rPr>
        <w:t xml:space="preserve">Niveau de preuve :</w:t>
      </w:r>
      <w:r>
        <w:t xml:space="preserve"> </w:t>
      </w:r>
      <w:r>
        <w:rPr>
          <w:bCs/>
          <w:b/>
        </w:rPr>
        <w:t xml:space="preserve">B</w:t>
      </w:r>
      <w:r>
        <w:t xml:space="preserve"> </w:t>
      </w:r>
      <w:r>
        <w:t xml:space="preserve">– études randomisées de phase 1 et de phase 2 publiées ; la phase 3 a commencé en 2026.</w:t>
      </w:r>
    </w:p>
    <w:bookmarkEnd w:id="700"/>
    <w:bookmarkStart w:id="702" w:name="mode-daction-supposé-9"/>
    <w:p>
      <w:pPr>
        <w:pStyle w:val="Heading3"/>
      </w:pPr>
      <w:r>
        <w:t xml:space="preserve">Mode d’action supposé</w:t>
      </w:r>
    </w:p>
    <w:p>
      <w:pPr>
        <w:pStyle w:val="FirstParagraph"/>
      </w:pPr>
      <w:r>
        <w:t xml:space="preserve">CagriSema (voir chapitre précédent) associe deux substances distinctes – l’analogue de l’amyline cagrilintide et l’agoniste du GLP-1 sémaglutide – dans une seule injection. L’amycrétine va un pas plus loin : un seul peptide active les deux systèmes de récepteurs. Cela simplifie la fabrication et le dosage et permet en principe une forme en comprimé, comme il en existe déjà avec le sémaglutide oral.</w:t>
      </w:r>
    </w:p>
    <w:p>
      <w:pPr>
        <w:pStyle w:val="BodyText"/>
      </w:pPr>
      <w:r>
        <w:t xml:space="preserve">Le GLP-1 et l’amyline favorisent tous deux la sensation de satiété, ralentissent la vidange gastrique et atténuent la sécrétion de glucagon, mais agissent par des récepteurs et des voies nerveuses différents dans le tronc cérébral. Dans des essais sur cellules, l’amycrétine a activé les récepteurs humains, murins et de rat du GLP-1, de l’amyline et de la calcitonine. Chez des rats atteints d’obésité d’origine alimentaire, elle a réduit sur 21 jours l’apport énergétique de 47 % et le poids corporel de 18 %, tandis que la dépense énergétique était préservée ; la sensibilité à l’insuline s’est améliorée et la stéatose hépatique a régressé</w:t>
      </w:r>
      <w:r>
        <w:rPr>
          <w:rStyle w:val="FootnoteReference"/>
        </w:rPr>
        <w:footnoteReference w:id="701"/>
      </w:r>
      <w:r>
        <w:t xml:space="preserve">. Ce sont des données animales.</w:t>
      </w:r>
    </w:p>
    <w:bookmarkEnd w:id="702"/>
    <w:bookmarkStart w:id="710" w:name="études-chez-lhumain-9"/>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4 études chez l’humain. La requête automatique du registre sous le nom « amycretin » n’a trouvé qu’une entrée ; sous le nouveau nom zénagamtide et le code de développement NNC0487-0111, environ 30 études sont toutefois enregistrées sur ClinicalTrials.gov, dont le programme de phase 3 lancé en 2026</w:t>
      </w:r>
      <w:r>
        <w:t xml:space="preserve"> </w:t>
      </w:r>
      <w:r>
        <w:rPr>
          <w:bCs/>
          <w:b/>
        </w:rPr>
        <w:t xml:space="preserve">AMAZE</w:t>
      </w:r>
      <w:r>
        <w:t xml:space="preserve"> </w:t>
      </w:r>
      <w:r>
        <w:t xml:space="preserve">(poids) et</w:t>
      </w:r>
      <w:r>
        <w:t xml:space="preserve"> </w:t>
      </w:r>
      <w:r>
        <w:rPr>
          <w:bCs/>
          <w:b/>
        </w:rPr>
        <w:t xml:space="preserve">AMBITION</w:t>
      </w:r>
      <w:r>
        <w:t xml:space="preserve"> </w:t>
      </w:r>
      <w:r>
        <w:t xml:space="preserve">(diabète de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1, comprimé (Gasiorek 2025), PMID 40550229</w:t>
            </w:r>
          </w:p>
        </w:tc>
        <w:tc>
          <w:tcPr/>
          <w:p>
            <w:pPr>
              <w:pStyle w:val="Compact"/>
              <w:jc w:val="left"/>
            </w:pPr>
            <w:r>
              <w:t xml:space="preserve">144 adultes en surpoids/obèses, contre placebo</w:t>
            </w:r>
          </w:p>
        </w:tc>
        <w:tc>
          <w:tcPr/>
          <w:p>
            <w:pPr>
              <w:pStyle w:val="Compact"/>
              <w:jc w:val="left"/>
            </w:pPr>
            <w:r>
              <w:t xml:space="preserve">jusqu’à 12 semaines</w:t>
            </w:r>
          </w:p>
        </w:tc>
        <w:tc>
          <w:tcPr/>
          <w:p>
            <w:pPr>
              <w:pStyle w:val="Compact"/>
              <w:jc w:val="left"/>
            </w:pPr>
            <w:r>
              <w:t xml:space="preserve">sécurité ; effets indésirables dose-dépendants, tous légers à modérés</w:t>
            </w:r>
          </w:p>
        </w:tc>
      </w:tr>
      <w:tr>
        <w:tc>
          <w:tcPr/>
          <w:p>
            <w:pPr>
              <w:pStyle w:val="Compact"/>
              <w:jc w:val="left"/>
            </w:pPr>
            <w:r>
              <w:t xml:space="preserve">Phase 1b/2a, injection (Dahl 2025), PMID 40550231</w:t>
            </w:r>
          </w:p>
        </w:tc>
        <w:tc>
          <w:tcPr/>
          <w:p>
            <w:pPr>
              <w:pStyle w:val="Compact"/>
              <w:jc w:val="left"/>
            </w:pPr>
            <w:r>
              <w:t xml:space="preserve">125 adultes en surpoids/obèses, contre placebo</w:t>
            </w:r>
          </w:p>
        </w:tc>
        <w:tc>
          <w:tcPr/>
          <w:p>
            <w:pPr>
              <w:pStyle w:val="Compact"/>
              <w:jc w:val="left"/>
            </w:pPr>
            <w:r>
              <w:t xml:space="preserve">jusqu’à 36 semaines</w:t>
            </w:r>
          </w:p>
        </w:tc>
        <w:tc>
          <w:tcPr/>
          <w:p>
            <w:pPr>
              <w:pStyle w:val="Compact"/>
              <w:jc w:val="left"/>
            </w:pPr>
            <w:r>
              <w:t xml:space="preserve">jusqu’à −24,3 % de poids vs −1,1 %</w:t>
            </w:r>
          </w:p>
        </w:tc>
      </w:tr>
      <w:tr>
        <w:tc>
          <w:tcPr/>
          <w:p>
            <w:pPr>
              <w:pStyle w:val="Compact"/>
              <w:jc w:val="left"/>
            </w:pPr>
            <w:r>
              <w:t xml:space="preserve">Phase 2, comprimé (Mora 2026), PMID 42532079</w:t>
            </w:r>
          </w:p>
        </w:tc>
        <w:tc>
          <w:tcPr/>
          <w:p>
            <w:pPr>
              <w:pStyle w:val="Compact"/>
              <w:jc w:val="left"/>
            </w:pPr>
            <w:r>
              <w:t xml:space="preserve">186 adultes atteints de diabète de type 2, contre placebo</w:t>
            </w:r>
          </w:p>
        </w:tc>
        <w:tc>
          <w:tcPr/>
          <w:p>
            <w:pPr>
              <w:pStyle w:val="Compact"/>
              <w:jc w:val="left"/>
            </w:pPr>
            <w:r>
              <w:t xml:space="preserve">36 semaines</w:t>
            </w:r>
          </w:p>
        </w:tc>
        <w:tc>
          <w:tcPr/>
          <w:p>
            <w:pPr>
              <w:pStyle w:val="Compact"/>
              <w:jc w:val="left"/>
            </w:pPr>
            <w:r>
              <w:t xml:space="preserve">HbA1c −0,9 à −1,4</w:t>
            </w:r>
          </w:p>
        </w:tc>
      </w:tr>
      <w:tr>
        <w:tc>
          <w:tcPr/>
          <w:p>
            <w:pPr>
              <w:pStyle w:val="Compact"/>
              <w:jc w:val="left"/>
            </w:pPr>
            <w:r>
              <w:t xml:space="preserve">Phase 2, injection (Mora 2026), PMID 42532080</w:t>
            </w:r>
          </w:p>
        </w:tc>
        <w:tc>
          <w:tcPr/>
          <w:p>
            <w:pPr>
              <w:pStyle w:val="Compact"/>
              <w:jc w:val="left"/>
            </w:pPr>
            <w:r>
              <w:t xml:space="preserve">262 adultes atteints de diabète de type 2, contre placebo</w:t>
            </w:r>
          </w:p>
        </w:tc>
        <w:tc>
          <w:tcPr/>
          <w:p>
            <w:pPr>
              <w:pStyle w:val="Compact"/>
              <w:jc w:val="left"/>
            </w:pPr>
            <w:r>
              <w:t xml:space="preserve">36 semaines</w:t>
            </w:r>
          </w:p>
        </w:tc>
        <w:tc>
          <w:tcPr/>
          <w:p>
            <w:pPr>
              <w:pStyle w:val="Compact"/>
              <w:jc w:val="left"/>
            </w:pPr>
            <w:r>
              <w:t xml:space="preserve">HbA1c −0,9 à −1,7</w:t>
            </w:r>
          </w:p>
        </w:tc>
      </w:tr>
    </w:tbl>
    <w:bookmarkStart w:id="704" w:name="X5fe2e2c0d50df35c3abab913a761b3d8ece9cec"/>
    <w:p>
      <w:pPr>
        <w:pStyle w:val="Heading4"/>
      </w:pPr>
      <w:r>
        <w:t xml:space="preserve">Forme comprimé : première étude chez l’humain</w:t>
      </w:r>
    </w:p>
    <w:p>
      <w:pPr>
        <w:pStyle w:val="FirstParagraph"/>
      </w:pPr>
      <w:r>
        <w:t xml:space="preserve">La première étude chez l’humain a évalué l’amycrétine sous forme de comprimé</w:t>
      </w:r>
      <w:r>
        <w:rPr>
          <w:rStyle w:val="FootnoteReference"/>
        </w:rPr>
        <w:footnoteReference w:id="703"/>
      </w:r>
      <w:r>
        <w:t xml:space="preserve">. 144 adultes en surpoids ou obèses ont reçu des doses uniques ou répétées pendant jusqu’à douze semaines. 62 % ont signalé au moins un événement indésirable ; tous étaient légers ou modérés et augmentaient avec la dose. Environ la moitié des événements concernait le tube digestif. Les concentrations sanguines augmentaient proportionnellement à la dose. Les données de poids n’étaient qu’un critère secondaire exploratoire de cette étude de sécurité.</w:t>
      </w:r>
    </w:p>
    <w:bookmarkEnd w:id="704"/>
    <w:bookmarkStart w:id="706" w:name="forme-injectable-phase-1b2a"/>
    <w:p>
      <w:pPr>
        <w:pStyle w:val="Heading4"/>
      </w:pPr>
      <w:r>
        <w:t xml:space="preserve">Forme injectable : phase 1b/2a</w:t>
      </w:r>
    </w:p>
    <w:p>
      <w:pPr>
        <w:pStyle w:val="FirstParagraph"/>
      </w:pPr>
      <w:r>
        <w:t xml:space="preserve">Dans l’étude avec l’injection hebdomadaire</w:t>
      </w:r>
      <w:r>
        <w:rPr>
          <w:rStyle w:val="FootnoteReference"/>
        </w:rPr>
        <w:footnoteReference w:id="705"/>
      </w:r>
      <w:r>
        <w:t xml:space="preserve">, 125 personnes ont reçu de l’amycrétine ou un placebo dans plusieurs volets d’étude avec des doses cibles et des durées de traitement différentes. La perte de poids était remarquable pour une étude précoce :</w:t>
      </w:r>
    </w:p>
    <w:p>
      <w:pPr>
        <w:numPr>
          <w:ilvl w:val="0"/>
          <w:numId w:val="1085"/>
        </w:numPr>
        <w:pStyle w:val="Compact"/>
      </w:pPr>
      <w:r>
        <w:t xml:space="preserve">dose la plus élevée, 36 semaines : −24,3 % contre −1,1 % sous placebo</w:t>
      </w:r>
    </w:p>
    <w:p>
      <w:pPr>
        <w:numPr>
          <w:ilvl w:val="0"/>
          <w:numId w:val="1085"/>
        </w:numPr>
        <w:pStyle w:val="Compact"/>
      </w:pPr>
      <w:r>
        <w:t xml:space="preserve">deuxième dose la plus élevée, 36 semaines : −22,0 % contre +1,9 %</w:t>
      </w:r>
    </w:p>
    <w:p>
      <w:pPr>
        <w:numPr>
          <w:ilvl w:val="0"/>
          <w:numId w:val="1085"/>
        </w:numPr>
        <w:pStyle w:val="Compact"/>
      </w:pPr>
      <w:r>
        <w:t xml:space="preserve">dose intermédiaire, 28 semaines : −16,2 % contre +2,3 %</w:t>
      </w:r>
    </w:p>
    <w:p>
      <w:pPr>
        <w:numPr>
          <w:ilvl w:val="0"/>
          <w:numId w:val="1085"/>
        </w:numPr>
        <w:pStyle w:val="Compact"/>
      </w:pPr>
      <w:r>
        <w:t xml:space="preserve">faible dose, 20 semaines : −9,7 % contre +2,0 %</w:t>
      </w:r>
    </w:p>
    <w:p>
      <w:pPr>
        <w:pStyle w:val="FirstParagraph"/>
      </w:pPr>
      <w:r>
        <w:t xml:space="preserve">Ces chiffres sont à lire avec prudence : les groupes étaient petits, l’étude s’est déroulée dans un seul centre, et les auteurs rapportent eux-mêmes que de nombreux participants ont quitté l’étude prématurément – en grande partie pour des raisons sans rapport avec des effets indésirables. Une perte de poids de plus de 20 % après 36 semaines est un signal fort, mais pas encore une estimation fiable pour un usage à grande échelle.</w:t>
      </w:r>
    </w:p>
    <w:bookmarkEnd w:id="706"/>
    <w:bookmarkStart w:id="709" w:name="diabète-de-type-2-deux-études-de-phase-2"/>
    <w:p>
      <w:pPr>
        <w:pStyle w:val="Heading4"/>
      </w:pPr>
      <w:r>
        <w:t xml:space="preserve">Diabète de type 2 : deux études de phase 2</w:t>
      </w:r>
    </w:p>
    <w:p>
      <w:pPr>
        <w:pStyle w:val="FirstParagraph"/>
      </w:pPr>
      <w:r>
        <w:t xml:space="preserve">En 2026 ont paru deux études parallèles de recherche de dose chez des personnes atteintes de diabète de type 2 traitées par metformine (avec ou sans inhibiteur du SGLT2) :</w:t>
      </w:r>
    </w:p>
    <w:p>
      <w:pPr>
        <w:numPr>
          <w:ilvl w:val="0"/>
          <w:numId w:val="1086"/>
        </w:numPr>
        <w:pStyle w:val="Compact"/>
      </w:pPr>
      <w:r>
        <w:rPr>
          <w:bCs/>
          <w:b/>
        </w:rPr>
        <w:t xml:space="preserve">Comprimé</w:t>
      </w:r>
      <w:r>
        <w:rPr>
          <w:rStyle w:val="FootnoteReference"/>
        </w:rPr>
        <w:footnoteReference w:id="707"/>
      </w:r>
      <w:r>
        <w:t xml:space="preserve"> </w:t>
      </w:r>
      <w:r>
        <w:t xml:space="preserve">: après 36 semaines, l’HbA1c a baissé de 0,9 à 1,4 point de pourcentage (valeur initiale d’environ 8 %). Des troubles digestifs sont survenus chez 26 à 47 % (placebo 23 %). Des événements indésirables graves ont concerné 4 % sous zénagamtide et personne sous placebo.</w:t>
      </w:r>
    </w:p>
    <w:p>
      <w:pPr>
        <w:numPr>
          <w:ilvl w:val="0"/>
          <w:numId w:val="1086"/>
        </w:numPr>
        <w:pStyle w:val="Compact"/>
      </w:pPr>
      <w:r>
        <w:rPr>
          <w:bCs/>
          <w:b/>
        </w:rPr>
        <w:t xml:space="preserve">Injection</w:t>
      </w:r>
      <w:r>
        <w:rPr>
          <w:rStyle w:val="FootnoteReference"/>
        </w:rPr>
        <w:footnoteReference w:id="708"/>
      </w:r>
      <w:r>
        <w:t xml:space="preserve"> </w:t>
      </w:r>
      <w:r>
        <w:t xml:space="preserve">: l’HbA1c a baissé de 0,9 à 1,7 point de pourcentage selon la dose. Des événements indésirables graves sont survenus chez 8 % des participants, répartis sur tous les groupes de dose et le placebo.</w:t>
      </w:r>
    </w:p>
    <w:p>
      <w:pPr>
        <w:pStyle w:val="FirstParagraph"/>
      </w:pPr>
      <w:r>
        <w:t xml:space="preserve">Les résultats de poids de ces études sur le diabète ne sont pas chiffrés dans les résumés et ne sont donc pas mentionnés ici.</w:t>
      </w:r>
    </w:p>
    <w:bookmarkEnd w:id="709"/>
    <w:bookmarkEnd w:id="710"/>
    <w:bookmarkStart w:id="712" w:name="études-animales-et-de-laboratoire-9"/>
    <w:p>
      <w:pPr>
        <w:pStyle w:val="Heading3"/>
      </w:pPr>
      <w:r>
        <w:t xml:space="preserve">Études animales et de laboratoire</w:t>
      </w:r>
    </w:p>
    <w:p>
      <w:pPr>
        <w:pStyle w:val="FirstParagraph"/>
      </w:pPr>
      <w:r>
        <w:t xml:space="preserve">Les données précliniques proviennent du fabricant</w:t>
      </w:r>
      <w:r>
        <w:rPr>
          <w:rStyle w:val="FootnoteReference"/>
        </w:rPr>
        <w:footnoteReference w:id="711"/>
      </w:r>
      <w:r>
        <w:t xml:space="preserve"> </w:t>
      </w:r>
      <w:r>
        <w:t xml:space="preserve">: activation des récepteurs en culture cellulaire, perte de poids et amélioration de la sensibilité à l’insuline chez des rats en surpoids, moins de stéatose hépatique et une accumulation dans les régions cérébrales régulant l’appétit chez la souris. Il n’existe pratiquement pas d’études animales indépendantes.</w:t>
      </w:r>
    </w:p>
    <w:bookmarkEnd w:id="712"/>
    <w:bookmarkStart w:id="717" w:name="risques-et-effets-indésirables-9"/>
    <w:p>
      <w:pPr>
        <w:pStyle w:val="Heading3"/>
      </w:pPr>
      <w:r>
        <w:t xml:space="preserve">Risques et effets indésirables</w:t>
      </w:r>
    </w:p>
    <w:p>
      <w:pPr>
        <w:pStyle w:val="FirstParagraph"/>
      </w:pPr>
      <w:r>
        <w:rPr>
          <w:bCs/>
          <w:b/>
        </w:rPr>
        <w:t xml:space="preserve">Établi par les études :</w:t>
      </w:r>
    </w:p>
    <w:p>
      <w:pPr>
        <w:numPr>
          <w:ilvl w:val="0"/>
          <w:numId w:val="1087"/>
        </w:numPr>
        <w:pStyle w:val="Compact"/>
      </w:pPr>
      <w:r>
        <w:rPr>
          <w:bCs/>
          <w:b/>
        </w:rPr>
        <w:t xml:space="preserve">Troubles digestifs</w:t>
      </w:r>
      <w:r>
        <w:t xml:space="preserve"> </w:t>
      </w:r>
      <w:r>
        <w:t xml:space="preserve">: ce sont les effets indésirables les plus fréquents, touchant la majorité des personnes traitées dans les premières études ; ils étaient le plus souvent légers à modérés et dose-dépendants</w:t>
      </w:r>
      <w:r>
        <w:rPr>
          <w:rStyle w:val="FootnoteReference"/>
        </w:rPr>
        <w:footnoteReference w:id="713"/>
      </w:r>
      <w:r>
        <w:t xml:space="preserve">.</w:t>
      </w:r>
    </w:p>
    <w:p>
      <w:pPr>
        <w:numPr>
          <w:ilvl w:val="0"/>
          <w:numId w:val="1087"/>
        </w:numPr>
        <w:pStyle w:val="Compact"/>
      </w:pPr>
      <w:r>
        <w:rPr>
          <w:bCs/>
          <w:b/>
        </w:rPr>
        <w:t xml:space="preserve">Événements indésirables graves :</w:t>
      </w:r>
      <w:r>
        <w:t xml:space="preserve"> </w:t>
      </w:r>
      <w:r>
        <w:t xml:space="preserve">ils étaient rares dans les études de phase 2 ; dans l’étude du comprimé, ils ne sont survenus que sous zénagamtide (4 % vs 0 %), dans l’étude de l’injection de façon uniformément répartie</w:t>
      </w:r>
      <w:r>
        <w:rPr>
          <w:rStyle w:val="FootnoteReference"/>
        </w:rPr>
        <w:footnoteReference w:id="714"/>
      </w:r>
      <w:r>
        <w:t xml:space="preserve">.</w:t>
      </w:r>
    </w:p>
    <w:p>
      <w:pPr>
        <w:numPr>
          <w:ilvl w:val="0"/>
          <w:numId w:val="1087"/>
        </w:numPr>
        <w:pStyle w:val="Compact"/>
      </w:pPr>
      <w:r>
        <w:rPr>
          <w:bCs/>
          <w:b/>
        </w:rPr>
        <w:t xml:space="preserve">Fonction rénale :</w:t>
      </w:r>
      <w:r>
        <w:t xml:space="preserve"> </w:t>
      </w:r>
      <w:r>
        <w:t xml:space="preserve">en cas d’insuffisance rénale, jusqu’à l’insuffisance rénale terminale, les concentrations sanguines après une dose unique ne se modifiaient pas de façon cliniquement pertinente</w:t>
      </w:r>
      <w:r>
        <w:rPr>
          <w:rStyle w:val="FootnoteReference"/>
        </w:rPr>
        <w:footnoteReference w:id="715"/>
      </w:r>
      <w:r>
        <w:t xml:space="preserve">.</w:t>
      </w:r>
    </w:p>
    <w:p>
      <w:pPr>
        <w:pStyle w:val="FirstParagraph"/>
      </w:pPr>
      <w:r>
        <w:rPr>
          <w:bCs/>
          <w:b/>
        </w:rPr>
        <w:t xml:space="preserve">Encore ouvert :</w:t>
      </w:r>
      <w:r>
        <w:t xml:space="preserve"> </w:t>
      </w:r>
      <w:r>
        <w:t xml:space="preserve">sécurité à long terme, effet sur les os (récepteur de la calcitonine), la masse musculaire et le système cardiovasculaire. Pour les risques de classe des médicaments GLP-1 (vésicule biliaire, pancréas), il y a encore trop peu d’années de traitement.</w:t>
      </w:r>
    </w:p>
    <w:p>
      <w:pPr>
        <w:pStyle w:val="BodyText"/>
      </w:pPr>
      <w:r>
        <w:rPr>
          <w:bCs/>
          <w:b/>
        </w:rPr>
        <w:t xml:space="preserve">Marché gris :</w:t>
      </w:r>
      <w:r>
        <w:t xml:space="preserve"> </w:t>
      </w:r>
      <w:r>
        <w:t xml:space="preserve">avant même le début de la phase 3, le zénagamtide est proposé sur Internet comme « research peptide ». Un article de la revue JAMA décrit un marché noir croissant pour les deux substances non autorisées que sont le rétatrutide et le zénagamtide, ainsi que les risques qui y sont liés</w:t>
      </w:r>
      <w:r>
        <w:rPr>
          <w:rStyle w:val="FootnoteReference"/>
        </w:rPr>
        <w:footnoteReference w:id="716"/>
      </w:r>
      <w:r>
        <w:t xml:space="preserve">. Quiconque utilise de tels produits n’en connaît ni le contenu, ni la pureté, ni un dosage éprouvé (voir partie I et partie IV).</w:t>
      </w:r>
    </w:p>
    <w:bookmarkEnd w:id="717"/>
    <w:bookmarkStart w:id="718" w:name="statut-juridique-9"/>
    <w:p>
      <w:pPr>
        <w:pStyle w:val="Heading3"/>
      </w:pPr>
      <w:r>
        <w:t xml:space="preserve">Statut juridique</w:t>
      </w:r>
    </w:p>
    <w:p>
      <w:pPr>
        <w:numPr>
          <w:ilvl w:val="0"/>
          <w:numId w:val="1088"/>
        </w:numPr>
        <w:pStyle w:val="Compact"/>
      </w:pPr>
      <w:r>
        <w:rPr>
          <w:bCs/>
          <w:b/>
        </w:rPr>
        <w:t xml:space="preserve">UE / Autriche / Allemagne :</w:t>
      </w:r>
      <w:r>
        <w:t xml:space="preserve"> </w:t>
      </w:r>
      <w:r>
        <w:t xml:space="preserve">non autorisé ; utilisation uniquement dans des essais cliniques.</w:t>
      </w:r>
    </w:p>
    <w:p>
      <w:pPr>
        <w:numPr>
          <w:ilvl w:val="0"/>
          <w:numId w:val="1088"/>
        </w:numPr>
        <w:pStyle w:val="Compact"/>
      </w:pPr>
      <w:r>
        <w:rPr>
          <w:bCs/>
          <w:b/>
        </w:rPr>
        <w:t xml:space="preserve">États-Unis :</w:t>
      </w:r>
      <w:r>
        <w:t xml:space="preserve"> </w:t>
      </w:r>
      <w:r>
        <w:t xml:space="preserve">non autorisé.</w:t>
      </w:r>
    </w:p>
    <w:p>
      <w:pPr>
        <w:numPr>
          <w:ilvl w:val="0"/>
          <w:numId w:val="1088"/>
        </w:numPr>
        <w:pStyle w:val="Compact"/>
      </w:pPr>
      <w:r>
        <w:rPr>
          <w:bCs/>
          <w:b/>
        </w:rPr>
        <w:t xml:space="preserve">Sport :</w:t>
      </w:r>
      <w:r>
        <w:t xml:space="preserve"> </w:t>
      </w:r>
      <w:r>
        <w:t xml:space="preserve">classe S0 de la WADA (substance non approuvée), état 2026, à vérifier.</w:t>
      </w:r>
    </w:p>
    <w:bookmarkEnd w:id="718"/>
    <w:bookmarkStart w:id="726" w:name="études-en-cours-et-perspectives-9"/>
    <w:p>
      <w:pPr>
        <w:pStyle w:val="Heading3"/>
      </w:pPr>
      <w:r>
        <w:t xml:space="preserve">Études en cours et perspectives</w:t>
      </w:r>
    </w:p>
    <w:p>
      <w:pPr>
        <w:pStyle w:val="FirstParagraph"/>
      </w:pPr>
      <w:r>
        <w:rPr>
          <w:bCs/>
          <w:b/>
        </w:rPr>
        <w:t xml:space="preserve">Établi (études enregistrées, état octobre 2026) :</w:t>
      </w:r>
    </w:p>
    <w:p>
      <w:pPr>
        <w:numPr>
          <w:ilvl w:val="0"/>
          <w:numId w:val="1089"/>
        </w:numPr>
        <w:pStyle w:val="Compact"/>
      </w:pPr>
      <w:r>
        <w:rPr>
          <w:bCs/>
          <w:b/>
        </w:rPr>
        <w:t xml:space="preserve">AMAZE 1</w:t>
      </w:r>
      <w:r>
        <w:rPr>
          <w:rStyle w:val="FootnoteReference"/>
        </w:rPr>
        <w:footnoteReference w:id="719"/>
      </w:r>
      <w:r>
        <w:t xml:space="preserve"> </w:t>
      </w:r>
      <w:r>
        <w:t xml:space="preserve">: phase 3 chez 1 150 adultes en surpoids/obèses, forme injectable.</w:t>
      </w:r>
    </w:p>
    <w:p>
      <w:pPr>
        <w:numPr>
          <w:ilvl w:val="0"/>
          <w:numId w:val="1089"/>
        </w:numPr>
        <w:pStyle w:val="Compact"/>
      </w:pPr>
      <w:r>
        <w:rPr>
          <w:bCs/>
          <w:b/>
        </w:rPr>
        <w:t xml:space="preserve">AMAZE 2</w:t>
      </w:r>
      <w:r>
        <w:rPr>
          <w:rStyle w:val="FootnoteReference"/>
        </w:rPr>
        <w:footnoteReference w:id="720"/>
      </w:r>
      <w:r>
        <w:t xml:space="preserve"> </w:t>
      </w:r>
      <w:r>
        <w:t xml:space="preserve">: surpoids avec diabète de type 2.</w:t>
      </w:r>
    </w:p>
    <w:p>
      <w:pPr>
        <w:numPr>
          <w:ilvl w:val="0"/>
          <w:numId w:val="1089"/>
        </w:numPr>
        <w:pStyle w:val="Compact"/>
      </w:pPr>
      <w:r>
        <w:rPr>
          <w:bCs/>
          <w:b/>
        </w:rPr>
        <w:t xml:space="preserve">AMAZE 3 et 4</w:t>
      </w:r>
      <w:r>
        <w:rPr>
          <w:rStyle w:val="FootnoteReference"/>
        </w:rPr>
        <w:footnoteReference w:id="721"/>
      </w:r>
      <w:r>
        <w:t xml:space="preserve"> </w:t>
      </w:r>
      <w:r>
        <w:t xml:space="preserve">: apnée du sommeil sans ou avec ventilation par masque.</w:t>
      </w:r>
    </w:p>
    <w:p>
      <w:pPr>
        <w:numPr>
          <w:ilvl w:val="0"/>
          <w:numId w:val="1089"/>
        </w:numPr>
        <w:pStyle w:val="Compact"/>
      </w:pPr>
      <w:r>
        <w:rPr>
          <w:bCs/>
          <w:b/>
        </w:rPr>
        <w:t xml:space="preserve">AMAZE 6</w:t>
      </w:r>
      <w:r>
        <w:rPr>
          <w:rStyle w:val="FootnoteReference"/>
        </w:rPr>
        <w:footnoteReference w:id="722"/>
      </w:r>
      <w:r>
        <w:t xml:space="preserve"> </w:t>
      </w:r>
      <w:r>
        <w:t xml:space="preserve">et une autre étude</w:t>
      </w:r>
      <w:r>
        <w:rPr>
          <w:rStyle w:val="FootnoteReference"/>
        </w:rPr>
        <w:footnoteReference w:id="723"/>
      </w:r>
      <w:r>
        <w:t xml:space="preserve"> </w:t>
      </w:r>
      <w:r>
        <w:t xml:space="preserve">: gonarthrose.</w:t>
      </w:r>
    </w:p>
    <w:p>
      <w:pPr>
        <w:numPr>
          <w:ilvl w:val="0"/>
          <w:numId w:val="1089"/>
        </w:numPr>
        <w:pStyle w:val="Compact"/>
      </w:pPr>
      <w:r>
        <w:rPr>
          <w:bCs/>
          <w:b/>
        </w:rPr>
        <w:t xml:space="preserve">AMAZE 9</w:t>
      </w:r>
      <w:r>
        <w:rPr>
          <w:rStyle w:val="FootnoteReference"/>
        </w:rPr>
        <w:footnoteReference w:id="724"/>
      </w:r>
      <w:r>
        <w:t xml:space="preserve"> </w:t>
      </w:r>
      <w:r>
        <w:t xml:space="preserve">: forme comprimé en cas de surpoids.</w:t>
      </w:r>
    </w:p>
    <w:p>
      <w:pPr>
        <w:numPr>
          <w:ilvl w:val="0"/>
          <w:numId w:val="1089"/>
        </w:numPr>
        <w:pStyle w:val="Compact"/>
      </w:pPr>
      <w:r>
        <w:rPr>
          <w:bCs/>
          <w:b/>
        </w:rPr>
        <w:t xml:space="preserve">AMAZE 12</w:t>
      </w:r>
      <w:r>
        <w:rPr>
          <w:rStyle w:val="FootnoteReference"/>
        </w:rPr>
        <w:footnoteReference w:id="725"/>
      </w:r>
      <w:r>
        <w:t xml:space="preserve"> </w:t>
      </w:r>
      <w:r>
        <w:t xml:space="preserve">: maintien du poids après perte de poids.</w:t>
      </w:r>
    </w:p>
    <w:p>
      <w:pPr>
        <w:numPr>
          <w:ilvl w:val="0"/>
          <w:numId w:val="1089"/>
        </w:numPr>
        <w:pStyle w:val="Compact"/>
      </w:pPr>
      <w:r>
        <w:t xml:space="preserve">Comparaison avec le sémaglutide (NCT07668414 ; dans le diabète de type 2 NCT07400107) et avec l’insuline glargine dans le diabète de type 2 (NCT07797335, AMBITION 7).</w:t>
      </w:r>
    </w:p>
    <w:p>
      <w:pPr>
        <w:numPr>
          <w:ilvl w:val="0"/>
          <w:numId w:val="1089"/>
        </w:numPr>
        <w:pStyle w:val="Compact"/>
      </w:pPr>
      <w:r>
        <w:t xml:space="preserve">Études sur critères cliniques : insuffisance cardiaque avec obésité (NCT07567001, 5 610 participants) et événements cardiovasculaires en cas d’athérosclérose (NCT07861100, 8 500 participants prévus).</w:t>
      </w:r>
    </w:p>
    <w:p>
      <w:pPr>
        <w:pStyle w:val="FirstParagraph"/>
      </w:pPr>
      <w:r>
        <w:rPr>
          <w:bCs/>
          <w:b/>
        </w:rPr>
        <w:t xml:space="preserve">Appréciation :</w:t>
      </w:r>
      <w:r>
        <w:t xml:space="preserve"> </w:t>
      </w:r>
      <w:r>
        <w:t xml:space="preserve">avec ce vaste programme de phase 3, Novo Nordisk mise visiblement sur l’amycrétine/zénagamtide comme successeur du sémaglutide. Les résultats des premières études de phase 3 ne sont pas attendus avant 2027, une autorisation guère avant 2028. On ignore si les chiffres impressionnants de la petite étude de phase 1b/2a se confirmeront dans de grandes études.</w:t>
      </w:r>
    </w:p>
    <w:bookmarkEnd w:id="726"/>
    <w:bookmarkStart w:id="727" w:name="conclusion-9"/>
    <w:p>
      <w:pPr>
        <w:pStyle w:val="Heading3"/>
      </w:pPr>
      <w:r>
        <w:t xml:space="preserve">Conclusion</w:t>
      </w:r>
    </w:p>
    <w:p>
      <w:pPr>
        <w:pStyle w:val="FirstParagraph"/>
      </w:pPr>
      <w:r>
        <w:t xml:space="preserve">L’amycrétine – zénagamtide depuis 2026 – est un peptide unique qui active simultanément les récepteurs du GLP-1 et de l’amyline, et qui est développé sous forme injectable et en comprimé. Dans une petite étude de phase 1b/2a, le poids a diminué de jusqu’à 24,3 % après 36 semaines ; dans des études de phase 2 dans le diabète de type 2, l’HbA1c a baissé de jusqu’à 1,7 point de pourcentage. Les effets indésirables les plus fréquents concernent le tube digestif. Les études de phase 3 ont commencé en 2026 ; jusqu’à une éventuelle autorisation, le zénagamtide est un pur médicament expérimental, et les produits du marché gris ne sont pas un substitut.</w:t>
      </w:r>
    </w:p>
    <w:bookmarkEnd w:id="727"/>
    <w:bookmarkEnd w:id="728"/>
    <w:bookmarkStart w:id="760" w:name="maridebart-cafraglutide-maritide"/>
    <w:p>
      <w:pPr>
        <w:pStyle w:val="Heading2"/>
      </w:pPr>
      <w:r>
        <w:t xml:space="preserve">Maridebart cafraglutide (MariTide)</w:t>
      </w:r>
    </w:p>
    <w:bookmarkStart w:id="729" w:name="fiche-signalétique-10"/>
    <w:p>
      <w:pPr>
        <w:pStyle w:val="Heading3"/>
      </w:pPr>
      <w:r>
        <w:t xml:space="preserve">Fiche signalétique</w:t>
      </w:r>
    </w:p>
    <w:p>
      <w:pPr>
        <w:numPr>
          <w:ilvl w:val="0"/>
          <w:numId w:val="1090"/>
        </w:numPr>
        <w:pStyle w:val="Compact"/>
      </w:pPr>
      <w:r>
        <w:rPr>
          <w:bCs/>
          <w:b/>
        </w:rPr>
        <w:t xml:space="preserve">Type/structure :</w:t>
      </w:r>
      <w:r>
        <w:t xml:space="preserve"> </w:t>
      </w:r>
      <w:r>
        <w:t xml:space="preserve">un conjugué anticorps-peptide. Un anticorps monoclonal entièrement humain est relié par de courts segments d’acides aminés à deux peptides apparentés au GLP-1. À strictement parler, MariTide n’est donc pas un peptide pur, mais un hybride d’anticorps et de peptide. Code de développement AMG 133, nom abrégé MariTide.</w:t>
      </w:r>
    </w:p>
    <w:p>
      <w:pPr>
        <w:numPr>
          <w:ilvl w:val="0"/>
          <w:numId w:val="1090"/>
        </w:numPr>
        <w:pStyle w:val="Compact"/>
      </w:pPr>
      <w:r>
        <w:rPr>
          <w:bCs/>
          <w:b/>
        </w:rPr>
        <w:t xml:space="preserve">Origine :</w:t>
      </w:r>
      <w:r>
        <w:t xml:space="preserve"> </w:t>
      </w:r>
      <w:r>
        <w:t xml:space="preserve">développé par Amgen.</w:t>
      </w:r>
    </w:p>
    <w:p>
      <w:pPr>
        <w:numPr>
          <w:ilvl w:val="0"/>
          <w:numId w:val="1090"/>
        </w:numPr>
        <w:pStyle w:val="Compact"/>
      </w:pPr>
      <w:r>
        <w:rPr>
          <w:bCs/>
          <w:b/>
        </w:rPr>
        <w:t xml:space="preserve">Principe d’action :</w:t>
      </w:r>
      <w:r>
        <w:t xml:space="preserve"> </w:t>
      </w:r>
      <w:r>
        <w:t xml:space="preserve">la composante GLP-1</w:t>
      </w:r>
      <w:r>
        <w:t xml:space="preserve"> </w:t>
      </w:r>
      <w:r>
        <w:rPr>
          <w:bCs/>
          <w:b/>
        </w:rPr>
        <w:t xml:space="preserve">active</w:t>
      </w:r>
      <w:r>
        <w:t xml:space="preserve"> </w:t>
      </w:r>
      <w:r>
        <w:t xml:space="preserve">le récepteur du GLP-1, l’anticorps</w:t>
      </w:r>
      <w:r>
        <w:t xml:space="preserve"> </w:t>
      </w:r>
      <w:r>
        <w:rPr>
          <w:bCs/>
          <w:b/>
        </w:rPr>
        <w:t xml:space="preserve">bloque</w:t>
      </w:r>
      <w:r>
        <w:t xml:space="preserve"> </w:t>
      </w:r>
      <w:r>
        <w:t xml:space="preserve">le récepteur du GIP (antagoniste du GIPR). C’est l’inverse du tirzépatide, qui active le récepteur du GIP.</w:t>
      </w:r>
    </w:p>
    <w:p>
      <w:pPr>
        <w:numPr>
          <w:ilvl w:val="0"/>
          <w:numId w:val="1090"/>
        </w:numPr>
        <w:pStyle w:val="Compact"/>
      </w:pPr>
      <w:r>
        <w:rPr>
          <w:bCs/>
          <w:b/>
        </w:rPr>
        <w:t xml:space="preserve">Particularité :</w:t>
      </w:r>
      <w:r>
        <w:t xml:space="preserve"> </w:t>
      </w:r>
      <w:r>
        <w:t xml:space="preserve">grâce à sa composante anticorps, MariTide agit très longtemps ; une administration toutes les quatre semaines ou moins souvent est à l’étude.</w:t>
      </w:r>
    </w:p>
    <w:p>
      <w:pPr>
        <w:numPr>
          <w:ilvl w:val="0"/>
          <w:numId w:val="1090"/>
        </w:numPr>
        <w:pStyle w:val="Compact"/>
      </w:pPr>
      <w:r>
        <w:rPr>
          <w:bCs/>
          <w:b/>
        </w:rPr>
        <w:t xml:space="preserve">Autorisation UE / États-Unis :</w:t>
      </w:r>
      <w:r>
        <w:t xml:space="preserve"> </w:t>
      </w:r>
      <w:r>
        <w:t xml:space="preserve">non (état octobre 2026).</w:t>
      </w:r>
    </w:p>
    <w:p>
      <w:pPr>
        <w:numPr>
          <w:ilvl w:val="0"/>
          <w:numId w:val="1090"/>
        </w:numPr>
        <w:pStyle w:val="Compact"/>
      </w:pPr>
      <w:r>
        <w:rPr>
          <w:bCs/>
          <w:b/>
        </w:rPr>
        <w:t xml:space="preserve">AMA (WADA) :</w:t>
      </w:r>
      <w:r>
        <w:t xml:space="preserve"> </w:t>
      </w:r>
      <w:r>
        <w:t xml:space="preserve">interdit au titre de S0 en tant que substance non approuvée.</w:t>
      </w:r>
    </w:p>
    <w:p>
      <w:pPr>
        <w:numPr>
          <w:ilvl w:val="0"/>
          <w:numId w:val="1090"/>
        </w:numPr>
        <w:pStyle w:val="Compact"/>
      </w:pPr>
      <w:r>
        <w:rPr>
          <w:bCs/>
          <w:b/>
        </w:rPr>
        <w:t xml:space="preserve">Niveau de preuve :</w:t>
      </w:r>
      <w:r>
        <w:t xml:space="preserve"> </w:t>
      </w:r>
      <w:r>
        <w:rPr>
          <w:bCs/>
          <w:b/>
        </w:rPr>
        <w:t xml:space="preserve">B</w:t>
      </w:r>
      <w:r>
        <w:t xml:space="preserve"> </w:t>
      </w:r>
      <w:r>
        <w:t xml:space="preserve">– une grande étude randomisée de phase 2, phase 3 en cours.</w:t>
      </w:r>
    </w:p>
    <w:bookmarkEnd w:id="729"/>
    <w:bookmarkStart w:id="733" w:name="mode-daction-supposé-10"/>
    <w:p>
      <w:pPr>
        <w:pStyle w:val="Heading3"/>
      </w:pPr>
      <w:r>
        <w:t xml:space="preserve">Mode d’action supposé</w:t>
      </w:r>
    </w:p>
    <w:p>
      <w:pPr>
        <w:pStyle w:val="FirstParagraph"/>
      </w:pPr>
      <w:r>
        <w:t xml:space="preserve">Le GIP présente un paradoxe remarquable. Le tirzépatide</w:t>
      </w:r>
      <w:r>
        <w:t xml:space="preserve"> </w:t>
      </w:r>
      <w:r>
        <w:rPr>
          <w:iCs/>
          <w:i/>
        </w:rPr>
        <w:t xml:space="preserve">active</w:t>
      </w:r>
      <w:r>
        <w:t xml:space="preserve"> </w:t>
      </w:r>
      <w:r>
        <w:t xml:space="preserve">le récepteur du GIP et obtient ainsi, avec le GLP-1, une forte perte de poids. Parallèlement, des études génétiques et des expériences chez la souris ont montré que</w:t>
      </w:r>
      <w:r>
        <w:t xml:space="preserve"> </w:t>
      </w:r>
      <w:r>
        <w:rPr>
          <w:iCs/>
          <w:i/>
        </w:rPr>
        <w:t xml:space="preserve">bloquer</w:t>
      </w:r>
      <w:r>
        <w:t xml:space="preserve"> </w:t>
      </w:r>
      <w:r>
        <w:t xml:space="preserve">le récepteur du GIP peut aussi protéger contre le surpoids. Une explication possible : une activation permanente du récepteur conduit la cellule à le désactiver – ce qui, au final, ressemble à un blocage. La question n’est pas définitivement tranchée ; une étude comparative chez la souris a montré que les deux approches réduisaient la prise alimentaire et le poids en cas de surpoids, mais différaient dans leurs effets métaboliques : l’agoniste du GIP améliorait la tolérance au glucose, tandis que l’antagoniste réduisait plutôt la sensibilité à l’insuline</w:t>
      </w:r>
      <w:r>
        <w:rPr>
          <w:rStyle w:val="FootnoteReference"/>
        </w:rPr>
        <w:footnoteReference w:id="730"/>
      </w:r>
      <w:r>
        <w:t xml:space="preserve">.</w:t>
      </w:r>
    </w:p>
    <w:p>
      <w:pPr>
        <w:pStyle w:val="BodyText"/>
      </w:pPr>
      <w:r>
        <w:t xml:space="preserve">Amgen mise sur le blocage. L’anticorps dirigé contre le récepteur du GIP fait en même temps en sorte que la molécule reste très longtemps dans le sang – les anticorps sont dégradés lentement. Chez des souris et des singes en surpoids, l’AMG 133 a réduit le poids corporel et amélioré des paramètres métaboliques</w:t>
      </w:r>
      <w:r>
        <w:rPr>
          <w:rStyle w:val="FootnoteReference"/>
        </w:rPr>
        <w:footnoteReference w:id="731"/>
      </w:r>
      <w:r>
        <w:t xml:space="preserve">. Le développement chimique jusqu’à la molécule finale a été décrit en 2026</w:t>
      </w:r>
      <w:r>
        <w:rPr>
          <w:rStyle w:val="FootnoteReference"/>
        </w:rPr>
        <w:footnoteReference w:id="732"/>
      </w:r>
      <w:r>
        <w:t xml:space="preserve">.</w:t>
      </w:r>
    </w:p>
    <w:bookmarkEnd w:id="733"/>
    <w:bookmarkStart w:id="738" w:name="études-chez-lhumain-10"/>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2 études chez l’humain : une étude de phase 1 et une étude de phase 2. Sur ClinicalTrials.gov, 28 études étaient enregistrées, dont le programme de phase 3</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1 (Véniant 2024), PMID 38316982</w:t>
            </w:r>
          </w:p>
        </w:tc>
        <w:tc>
          <w:tcPr/>
          <w:p>
            <w:pPr>
              <w:pStyle w:val="Compact"/>
              <w:jc w:val="left"/>
            </w:pPr>
            <w:r>
              <w:t xml:space="preserve">adultes obèses, doses uniques et répétées contre placebo</w:t>
            </w:r>
          </w:p>
        </w:tc>
        <w:tc>
          <w:tcPr/>
          <w:p>
            <w:pPr>
              <w:pStyle w:val="Compact"/>
              <w:jc w:val="left"/>
            </w:pPr>
            <w:r>
              <w:t xml:space="preserve">administration unique et répétée avec suivi</w:t>
            </w:r>
          </w:p>
        </w:tc>
        <w:tc>
          <w:tcPr/>
          <w:p>
            <w:pPr>
              <w:pStyle w:val="Compact"/>
              <w:jc w:val="left"/>
            </w:pPr>
            <w:r>
              <w:t xml:space="preserve">perte de poids dose-dépendante, persistant jusqu’à 150 jours après la dernière dose</w:t>
            </w:r>
          </w:p>
        </w:tc>
      </w:tr>
      <w:tr>
        <w:tc>
          <w:tcPr/>
          <w:p>
            <w:pPr>
              <w:pStyle w:val="Compact"/>
              <w:jc w:val="left"/>
            </w:pPr>
            <w:r>
              <w:t xml:space="preserve">Phase 2 (Jastreboff 2025), PMID 40549887</w:t>
            </w:r>
          </w:p>
        </w:tc>
        <w:tc>
          <w:tcPr/>
          <w:p>
            <w:pPr>
              <w:pStyle w:val="Compact"/>
              <w:jc w:val="left"/>
            </w:pPr>
            <w:r>
              <w:t xml:space="preserve">592 adultes obèses, avec ou sans diabète de type 2 ; contre placebo</w:t>
            </w:r>
          </w:p>
        </w:tc>
        <w:tc>
          <w:tcPr/>
          <w:p>
            <w:pPr>
              <w:pStyle w:val="Compact"/>
              <w:jc w:val="left"/>
            </w:pPr>
            <w:r>
              <w:t xml:space="preserve">52 semaines</w:t>
            </w:r>
          </w:p>
        </w:tc>
        <w:tc>
          <w:tcPr/>
          <w:p>
            <w:pPr>
              <w:pStyle w:val="Compact"/>
              <w:jc w:val="left"/>
            </w:pPr>
            <w:r>
              <w:t xml:space="preserve">sans diabète −12,3 à −16,2 % vs −2,5 % ; avec diabète −8,4 à −12,3 % vs −1,7 %</w:t>
            </w:r>
          </w:p>
        </w:tc>
      </w:tr>
    </w:tbl>
    <w:bookmarkStart w:id="735" w:name="phase-1"/>
    <w:p>
      <w:pPr>
        <w:pStyle w:val="Heading4"/>
      </w:pPr>
      <w:r>
        <w:t xml:space="preserve">Phase 1</w:t>
      </w:r>
    </w:p>
    <w:p>
      <w:pPr>
        <w:pStyle w:val="FirstParagraph"/>
      </w:pPr>
      <w:r>
        <w:t xml:space="preserve">Dans la première étude chez l’humain</w:t>
      </w:r>
      <w:r>
        <w:rPr>
          <w:rStyle w:val="FootnoteReference"/>
        </w:rPr>
        <w:footnoteReference w:id="734"/>
      </w:r>
      <w:r>
        <w:t xml:space="preserve">, l’AMG 133 a montré une perte de poids dose-dépendante avec une tolérance acceptable. La longue durée d’action était frappante : dans les groupes à administrations répétées, la perte de poids persistait jusqu’à 150 jours après la dernière dose.</w:t>
      </w:r>
    </w:p>
    <w:bookmarkEnd w:id="735"/>
    <w:bookmarkStart w:id="737" w:name="phase-2"/>
    <w:p>
      <w:pPr>
        <w:pStyle w:val="Heading4"/>
      </w:pPr>
      <w:r>
        <w:t xml:space="preserve">Phase 2</w:t>
      </w:r>
    </w:p>
    <w:p>
      <w:pPr>
        <w:pStyle w:val="FirstParagraph"/>
      </w:pPr>
      <w:r>
        <w:t xml:space="preserve">L’étude de phase 2</w:t>
      </w:r>
      <w:r>
        <w:rPr>
          <w:rStyle w:val="FootnoteReference"/>
        </w:rPr>
        <w:footnoteReference w:id="736"/>
      </w:r>
      <w:r>
        <w:t xml:space="preserve"> </w:t>
      </w:r>
      <w:r>
        <w:t xml:space="preserve">avait une conception large : onze groupes répartis en deux cohortes, avec différentes doses, différents intervalles d’administration (toutes les quatre ou huit semaines) et avec ou sans titration lente.</w:t>
      </w:r>
    </w:p>
    <w:p>
      <w:pPr>
        <w:numPr>
          <w:ilvl w:val="0"/>
          <w:numId w:val="1091"/>
        </w:numPr>
        <w:pStyle w:val="Compact"/>
      </w:pPr>
      <w:r>
        <w:rPr>
          <w:bCs/>
          <w:b/>
        </w:rPr>
        <w:t xml:space="preserve">Sans diabète</w:t>
      </w:r>
      <w:r>
        <w:t xml:space="preserve"> </w:t>
      </w:r>
      <w:r>
        <w:t xml:space="preserve">(465 participants, IMC moyen 37,9) : après 52 semaines, la perte de poids était selon le groupe de 12,3 à 16,2 %, contre 2,5 % sous placebo. Cette analyse tient compte de tous les participants, indépendamment des arrêts de traitement.</w:t>
      </w:r>
    </w:p>
    <w:p>
      <w:pPr>
        <w:numPr>
          <w:ilvl w:val="0"/>
          <w:numId w:val="1091"/>
        </w:numPr>
        <w:pStyle w:val="Compact"/>
      </w:pPr>
      <w:r>
        <w:rPr>
          <w:bCs/>
          <w:b/>
        </w:rPr>
        <w:t xml:space="preserve">Avec diabète de type 2</w:t>
      </w:r>
      <w:r>
        <w:t xml:space="preserve"> </w:t>
      </w:r>
      <w:r>
        <w:t xml:space="preserve">(127 participants) : perte de poids de 8,4 à 12,3 % contre 1,7 % ; l’HbA1c a baissé de 1,2 à 1,6 point de pourcentage (placebo +0,1).</w:t>
      </w:r>
    </w:p>
    <w:p>
      <w:pPr>
        <w:pStyle w:val="FirstParagraph"/>
      </w:pPr>
      <w:r>
        <w:t xml:space="preserve">Les effets indésirables digestifs étaient fréquents, mais moins lorsque le traitement commençait par une dose plus faible augmentée lentement. Selon les auteurs, aucun signal de sécurité inattendu n’est apparu. Une perte de poids d’environ 16 % après un an se situe dans la zone du sémaglutide, mais en dessous du tirzépatide. L’avantage potentiel de MariTide tient donc moins à l’ampleur de la perte de poids qu’à la rareté des administrations.</w:t>
      </w:r>
    </w:p>
    <w:bookmarkEnd w:id="737"/>
    <w:bookmarkEnd w:id="738"/>
    <w:bookmarkStart w:id="741" w:name="études-animales-et-de-laboratoire-10"/>
    <w:p>
      <w:pPr>
        <w:pStyle w:val="Heading3"/>
      </w:pPr>
      <w:r>
        <w:t xml:space="preserve">Études animales et de laboratoire</w:t>
      </w:r>
    </w:p>
    <w:p>
      <w:pPr>
        <w:pStyle w:val="FirstParagraph"/>
      </w:pPr>
      <w:r>
        <w:t xml:space="preserve">Dans des systèmes cellulaires, il a été confirmé que l’AMG 133 bloque le récepteur du GIP et active le récepteur du GLP-1. Chez des souris et des macaques crabiers en surpoids, il a réduit le poids corporel et amélioré des marqueurs métaboliques</w:t>
      </w:r>
      <w:r>
        <w:rPr>
          <w:rStyle w:val="FootnoteReference"/>
        </w:rPr>
        <w:footnoteReference w:id="739"/>
      </w:r>
      <w:r>
        <w:t xml:space="preserve">. Des études comparatives chez la souris sur le blocage du GIP par rapport à son activation montrent des effets différents sur la sensibilité à l’insuline et le tissu adipeux</w:t>
      </w:r>
      <w:r>
        <w:rPr>
          <w:rStyle w:val="FootnoteReference"/>
        </w:rPr>
        <w:footnoteReference w:id="740"/>
      </w:r>
      <w:r>
        <w:t xml:space="preserve">. Tous ces résultats proviennent d’expériences animales.</w:t>
      </w:r>
    </w:p>
    <w:bookmarkEnd w:id="741"/>
    <w:bookmarkStart w:id="745" w:name="risques-et-effets-indésirables-10"/>
    <w:p>
      <w:pPr>
        <w:pStyle w:val="Heading3"/>
      </w:pPr>
      <w:r>
        <w:t xml:space="preserve">Risques et effets indésirables</w:t>
      </w:r>
    </w:p>
    <w:p>
      <w:pPr>
        <w:pStyle w:val="FirstParagraph"/>
      </w:pPr>
      <w:r>
        <w:rPr>
          <w:bCs/>
          <w:b/>
        </w:rPr>
        <w:t xml:space="preserve">Établi par les études :</w:t>
      </w:r>
    </w:p>
    <w:p>
      <w:pPr>
        <w:numPr>
          <w:ilvl w:val="0"/>
          <w:numId w:val="1092"/>
        </w:numPr>
        <w:pStyle w:val="Compact"/>
      </w:pPr>
      <w:r>
        <w:rPr>
          <w:bCs/>
          <w:b/>
        </w:rPr>
        <w:t xml:space="preserve">Troubles digestifs</w:t>
      </w:r>
      <w:r>
        <w:t xml:space="preserve"> </w:t>
      </w:r>
      <w:r>
        <w:t xml:space="preserve">(nausées, vomissements) : ils étaient fréquents dans l’étude de phase 2, surtout avec une dose initiale élevée sans titration</w:t>
      </w:r>
      <w:r>
        <w:rPr>
          <w:rStyle w:val="FootnoteReference"/>
        </w:rPr>
        <w:footnoteReference w:id="742"/>
      </w:r>
      <w:r>
        <w:t xml:space="preserve">. Le résumé ne donne pas de pourcentages précis.</w:t>
      </w:r>
    </w:p>
    <w:p>
      <w:pPr>
        <w:pStyle w:val="FirstParagraph"/>
      </w:pPr>
      <w:r>
        <w:rPr>
          <w:bCs/>
          <w:b/>
        </w:rPr>
        <w:t xml:space="preserve">Questions spécifiques encore ouvertes :</w:t>
      </w:r>
    </w:p>
    <w:p>
      <w:pPr>
        <w:numPr>
          <w:ilvl w:val="0"/>
          <w:numId w:val="1093"/>
        </w:numPr>
        <w:pStyle w:val="Compact"/>
      </w:pPr>
      <w:r>
        <w:rPr>
          <w:bCs/>
          <w:b/>
        </w:rPr>
        <w:t xml:space="preserve">Longue durée d’action :</w:t>
      </w:r>
      <w:r>
        <w:t xml:space="preserve"> </w:t>
      </w:r>
      <w:r>
        <w:t xml:space="preserve">ce qui passe pour un avantage chez de nombreux patients est un inconvénient en cas d’effets indésirables : un médicament qui reste des mois dans l’organisme ne peut pas être arrêté rapidement. Dans l’étude de phase 1, l’effet persistait jusqu’à 150 jours après la dernière dose</w:t>
      </w:r>
      <w:r>
        <w:rPr>
          <w:rStyle w:val="FootnoteReference"/>
        </w:rPr>
        <w:footnoteReference w:id="743"/>
      </w:r>
      <w:r>
        <w:t xml:space="preserve">. Cela est pertinent par exemple en cas de grossesse non prévue ou avant une intervention chirurgicale.</w:t>
      </w:r>
    </w:p>
    <w:p>
      <w:pPr>
        <w:numPr>
          <w:ilvl w:val="0"/>
          <w:numId w:val="1093"/>
        </w:numPr>
        <w:pStyle w:val="Compact"/>
      </w:pPr>
      <w:r>
        <w:rPr>
          <w:bCs/>
          <w:b/>
        </w:rPr>
        <w:t xml:space="preserve">Blocage du GIP :</w:t>
      </w:r>
      <w:r>
        <w:t xml:space="preserve"> </w:t>
      </w:r>
      <w:r>
        <w:t xml:space="preserve">les conséquences à long terme d’un blocage permanent du récepteur du GIP – par exemple sur les os, le tissu adipeux ou la sensibilité à l’insuline – sont inconnues chez l’humain. Dans des études chez la souris, un antagoniste du GIP a réduit la sensibilité à l’insuline par rapport à des animaux témoins recevant la même quantité de nourriture</w:t>
      </w:r>
      <w:r>
        <w:rPr>
          <w:rStyle w:val="FootnoteReference"/>
        </w:rPr>
        <w:footnoteReference w:id="744"/>
      </w:r>
      <w:r>
        <w:t xml:space="preserve">.</w:t>
      </w:r>
    </w:p>
    <w:p>
      <w:pPr>
        <w:numPr>
          <w:ilvl w:val="0"/>
          <w:numId w:val="1093"/>
        </w:numPr>
        <w:pStyle w:val="Compact"/>
      </w:pPr>
      <w:r>
        <w:rPr>
          <w:bCs/>
          <w:b/>
        </w:rPr>
        <w:t xml:space="preserve">Formation d’anticorps :</w:t>
      </w:r>
      <w:r>
        <w:t xml:space="preserve"> </w:t>
      </w:r>
      <w:r>
        <w:t xml:space="preserve">avec les médicaments à base d’anticorps, le système immunitaire peut former des anticorps contre le médicament. Les données de grandes études sur ce point sont encore attendues.</w:t>
      </w:r>
    </w:p>
    <w:p>
      <w:pPr>
        <w:numPr>
          <w:ilvl w:val="0"/>
          <w:numId w:val="1093"/>
        </w:numPr>
        <w:pStyle w:val="Compact"/>
      </w:pPr>
      <w:r>
        <w:t xml:space="preserve">Les risques de classe connus des médicaments GLP-1 (vésicule biliaire, pancréas) ne sont pas encore suffisamment étudiés pour MariTide.</w:t>
      </w:r>
    </w:p>
    <w:bookmarkEnd w:id="745"/>
    <w:bookmarkStart w:id="746" w:name="statut-juridique-10"/>
    <w:p>
      <w:pPr>
        <w:pStyle w:val="Heading3"/>
      </w:pPr>
      <w:r>
        <w:t xml:space="preserve">Statut juridique</w:t>
      </w:r>
    </w:p>
    <w:p>
      <w:pPr>
        <w:numPr>
          <w:ilvl w:val="0"/>
          <w:numId w:val="1094"/>
        </w:numPr>
        <w:pStyle w:val="Compact"/>
      </w:pPr>
      <w:r>
        <w:rPr>
          <w:bCs/>
          <w:b/>
        </w:rPr>
        <w:t xml:space="preserve">UE / Autriche / Allemagne :</w:t>
      </w:r>
      <w:r>
        <w:t xml:space="preserve"> </w:t>
      </w:r>
      <w:r>
        <w:t xml:space="preserve">non autorisé ; utilisation uniquement dans des essais cliniques. S’agissant d’un produit biotechnologique complexe, une imitation sur le marché gris est nettement plus difficile qu’avec de petits peptides.</w:t>
      </w:r>
    </w:p>
    <w:p>
      <w:pPr>
        <w:numPr>
          <w:ilvl w:val="0"/>
          <w:numId w:val="1094"/>
        </w:numPr>
        <w:pStyle w:val="Compact"/>
      </w:pPr>
      <w:r>
        <w:rPr>
          <w:bCs/>
          <w:b/>
        </w:rPr>
        <w:t xml:space="preserve">États-Unis :</w:t>
      </w:r>
      <w:r>
        <w:t xml:space="preserve"> </w:t>
      </w:r>
      <w:r>
        <w:t xml:space="preserve">non autorisé.</w:t>
      </w:r>
    </w:p>
    <w:p>
      <w:pPr>
        <w:numPr>
          <w:ilvl w:val="0"/>
          <w:numId w:val="1094"/>
        </w:numPr>
        <w:pStyle w:val="Compact"/>
      </w:pPr>
      <w:r>
        <w:rPr>
          <w:bCs/>
          <w:b/>
        </w:rPr>
        <w:t xml:space="preserve">Sport :</w:t>
      </w:r>
      <w:r>
        <w:t xml:space="preserve"> </w:t>
      </w:r>
      <w:r>
        <w:t xml:space="preserve">classe S0 de la WADA (substance non approuvée), état 2026, à vérifier.</w:t>
      </w:r>
    </w:p>
    <w:bookmarkEnd w:id="746"/>
    <w:bookmarkStart w:id="758" w:name="études-en-cours-et-perspectives-10"/>
    <w:p>
      <w:pPr>
        <w:pStyle w:val="Heading3"/>
      </w:pPr>
      <w:r>
        <w:t xml:space="preserve">Études en cours et perspectives</w:t>
      </w:r>
    </w:p>
    <w:p>
      <w:pPr>
        <w:pStyle w:val="FirstParagraph"/>
      </w:pPr>
      <w:r>
        <w:rPr>
          <w:bCs/>
          <w:b/>
        </w:rPr>
        <w:t xml:space="preserve">Établi (études enregistrées, état octobre 2026) :</w:t>
      </w:r>
    </w:p>
    <w:p>
      <w:pPr>
        <w:numPr>
          <w:ilvl w:val="0"/>
          <w:numId w:val="1095"/>
        </w:numPr>
        <w:pStyle w:val="Compact"/>
      </w:pPr>
      <w:r>
        <w:rPr>
          <w:bCs/>
          <w:b/>
        </w:rPr>
        <w:t xml:space="preserve">Gestion du poids sans diabète</w:t>
      </w:r>
      <w:r>
        <w:rPr>
          <w:rStyle w:val="FootnoteReference"/>
        </w:rPr>
        <w:footnoteReference w:id="747"/>
      </w:r>
      <w:r>
        <w:t xml:space="preserve"> </w:t>
      </w:r>
      <w:r>
        <w:t xml:space="preserve">: phase 3 avec 3 853 participants, fin prévue en 2027.</w:t>
      </w:r>
    </w:p>
    <w:p>
      <w:pPr>
        <w:numPr>
          <w:ilvl w:val="0"/>
          <w:numId w:val="1095"/>
        </w:numPr>
        <w:pStyle w:val="Compact"/>
      </w:pPr>
      <w:r>
        <w:rPr>
          <w:bCs/>
          <w:b/>
        </w:rPr>
        <w:t xml:space="preserve">Gestion du poids avec diabète de type 2</w:t>
      </w:r>
      <w:r>
        <w:rPr>
          <w:rStyle w:val="FootnoteReference"/>
        </w:rPr>
        <w:footnoteReference w:id="748"/>
      </w:r>
      <w:r>
        <w:t xml:space="preserve"> </w:t>
      </w:r>
      <w:r>
        <w:t xml:space="preserve">: phase 3 avec 1 105 participants.</w:t>
      </w:r>
    </w:p>
    <w:p>
      <w:pPr>
        <w:numPr>
          <w:ilvl w:val="0"/>
          <w:numId w:val="1095"/>
        </w:numPr>
        <w:pStyle w:val="Compact"/>
      </w:pPr>
      <w:r>
        <w:rPr>
          <w:bCs/>
          <w:b/>
        </w:rPr>
        <w:t xml:space="preserve">Étude sur critères cliniques cardiovasculaires</w:t>
      </w:r>
      <w:r>
        <w:rPr>
          <w:rStyle w:val="FootnoteReference"/>
        </w:rPr>
        <w:footnoteReference w:id="749"/>
      </w:r>
      <w:r>
        <w:t xml:space="preserve"> </w:t>
      </w:r>
      <w:r>
        <w:t xml:space="preserve">avec 12 800 participants et</w:t>
      </w:r>
      <w:r>
        <w:t xml:space="preserve"> </w:t>
      </w:r>
      <w:r>
        <w:rPr>
          <w:bCs/>
          <w:b/>
        </w:rPr>
        <w:t xml:space="preserve">étude sur l’insuffisance cardiaque</w:t>
      </w:r>
      <w:r>
        <w:rPr>
          <w:rStyle w:val="FootnoteReference"/>
        </w:rPr>
        <w:footnoteReference w:id="750"/>
      </w:r>
      <w:r>
        <w:t xml:space="preserve"> </w:t>
      </w:r>
      <w:r>
        <w:t xml:space="preserve">avec 5 056 participants, chacune jusqu’en 2030.</w:t>
      </w:r>
    </w:p>
    <w:p>
      <w:pPr>
        <w:numPr>
          <w:ilvl w:val="0"/>
          <w:numId w:val="1095"/>
        </w:numPr>
        <w:pStyle w:val="Compact"/>
      </w:pPr>
      <w:r>
        <w:rPr>
          <w:bCs/>
          <w:b/>
        </w:rPr>
        <w:t xml:space="preserve">Apnée du sommeil</w:t>
      </w:r>
      <w:r>
        <w:t xml:space="preserve"> </w:t>
      </w:r>
      <w:r>
        <w:t xml:space="preserve">sans et avec masque respiratoire</w:t>
      </w:r>
      <w:r>
        <w:rPr>
          <w:rStyle w:val="FootnoteReference"/>
        </w:rPr>
        <w:footnoteReference w:id="751"/>
      </w:r>
      <w:r>
        <w:t xml:space="preserve">.</w:t>
      </w:r>
    </w:p>
    <w:p>
      <w:pPr>
        <w:numPr>
          <w:ilvl w:val="0"/>
          <w:numId w:val="1095"/>
        </w:numPr>
        <w:pStyle w:val="Compact"/>
      </w:pPr>
      <w:r>
        <w:rPr>
          <w:bCs/>
          <w:b/>
        </w:rPr>
        <w:t xml:space="preserve">Comparaison avec le sémaglutide</w:t>
      </w:r>
      <w:r>
        <w:t xml:space="preserve"> </w:t>
      </w:r>
      <w:r>
        <w:t xml:space="preserve">dans le diabète de type 2</w:t>
      </w:r>
      <w:r>
        <w:rPr>
          <w:rStyle w:val="FootnoteReference"/>
        </w:rPr>
        <w:footnoteReference w:id="752"/>
      </w:r>
      <w:r>
        <w:t xml:space="preserve">, passage depuis d’autres médicaments GLP-1</w:t>
      </w:r>
      <w:r>
        <w:rPr>
          <w:rStyle w:val="FootnoteReference"/>
        </w:rPr>
        <w:footnoteReference w:id="753"/>
      </w:r>
      <w:r>
        <w:t xml:space="preserve">, Japon</w:t>
      </w:r>
      <w:r>
        <w:rPr>
          <w:rStyle w:val="FootnoteReference"/>
        </w:rPr>
        <w:footnoteReference w:id="754"/>
      </w:r>
      <w:r>
        <w:t xml:space="preserve">, stéatose hépatique (NCT07441252, phase 2).</w:t>
      </w:r>
    </w:p>
    <w:p>
      <w:pPr>
        <w:numPr>
          <w:ilvl w:val="0"/>
          <w:numId w:val="1095"/>
        </w:numPr>
        <w:pStyle w:val="Compact"/>
      </w:pPr>
      <w:r>
        <w:t xml:space="preserve">Études de phase 1 sur la vidange gastrique</w:t>
      </w:r>
      <w:r>
        <w:rPr>
          <w:rStyle w:val="FootnoteReference"/>
        </w:rPr>
        <w:footnoteReference w:id="755"/>
      </w:r>
      <w:r>
        <w:t xml:space="preserve">, le rythme cardiaque</w:t>
      </w:r>
      <w:r>
        <w:rPr>
          <w:rStyle w:val="FootnoteReference"/>
        </w:rPr>
        <w:footnoteReference w:id="756"/>
      </w:r>
      <w:r>
        <w:t xml:space="preserve"> </w:t>
      </w:r>
      <w:r>
        <w:t xml:space="preserve">et les interactions avec la pilule contraceptive</w:t>
      </w:r>
      <w:r>
        <w:rPr>
          <w:rStyle w:val="FootnoteReference"/>
        </w:rPr>
        <w:footnoteReference w:id="757"/>
      </w:r>
      <w:r>
        <w:t xml:space="preserve">.</w:t>
      </w:r>
    </w:p>
    <w:p>
      <w:pPr>
        <w:pStyle w:val="FirstParagraph"/>
      </w:pPr>
      <w:r>
        <w:rPr>
          <w:bCs/>
          <w:b/>
        </w:rPr>
        <w:t xml:space="preserve">Appréciation :</w:t>
      </w:r>
      <w:r>
        <w:t xml:space="preserve"> </w:t>
      </w:r>
      <w:r>
        <w:t xml:space="preserve">MariTide incarne un autre concept que la famille du tirzépatide – moins d’injections plutôt qu’une perte de poids maximale. Pour les personnes qui ont besoin d’un traitement au long cours, une administration mensuelle ou encore plus espacée pourrait améliorer l’observance. Les grandes études de phase 3 devront montrer si le concept du blocage du GIP est sûr à long terme. Une autorisation n’est réaliste qu’à partir de 2028 au plus tôt.</w:t>
      </w:r>
    </w:p>
    <w:bookmarkEnd w:id="758"/>
    <w:bookmarkStart w:id="759" w:name="conclusion-10"/>
    <w:p>
      <w:pPr>
        <w:pStyle w:val="Heading3"/>
      </w:pPr>
      <w:r>
        <w:t xml:space="preserve">Conclusion</w:t>
      </w:r>
    </w:p>
    <w:p>
      <w:pPr>
        <w:pStyle w:val="FirstParagraph"/>
      </w:pPr>
      <w:r>
        <w:t xml:space="preserve">Le maridebart cafraglutide est un conjugué anticorps-peptide qui active le récepteur du GLP-1 et bloque le récepteur du GIP, et qui n’est administré qu’une fois par mois ou moins souvent. Dans l’étude de phase 2, le poids corporel a diminué après 52 semaines de jusqu’à 16,2 % sans diabète de type 2 et de jusqu’à 12,3 % avec. Les troubles digestifs sont fréquents et dépendent fortement de la titration ; la longue durée d’action est à la fois un avantage et un risque. Le programme de phase 3, avec des études sur critères cliniques dans les maladies cardiovasculaires et l’insuffisance cardiaque, est en cours.</w:t>
      </w:r>
    </w:p>
    <w:bookmarkEnd w:id="759"/>
    <w:bookmarkEnd w:id="760"/>
    <w:bookmarkStart w:id="793" w:name="pramlintide"/>
    <w:p>
      <w:pPr>
        <w:pStyle w:val="Heading2"/>
      </w:pPr>
      <w:r>
        <w:t xml:space="preserve">Pramlintide</w:t>
      </w:r>
    </w:p>
    <w:bookmarkStart w:id="761" w:name="fiche-signalétique-11"/>
    <w:p>
      <w:pPr>
        <w:pStyle w:val="Heading3"/>
      </w:pPr>
      <w:r>
        <w:t xml:space="preserve">Fiche signalétique</w:t>
      </w:r>
    </w:p>
    <w:p>
      <w:pPr>
        <w:numPr>
          <w:ilvl w:val="0"/>
          <w:numId w:val="1096"/>
        </w:numPr>
        <w:pStyle w:val="Compact"/>
      </w:pPr>
      <w:r>
        <w:rPr>
          <w:bCs/>
          <w:b/>
        </w:rPr>
        <w:t xml:space="preserve">Type/structure :</w:t>
      </w:r>
      <w:r>
        <w:t xml:space="preserve"> </w:t>
      </w:r>
      <w:r>
        <w:t xml:space="preserve">analogue de synthèse de l’hormone humaine amyline, composé de 37 acides aminés. Trois acides aminés ont été remplacés (sur le modèle de l’amyline du rat) afin que la molécule ne s’agrège pas comme l’amyline humaine naturelle. Il n’agit que brièvement et s’injecte avant les repas principaux.</w:t>
      </w:r>
    </w:p>
    <w:p>
      <w:pPr>
        <w:numPr>
          <w:ilvl w:val="0"/>
          <w:numId w:val="1096"/>
        </w:numPr>
        <w:pStyle w:val="Compact"/>
      </w:pPr>
      <w:r>
        <w:rPr>
          <w:bCs/>
          <w:b/>
        </w:rPr>
        <w:t xml:space="preserve">Origine :</w:t>
      </w:r>
      <w:r>
        <w:t xml:space="preserve"> </w:t>
      </w:r>
      <w:r>
        <w:t xml:space="preserve">développé par Amylin Pharmaceuticals ; fait aujourd’hui partie du portefeuille d’AstraZeneca. Nom commercial aux États-Unis : Symlin.</w:t>
      </w:r>
    </w:p>
    <w:p>
      <w:pPr>
        <w:numPr>
          <w:ilvl w:val="0"/>
          <w:numId w:val="1096"/>
        </w:numPr>
        <w:pStyle w:val="Compact"/>
      </w:pPr>
      <w:r>
        <w:rPr>
          <w:bCs/>
          <w:b/>
        </w:rPr>
        <w:t xml:space="preserve">Principe d’action :</w:t>
      </w:r>
      <w:r>
        <w:t xml:space="preserve"> </w:t>
      </w:r>
      <w:r>
        <w:t xml:space="preserve">agoniste des récepteurs de l’amyline – ralentit la vidange gastrique, atténue la sécrétion de glucagon après les repas et favorise la sensation de satiété.</w:t>
      </w:r>
    </w:p>
    <w:p>
      <w:pPr>
        <w:numPr>
          <w:ilvl w:val="0"/>
          <w:numId w:val="1096"/>
        </w:numPr>
        <w:pStyle w:val="Compact"/>
      </w:pPr>
      <w:r>
        <w:rPr>
          <w:bCs/>
          <w:b/>
        </w:rPr>
        <w:t xml:space="preserve">Autorisation UE :</w:t>
      </w:r>
      <w:r>
        <w:t xml:space="preserve"> </w:t>
      </w:r>
      <w:r>
        <w:t xml:space="preserve">non – le pramlintide n’a jamais été autorisé dans l’UE.</w:t>
      </w:r>
    </w:p>
    <w:p>
      <w:pPr>
        <w:numPr>
          <w:ilvl w:val="0"/>
          <w:numId w:val="1096"/>
        </w:numPr>
        <w:pStyle w:val="Compact"/>
      </w:pPr>
      <w:r>
        <w:rPr>
          <w:bCs/>
          <w:b/>
        </w:rPr>
        <w:t xml:space="preserve">Autorisation États-Unis :</w:t>
      </w:r>
      <w:r>
        <w:t xml:space="preserve"> </w:t>
      </w:r>
      <w:r>
        <w:t xml:space="preserve">oui, depuis 2005, en complément de l’insuline prandiale dans le diabète de type 1 et de type 2.</w:t>
      </w:r>
    </w:p>
    <w:p>
      <w:pPr>
        <w:numPr>
          <w:ilvl w:val="0"/>
          <w:numId w:val="1096"/>
        </w:numPr>
        <w:pStyle w:val="Compact"/>
      </w:pPr>
      <w:r>
        <w:rPr>
          <w:bCs/>
          <w:b/>
        </w:rPr>
        <w:t xml:space="preserve">AMA (WADA) :</w:t>
      </w:r>
      <w:r>
        <w:t xml:space="preserve"> </w:t>
      </w:r>
      <w:r>
        <w:t xml:space="preserve">non cité nommément ; en raison de l’autorisation américaine, il ne relève pas de S0.</w:t>
      </w:r>
    </w:p>
    <w:p>
      <w:pPr>
        <w:numPr>
          <w:ilvl w:val="0"/>
          <w:numId w:val="1096"/>
        </w:numPr>
        <w:pStyle w:val="Compact"/>
      </w:pPr>
      <w:r>
        <w:rPr>
          <w:bCs/>
          <w:b/>
        </w:rPr>
        <w:t xml:space="preserve">Niveau de preuve :</w:t>
      </w:r>
      <w:r>
        <w:t xml:space="preserve"> </w:t>
      </w:r>
      <w:r>
        <w:rPr>
          <w:bCs/>
          <w:b/>
        </w:rPr>
        <w:t xml:space="preserve">A</w:t>
      </w:r>
      <w:r>
        <w:t xml:space="preserve"> </w:t>
      </w:r>
      <w:r>
        <w:t xml:space="preserve">– plusieurs grandes études randomisées, autorisation aux États-Unis.</w:t>
      </w:r>
    </w:p>
    <w:bookmarkEnd w:id="761"/>
    <w:bookmarkStart w:id="763" w:name="mode-daction-supposé-11"/>
    <w:p>
      <w:pPr>
        <w:pStyle w:val="Heading3"/>
      </w:pPr>
      <w:r>
        <w:t xml:space="preserve">Mode d’action supposé</w:t>
      </w:r>
    </w:p>
    <w:p>
      <w:pPr>
        <w:pStyle w:val="FirstParagraph"/>
      </w:pPr>
      <w:r>
        <w:t xml:space="preserve">Les cellules bêta du pancréas ne sécrètent pas seulement de l’insuline, mais aussi, au même rythme, de l’amyline. Dans le diabète de type 1, les cellules bêta sont détruites – les deux hormones manquent donc, mais en règle générale seule l’insuline est remplacée. Dans le diabète de type 2 avancé aussi, la sécrétion d’amyline est diminuée.</w:t>
      </w:r>
    </w:p>
    <w:p>
      <w:pPr>
        <w:pStyle w:val="BodyText"/>
      </w:pPr>
      <w:r>
        <w:t xml:space="preserve">Après les repas, l’amyline agit dans trois directions : elle ralentit la vidange gastrique, de sorte que le sucre passe plus lentement dans le sang ; elle atténue la sécrétion de glucagon, souvent inappropriée et trop élevée après les repas en cas de diabète ; et elle favorise la sensation de satiété via le tronc cérébral. Le pramlintide devait remplacer cette action manquante et ainsi lisser les pics glycémiques après les repas. Qu’il retarde la vidange gastrique a notamment été montré dans une petite étude chez douze personnes atteintes de diabète de type 1 et de type 2 : le temps nécessaire pour que la moitié d’un repas solide quitte l’estomac est passé de 91 à 268–329 minutes</w:t>
      </w:r>
      <w:r>
        <w:rPr>
          <w:rStyle w:val="FootnoteReference"/>
        </w:rPr>
        <w:footnoteReference w:id="762"/>
      </w:r>
      <w:r>
        <w:t xml:space="preserve">.</w:t>
      </w:r>
    </w:p>
    <w:p>
      <w:pPr>
        <w:pStyle w:val="BodyText"/>
      </w:pPr>
      <w:r>
        <w:t xml:space="preserve">Le pramlintide est historiquement important : il a été le premier médicament à base d’amyline et est considéré comme le précurseur des substances actuelles à base d’amyline à action prolongée comme le cagrilintide et l’amycrétine (voir ces chapitres). Son grand inconvénient pratique est sa courte durée d’action, qui impose plusieurs injections par jour.</w:t>
      </w:r>
    </w:p>
    <w:bookmarkEnd w:id="763"/>
    <w:bookmarkStart w:id="778" w:name="études-chez-lhumain-11"/>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76 études chez l’humain, principalement des années 1996 à 2010, ainsi que quelques méta-analyses. Sur ClinicalTrials.gov, 64 études étaient enregistrées, presque toutes terminées ; les nouvelles études portent surtout sur le « pancréas artificiel » et la recherche sur la migraine.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Whitehouse 2002, PMID 11919132</w:t>
            </w:r>
          </w:p>
        </w:tc>
        <w:tc>
          <w:tcPr/>
          <w:p>
            <w:pPr>
              <w:pStyle w:val="Compact"/>
              <w:jc w:val="left"/>
            </w:pPr>
            <w:r>
              <w:t xml:space="preserve">480 adultes atteints de diabète de type 1, contre placebo</w:t>
            </w:r>
          </w:p>
        </w:tc>
        <w:tc>
          <w:tcPr/>
          <w:p>
            <w:pPr>
              <w:pStyle w:val="Compact"/>
              <w:jc w:val="left"/>
            </w:pPr>
            <w:r>
              <w:t xml:space="preserve">52 semaines (+1 an en ouvert)</w:t>
            </w:r>
          </w:p>
        </w:tc>
        <w:tc>
          <w:tcPr/>
          <w:p>
            <w:pPr>
              <w:pStyle w:val="Compact"/>
              <w:jc w:val="left"/>
            </w:pPr>
            <w:r>
              <w:t xml:space="preserve">HbA1c −0,67 vs −0,16 après 13 semaines ; perte de poids au lieu d’une prise</w:t>
            </w:r>
          </w:p>
        </w:tc>
      </w:tr>
      <w:tr>
        <w:tc>
          <w:tcPr/>
          <w:p>
            <w:pPr>
              <w:pStyle w:val="Compact"/>
              <w:jc w:val="left"/>
            </w:pPr>
            <w:r>
              <w:t xml:space="preserve">Ratner 2004, PMID 15498087</w:t>
            </w:r>
          </w:p>
        </w:tc>
        <w:tc>
          <w:tcPr/>
          <w:p>
            <w:pPr>
              <w:pStyle w:val="Compact"/>
              <w:jc w:val="left"/>
            </w:pPr>
            <w:r>
              <w:t xml:space="preserve">651 adultes atteints de diabète de type 1, contre placebo</w:t>
            </w:r>
          </w:p>
        </w:tc>
        <w:tc>
          <w:tcPr/>
          <w:p>
            <w:pPr>
              <w:pStyle w:val="Compact"/>
              <w:jc w:val="left"/>
            </w:pPr>
            <w:r>
              <w:t xml:space="preserve">52 semaines</w:t>
            </w:r>
          </w:p>
        </w:tc>
        <w:tc>
          <w:tcPr/>
          <w:p>
            <w:pPr>
              <w:pStyle w:val="Compact"/>
              <w:jc w:val="left"/>
            </w:pPr>
            <w:r>
              <w:t xml:space="preserve">HbA1c −0,29 à −0,34 vs −0,04 ; poids −0,4 kg vs +0,8 kg</w:t>
            </w:r>
          </w:p>
        </w:tc>
      </w:tr>
      <w:tr>
        <w:tc>
          <w:tcPr/>
          <w:p>
            <w:pPr>
              <w:pStyle w:val="Compact"/>
              <w:jc w:val="left"/>
            </w:pPr>
            <w:r>
              <w:t xml:space="preserve">Hollander 2003, PMID 12610038</w:t>
            </w:r>
          </w:p>
        </w:tc>
        <w:tc>
          <w:tcPr/>
          <w:p>
            <w:pPr>
              <w:pStyle w:val="Compact"/>
              <w:jc w:val="left"/>
            </w:pPr>
            <w:r>
              <w:t xml:space="preserve">656 adultes atteints de diabète de type 2 traité par insuline, contre placebo</w:t>
            </w:r>
          </w:p>
        </w:tc>
        <w:tc>
          <w:tcPr/>
          <w:p>
            <w:pPr>
              <w:pStyle w:val="Compact"/>
              <w:jc w:val="left"/>
            </w:pPr>
            <w:r>
              <w:t xml:space="preserve">52 semaines</w:t>
            </w:r>
          </w:p>
        </w:tc>
        <w:tc>
          <w:tcPr/>
          <w:p>
            <w:pPr>
              <w:pStyle w:val="Compact"/>
              <w:jc w:val="left"/>
            </w:pPr>
            <w:r>
              <w:t xml:space="preserve">HbA1c −0,62 (semaine 52) ; poids −1,4 kg vs +0,7 kg</w:t>
            </w:r>
          </w:p>
        </w:tc>
      </w:tr>
      <w:tr>
        <w:tc>
          <w:tcPr/>
          <w:p>
            <w:pPr>
              <w:pStyle w:val="Compact"/>
              <w:jc w:val="left"/>
            </w:pPr>
            <w:r>
              <w:t xml:space="preserve">Edelman 2006, PMID 17003291</w:t>
            </w:r>
          </w:p>
        </w:tc>
        <w:tc>
          <w:tcPr/>
          <w:p>
            <w:pPr>
              <w:pStyle w:val="Compact"/>
              <w:jc w:val="left"/>
            </w:pPr>
            <w:r>
              <w:t xml:space="preserve">296 adultes atteints de diabète de type 1, insulinothérapie intensifiée</w:t>
            </w:r>
          </w:p>
        </w:tc>
        <w:tc>
          <w:tcPr/>
          <w:p>
            <w:pPr>
              <w:pStyle w:val="Compact"/>
              <w:jc w:val="left"/>
            </w:pPr>
            <w:r>
              <w:t xml:space="preserve">29 semaines</w:t>
            </w:r>
          </w:p>
        </w:tc>
        <w:tc>
          <w:tcPr/>
          <w:p>
            <w:pPr>
              <w:pStyle w:val="Compact"/>
              <w:jc w:val="left"/>
            </w:pPr>
            <w:r>
              <w:t xml:space="preserve">HbA1c identique (−0,5 pour les deux) ; poids −1,3 vs +1,2 kg ; insuline −28 %</w:t>
            </w:r>
          </w:p>
        </w:tc>
      </w:tr>
      <w:tr>
        <w:tc>
          <w:tcPr/>
          <w:p>
            <w:pPr>
              <w:pStyle w:val="Compact"/>
              <w:jc w:val="left"/>
            </w:pPr>
            <w:r>
              <w:t xml:space="preserve">Riddle 2007, PMID 17698615</w:t>
            </w:r>
          </w:p>
        </w:tc>
        <w:tc>
          <w:tcPr/>
          <w:p>
            <w:pPr>
              <w:pStyle w:val="Compact"/>
              <w:jc w:val="left"/>
            </w:pPr>
            <w:r>
              <w:t xml:space="preserve">212 adultes atteints de diabète de type 2 sous insuline basale, contre placebo</w:t>
            </w:r>
          </w:p>
        </w:tc>
        <w:tc>
          <w:tcPr/>
          <w:p>
            <w:pPr>
              <w:pStyle w:val="Compact"/>
              <w:jc w:val="left"/>
            </w:pPr>
            <w:r>
              <w:t xml:space="preserve">16 semaines</w:t>
            </w:r>
          </w:p>
        </w:tc>
        <w:tc>
          <w:tcPr/>
          <w:p>
            <w:pPr>
              <w:pStyle w:val="Compact"/>
              <w:jc w:val="left"/>
            </w:pPr>
            <w:r>
              <w:t xml:space="preserve">HbA1c −0,70 vs −0,36 ; poids −1,6 vs +0,7 kg</w:t>
            </w:r>
          </w:p>
        </w:tc>
      </w:tr>
      <w:tr>
        <w:tc>
          <w:tcPr/>
          <w:p>
            <w:pPr>
              <w:pStyle w:val="Compact"/>
              <w:jc w:val="left"/>
            </w:pPr>
            <w:r>
              <w:t xml:space="preserve">Smith 2008, PMID 18753666</w:t>
            </w:r>
          </w:p>
        </w:tc>
        <w:tc>
          <w:tcPr/>
          <w:p>
            <w:pPr>
              <w:pStyle w:val="Compact"/>
              <w:jc w:val="left"/>
            </w:pPr>
            <w:r>
              <w:t xml:space="preserve">411 adultes obèses, avec programme d’hygiène de vie</w:t>
            </w:r>
          </w:p>
        </w:tc>
        <w:tc>
          <w:tcPr/>
          <w:p>
            <w:pPr>
              <w:pStyle w:val="Compact"/>
              <w:jc w:val="left"/>
            </w:pPr>
            <w:r>
              <w:t xml:space="preserve">4 mois (+8 mois)</w:t>
            </w:r>
          </w:p>
        </w:tc>
        <w:tc>
          <w:tcPr/>
          <w:p>
            <w:pPr>
              <w:pStyle w:val="Compact"/>
              <w:jc w:val="left"/>
            </w:pPr>
            <w:r>
              <w:t xml:space="preserve">après 12 mois, jusqu’à −7,2 kg après correction par le placebo</w:t>
            </w:r>
          </w:p>
        </w:tc>
      </w:tr>
    </w:tbl>
    <w:bookmarkStart w:id="765" w:name="diabète-de-type-1"/>
    <w:p>
      <w:pPr>
        <w:pStyle w:val="Heading4"/>
      </w:pPr>
      <w:r>
        <w:t xml:space="preserve">Diabète de type 1</w:t>
      </w:r>
    </w:p>
    <w:p>
      <w:pPr>
        <w:pStyle w:val="FirstParagraph"/>
      </w:pPr>
      <w:r>
        <w:t xml:space="preserve">Les grandes études d’homologation ont duré un an. Dans l’étude de Whitehouse (2002, PMID 11919132) chez 480 personnes atteintes de diabète de type 1, l’HbA1c a baissé après 13 semaines de 0,67 point de pourcentage contre 0,16 sous placebo ; la différence est restée statistiquement significative jusqu’à la semaine 52. Les participants ont en moyenne perdu du poids au lieu d’en prendre, et le taux global d’hypoglycémies sévères n’était pas augmenté. Dans l’étude de Ratner (2004, PMID 15498087) avec 651 participants, l’effet était plus faible : −0,29 et −0,34 point de pourcentage contre −0,04.</w:t>
      </w:r>
    </w:p>
    <w:p>
      <w:pPr>
        <w:pStyle w:val="BodyText"/>
      </w:pPr>
      <w:r>
        <w:t xml:space="preserve">Ces effets sont modestes. Une méta-analyse en réseau de tous les traitements d’appoint du diabète de type 1, portant sur 58 études, a jugé la fiabilité des preuves majoritairement modérée à très faible et a constaté que le pramlintide – comme les agonistes du GLP-1 et la metformine – rend les nausées plus fréquentes</w:t>
      </w:r>
      <w:r>
        <w:rPr>
          <w:rStyle w:val="FootnoteReference"/>
        </w:rPr>
        <w:footnoteReference w:id="764"/>
      </w:r>
      <w:r>
        <w:t xml:space="preserve">.</w:t>
      </w:r>
    </w:p>
    <w:p>
      <w:pPr>
        <w:pStyle w:val="BodyText"/>
      </w:pPr>
      <w:r>
        <w:t xml:space="preserve">L’étude d’Edelman (2006, PMID 17003291) a apporté un enseignement important : lorsque la dose d’insuline prandiale était réduite par précaution de 30 à 50 % au début du traitement par pramlintide, l’HbA1c avait baissé de la même façon dans les deux groupes après 29 semaines (−0,5 chacun). Sous pramlintide, cependant, les pics glycémiques après les repas étaient plus faibles, le poids a baissé de 1,3 kg (placebo +1,2 kg) et il a fallu 28 % d’insuline en moins. Des nausées sont survenues chez 63 % (placebo 36 %).</w:t>
      </w:r>
    </w:p>
    <w:bookmarkEnd w:id="765"/>
    <w:bookmarkStart w:id="769" w:name="diabète-de-type-2"/>
    <w:p>
      <w:pPr>
        <w:pStyle w:val="Heading4"/>
      </w:pPr>
      <w:r>
        <w:t xml:space="preserve">Diabète de type 2</w:t>
      </w:r>
    </w:p>
    <w:p>
      <w:pPr>
        <w:pStyle w:val="FirstParagraph"/>
      </w:pPr>
      <w:r>
        <w:t xml:space="preserve">Dans le diabète de type 2 traité par insuline, le pramlintide a abaissé l’HbA1c de 0,62 point de pourcentage après un an, avec une perte de poids de 1,4 kg contre une prise de 0,7 kg sous placebo</w:t>
      </w:r>
      <w:r>
        <w:rPr>
          <w:rStyle w:val="FootnoteReference"/>
        </w:rPr>
        <w:footnoteReference w:id="766"/>
      </w:r>
      <w:r>
        <w:t xml:space="preserve">. En complément d’une insuline basale, il s’est montré, dans une étude en ouvert avec 113 participants, aussi efficace qu’une insuline prandiale rapide, mais sans entraîner de prise de poids (0,0 kg vs +4,7 kg) et avec moins d’hypoglycémies légères à modérées ; en revanche, 21 % se sont plaints de nausées</w:t>
      </w:r>
      <w:r>
        <w:rPr>
          <w:rStyle w:val="FootnoteReference"/>
        </w:rPr>
        <w:footnoteReference w:id="767"/>
      </w:r>
      <w:r>
        <w:t xml:space="preserve">.</w:t>
      </w:r>
    </w:p>
    <w:p>
      <w:pPr>
        <w:pStyle w:val="BodyText"/>
      </w:pPr>
      <w:r>
        <w:t xml:space="preserve">Une méta-analyse de huit études randomisées a montré dans le diabète de type 2 une baisse de l’HbA1c de 0,33 point de pourcentage et une perte de poids de 2,57 kg par rapport au contrôle ; les nausées étaient 1,8 fois plus fréquentes</w:t>
      </w:r>
      <w:r>
        <w:rPr>
          <w:rStyle w:val="FootnoteReference"/>
        </w:rPr>
        <w:footnoteReference w:id="768"/>
      </w:r>
      <w:r>
        <w:t xml:space="preserve">.</w:t>
      </w:r>
    </w:p>
    <w:bookmarkEnd w:id="769"/>
    <w:bookmarkStart w:id="773" w:name="obésité"/>
    <w:p>
      <w:pPr>
        <w:pStyle w:val="Heading4"/>
      </w:pPr>
      <w:r>
        <w:t xml:space="preserve">Obésité</w:t>
      </w:r>
    </w:p>
    <w:p>
      <w:pPr>
        <w:pStyle w:val="FirstParagraph"/>
      </w:pPr>
      <w:r>
        <w:t xml:space="preserve">Entre 2005 et 2010, le pramlintide a aussi été évalué comme médicament amaigrissant. Dans une étude de 16 semaines chez 204 personnes obèses, la perte de poids corrigée par le placebo était de 3,7 %</w:t>
      </w:r>
      <w:r>
        <w:rPr>
          <w:rStyle w:val="FootnoteReference"/>
        </w:rPr>
        <w:footnoteReference w:id="770"/>
      </w:r>
      <w:r>
        <w:t xml:space="preserve">. Associé à un programme d’hygiène de vie, presque tous les groupes de dose ont maintenu leur perte de poids sur douze mois ; après correction par le placebo, elle atteignait jusqu’à 7,2 kg, soit 6,8 %</w:t>
      </w:r>
      <w:r>
        <w:rPr>
          <w:rStyle w:val="FootnoteReference"/>
        </w:rPr>
        <w:footnoteReference w:id="771"/>
      </w:r>
      <w:r>
        <w:t xml:space="preserve">. Une association avec la métréleptine (un analogue de la leptine) a permis après 20 semaines une perte de poids de 12,7 % contre 8,4 % avec le pramlintide seul</w:t>
      </w:r>
      <w:r>
        <w:rPr>
          <w:rStyle w:val="FootnoteReference"/>
        </w:rPr>
        <w:footnoteReference w:id="772"/>
      </w:r>
      <w:r>
        <w:t xml:space="preserve">. Ce développement n’a pas été poursuivi jusqu’à l’autorisation.</w:t>
      </w:r>
    </w:p>
    <w:bookmarkEnd w:id="773"/>
    <w:bookmarkStart w:id="777" w:name="Xf951c2f4bc8c13553c2146a74d5101ac1f8dfb1"/>
    <w:p>
      <w:pPr>
        <w:pStyle w:val="Heading4"/>
      </w:pPr>
      <w:r>
        <w:t xml:space="preserve">Applications plus récentes : pancréas artificiel</w:t>
      </w:r>
    </w:p>
    <w:p>
      <w:pPr>
        <w:pStyle w:val="FirstParagraph"/>
      </w:pPr>
      <w:r>
        <w:t xml:space="preserve">Depuis 2015 environ, le pramlintide connaît une petite renaissance dans la recherche sur les systèmes automatisés de pompe à insuline. Dans une étude croisée randomisée, le temps passé dans la cible est passé de 74 % à 84 % avec un système délivrant, outre une insuline rapide, du pramlintide</w:t>
      </w:r>
      <w:r>
        <w:rPr>
          <w:rStyle w:val="FootnoteReference"/>
        </w:rPr>
        <w:footnoteReference w:id="774"/>
      </w:r>
      <w:r>
        <w:t xml:space="preserve">. Une petite étude pilote a examiné si un tel système pouvait rendre superflu le comptage des glucides ; les différences avec le traitement standard n’étaient pas statistiquement significatives</w:t>
      </w:r>
      <w:r>
        <w:rPr>
          <w:rStyle w:val="FootnoteReference"/>
        </w:rPr>
        <w:footnoteReference w:id="775"/>
      </w:r>
      <w:r>
        <w:t xml:space="preserve">. Un mélange fixe de pramlintide et d’une insuline (ADO09) a entraîné, dans une étude de 16 semaines chez 80 personnes atteintes de diabète de type 1, une perte de poids supérieure de 2,1 kg à celle de l’insuline lispro, avec une HbA1c inchangée</w:t>
      </w:r>
      <w:r>
        <w:rPr>
          <w:rStyle w:val="FootnoteReference"/>
        </w:rPr>
        <w:footnoteReference w:id="776"/>
      </w:r>
      <w:r>
        <w:t xml:space="preserve">.</w:t>
      </w:r>
    </w:p>
    <w:bookmarkEnd w:id="777"/>
    <w:bookmarkEnd w:id="778"/>
    <w:bookmarkStart w:id="781" w:name="études-animales-et-de-laboratoire-11"/>
    <w:p>
      <w:pPr>
        <w:pStyle w:val="Heading3"/>
      </w:pPr>
      <w:r>
        <w:t xml:space="preserve">Études animales et de laboratoire</w:t>
      </w:r>
    </w:p>
    <w:p>
      <w:pPr>
        <w:pStyle w:val="FirstParagraph"/>
      </w:pPr>
      <w:r>
        <w:t xml:space="preserve">Les bases de la recherche sur l’amyline proviennent d’études animales et de laboratoire qui ne sont pas présentées en détail ici. Chez les rongeurs, l’association de l’amyline et de la leptine a entraîné une perte de poids supra-additive</w:t>
      </w:r>
      <w:r>
        <w:rPr>
          <w:rStyle w:val="FootnoteReference"/>
        </w:rPr>
        <w:footnoteReference w:id="779"/>
      </w:r>
      <w:r>
        <w:t xml:space="preserve">. Dans des modèles murins, l’amyline a déclenché, comme le peptide messager de la migraine CGRP, une hypersensibilité et une photophobie</w:t>
      </w:r>
      <w:r>
        <w:rPr>
          <w:rStyle w:val="FootnoteReference"/>
        </w:rPr>
        <w:footnoteReference w:id="780"/>
      </w:r>
      <w:r>
        <w:t xml:space="preserve">.</w:t>
      </w:r>
    </w:p>
    <w:bookmarkEnd w:id="781"/>
    <w:bookmarkStart w:id="785" w:name="risques-et-effets-indésirables-11"/>
    <w:p>
      <w:pPr>
        <w:pStyle w:val="Heading3"/>
      </w:pPr>
      <w:r>
        <w:t xml:space="preserve">Risques et effets indésirables</w:t>
      </w:r>
    </w:p>
    <w:p>
      <w:pPr>
        <w:pStyle w:val="FirstParagraph"/>
      </w:pPr>
      <w:r>
        <w:rPr>
          <w:bCs/>
          <w:b/>
        </w:rPr>
        <w:t xml:space="preserve">Établi par les études :</w:t>
      </w:r>
    </w:p>
    <w:p>
      <w:pPr>
        <w:numPr>
          <w:ilvl w:val="0"/>
          <w:numId w:val="1097"/>
        </w:numPr>
        <w:pStyle w:val="Compact"/>
      </w:pPr>
      <w:r>
        <w:rPr>
          <w:bCs/>
          <w:b/>
        </w:rPr>
        <w:t xml:space="preserve">Nausées</w:t>
      </w:r>
      <w:r>
        <w:t xml:space="preserve"> </w:t>
      </w:r>
      <w:r>
        <w:t xml:space="preserve">: c’est l’effet indésirable le plus fréquent, surtout au cours des premières semaines ; selon les études, entre 9 % et 63 %</w:t>
      </w:r>
      <w:r>
        <w:rPr>
          <w:rStyle w:val="FootnoteReference"/>
        </w:rPr>
        <w:footnoteReference w:id="782"/>
      </w:r>
      <w:r>
        <w:t xml:space="preserve">.</w:t>
      </w:r>
    </w:p>
    <w:p>
      <w:pPr>
        <w:numPr>
          <w:ilvl w:val="0"/>
          <w:numId w:val="1097"/>
        </w:numPr>
        <w:pStyle w:val="Compact"/>
      </w:pPr>
      <w:r>
        <w:rPr>
          <w:bCs/>
          <w:b/>
        </w:rPr>
        <w:t xml:space="preserve">Hypoglycémie sévère</w:t>
      </w:r>
      <w:r>
        <w:t xml:space="preserve"> </w:t>
      </w:r>
      <w:r>
        <w:t xml:space="preserve">: c’est le risque le plus important. Le pramlintide lui-même abaisse à peine la glycémie, mais renforce l’effet de l’insuline injectée en même temps, car le sucre du repas arrive avec retard. Dans l’étude d’Edelman, les hypoglycémies sévères étaient plus fréquentes sous pramlintide que sous placebo (0,57 vs 0,30 événement par année-patient), en particulier chez les participants restés à une faible dose</w:t>
      </w:r>
      <w:r>
        <w:rPr>
          <w:rStyle w:val="FootnoteReference"/>
        </w:rPr>
        <w:footnoteReference w:id="783"/>
      </w:r>
      <w:r>
        <w:t xml:space="preserve">. Aux États-Unis, le médicament porte donc un avertissement marqué ; une réduction de la dose d’insuline prandiale est prévue avant le début du traitement – les détails figurent dans le résumé des caractéristiques du produit, et la mise en œuvre relève du médecin.</w:t>
      </w:r>
    </w:p>
    <w:p>
      <w:pPr>
        <w:numPr>
          <w:ilvl w:val="0"/>
          <w:numId w:val="1097"/>
        </w:numPr>
        <w:pStyle w:val="Compact"/>
      </w:pPr>
      <w:r>
        <w:rPr>
          <w:bCs/>
          <w:b/>
        </w:rPr>
        <w:t xml:space="preserve">Céphalées et migraine :</w:t>
      </w:r>
      <w:r>
        <w:t xml:space="preserve"> </w:t>
      </w:r>
      <w:r>
        <w:t xml:space="preserve">dans une étude expérimentale chez 36 personnes migraineuses, 88 % ont eu des céphalées et 41 % une crise de type migraineux après une perfusion de pramlintide</w:t>
      </w:r>
      <w:r>
        <w:rPr>
          <w:rStyle w:val="FootnoteReference"/>
        </w:rPr>
        <w:footnoteReference w:id="784"/>
      </w:r>
      <w:r>
        <w:t xml:space="preserve">. Cette étude utilisait une perfusion à des fins de recherche ; elle montre toutefois que les récepteurs de l’amyline jouent un rôle dans la migraine. Ce résultat est également pertinent pour les nouveaux médicaments à base d’amyline à action prolongée.</w:t>
      </w:r>
    </w:p>
    <w:p>
      <w:pPr>
        <w:numPr>
          <w:ilvl w:val="0"/>
          <w:numId w:val="1097"/>
        </w:numPr>
        <w:pStyle w:val="Compact"/>
      </w:pPr>
      <w:r>
        <w:rPr>
          <w:bCs/>
          <w:b/>
        </w:rPr>
        <w:t xml:space="preserve">Interactions :</w:t>
      </w:r>
      <w:r>
        <w:t xml:space="preserve"> </w:t>
      </w:r>
      <w:r>
        <w:t xml:space="preserve">comme le pramlintide retarde la vidange gastrique, l’absorption de comprimés dont l’action rapide est importante peut être retardée (résumé des caractéristiques du produit).</w:t>
      </w:r>
    </w:p>
    <w:bookmarkEnd w:id="785"/>
    <w:bookmarkStart w:id="786" w:name="statut-juridique-11"/>
    <w:p>
      <w:pPr>
        <w:pStyle w:val="Heading3"/>
      </w:pPr>
      <w:r>
        <w:t xml:space="preserve">Statut juridique</w:t>
      </w:r>
    </w:p>
    <w:p>
      <w:pPr>
        <w:numPr>
          <w:ilvl w:val="0"/>
          <w:numId w:val="1098"/>
        </w:numPr>
        <w:pStyle w:val="Compact"/>
      </w:pPr>
      <w:r>
        <w:rPr>
          <w:bCs/>
          <w:b/>
        </w:rPr>
        <w:t xml:space="preserve">UE / Autriche / Allemagne :</w:t>
      </w:r>
      <w:r>
        <w:t xml:space="preserve"> </w:t>
      </w:r>
      <w:r>
        <w:t xml:space="preserve">non autorisé. En Europe, le pramlintide n’est envisageable que par importation individuelle pour certains patients et ne joue pratiquement aucun rôle.</w:t>
      </w:r>
    </w:p>
    <w:p>
      <w:pPr>
        <w:numPr>
          <w:ilvl w:val="0"/>
          <w:numId w:val="1098"/>
        </w:numPr>
        <w:pStyle w:val="Compact"/>
      </w:pPr>
      <w:r>
        <w:rPr>
          <w:bCs/>
          <w:b/>
        </w:rPr>
        <w:t xml:space="preserve">États-Unis :</w:t>
      </w:r>
      <w:r>
        <w:t xml:space="preserve"> </w:t>
      </w:r>
      <w:r>
        <w:t xml:space="preserve">autorisé depuis 2005 (Symlin) en complément de l’insuline prandiale dans le diabète de type 1 et de type 2 ; soumis à prescription. Il n’est pas autorisé dans l’obésité sans diabète.</w:t>
      </w:r>
    </w:p>
    <w:p>
      <w:pPr>
        <w:numPr>
          <w:ilvl w:val="0"/>
          <w:numId w:val="1098"/>
        </w:numPr>
        <w:pStyle w:val="Compact"/>
      </w:pPr>
      <w:r>
        <w:rPr>
          <w:bCs/>
          <w:b/>
        </w:rPr>
        <w:t xml:space="preserve">Sport :</w:t>
      </w:r>
      <w:r>
        <w:t xml:space="preserve"> </w:t>
      </w:r>
      <w:r>
        <w:t xml:space="preserve">non mentionné sur la liste de la WADA (état 2026, à vérifier).</w:t>
      </w:r>
    </w:p>
    <w:bookmarkEnd w:id="786"/>
    <w:bookmarkStart w:id="791" w:name="études-en-cours-et-perspectives-11"/>
    <w:p>
      <w:pPr>
        <w:pStyle w:val="Heading3"/>
      </w:pPr>
      <w:r>
        <w:t xml:space="preserve">Études en cours et perspectives</w:t>
      </w:r>
    </w:p>
    <w:p>
      <w:pPr>
        <w:pStyle w:val="FirstParagraph"/>
      </w:pPr>
      <w:r>
        <w:rPr>
          <w:bCs/>
          <w:b/>
        </w:rPr>
        <w:t xml:space="preserve">Établi (études enregistrées, état octobre 2026) :</w:t>
      </w:r>
      <w:r>
        <w:t xml:space="preserve"> </w:t>
      </w:r>
      <w:r>
        <w:t xml:space="preserve">les nouvelles études avec le pramlintide sont principalement de petites études fondamentales, par exemple sur le rôle de l’amyline dans la migraine sans aura</w:t>
      </w:r>
      <w:r>
        <w:rPr>
          <w:rStyle w:val="FootnoteReference"/>
        </w:rPr>
        <w:footnoteReference w:id="787"/>
      </w:r>
      <w:r>
        <w:t xml:space="preserve">, dans les céphalées après traumatisme crânien</w:t>
      </w:r>
      <w:r>
        <w:rPr>
          <w:rStyle w:val="FootnoteReference"/>
        </w:rPr>
        <w:footnoteReference w:id="788"/>
      </w:r>
      <w:r>
        <w:t xml:space="preserve"> </w:t>
      </w:r>
      <w:r>
        <w:t xml:space="preserve">et sur la satiété</w:t>
      </w:r>
      <w:r>
        <w:rPr>
          <w:rStyle w:val="FootnoteReference"/>
        </w:rPr>
        <w:footnoteReference w:id="789"/>
      </w:r>
      <w:r>
        <w:t xml:space="preserve">. Les auteurs de l’étude pilote sur la pompe à insuline avec pramlintide annoncent une étude plus grande</w:t>
      </w:r>
      <w:r>
        <w:rPr>
          <w:rStyle w:val="FootnoteReference"/>
        </w:rPr>
        <w:footnoteReference w:id="790"/>
      </w:r>
      <w:r>
        <w:t xml:space="preserve">.</w:t>
      </w:r>
    </w:p>
    <w:p>
      <w:pPr>
        <w:pStyle w:val="BodyText"/>
      </w:pPr>
      <w:r>
        <w:rPr>
          <w:bCs/>
          <w:b/>
        </w:rPr>
        <w:t xml:space="preserve">Appréciation :</w:t>
      </w:r>
      <w:r>
        <w:t xml:space="preserve"> </w:t>
      </w:r>
      <w:r>
        <w:t xml:space="preserve">en tant que médicament, le pramlintide est resté un produit de niche – trop d’injections, trop de nausées, un effet trop faible sur l’HbA1c. Son rôle le plus important est sans doute celui de précurseur : les analogues de l’amyline à action prolongée de nouvelle génération (cagrilintide, amycrétine, éloralintide et autres) s’appuient sur l’expérience acquise avec lui. Il pourrait garder un petit rôle dans la recherche sur les systèmes bihormonaux dans le diabète de type 1.</w:t>
      </w:r>
    </w:p>
    <w:bookmarkEnd w:id="791"/>
    <w:bookmarkStart w:id="792" w:name="conclusion-11"/>
    <w:p>
      <w:pPr>
        <w:pStyle w:val="Heading3"/>
      </w:pPr>
      <w:r>
        <w:t xml:space="preserve">Conclusion</w:t>
      </w:r>
    </w:p>
    <w:p>
      <w:pPr>
        <w:pStyle w:val="FirstParagraph"/>
      </w:pPr>
      <w:r>
        <w:t xml:space="preserve">Le pramlintide est le premier médicament à base d’amyline ; il est autorisé depuis 2005 aux États-Unis, mais pas dans l’UE, en complément de l’insuline. Dans de grandes études, il n’a abaissé l’HbA1c que d’environ 0,3 à 0,7 point de pourcentage, mais a empêché la prise de poids typique de l’insuline et lissé les pics glycémiques après les repas. Les nausées sont fréquentes, et en association avec l’insuline il existe un risque notable d’hypoglycémies sévères. Aujourd’hui, le pramlintide présente surtout un intérêt en tant que précurseur des nouveaux médicaments à base d’amyline à action prolongée.</w:t>
      </w:r>
    </w:p>
    <w:bookmarkEnd w:id="792"/>
    <w:bookmarkEnd w:id="793"/>
    <w:bookmarkStart w:id="830" w:name="setmélanotide"/>
    <w:p>
      <w:pPr>
        <w:pStyle w:val="Heading2"/>
      </w:pPr>
      <w:r>
        <w:t xml:space="preserve">Setmélanotide</w:t>
      </w:r>
    </w:p>
    <w:bookmarkStart w:id="795" w:name="fiche-signalétique-12"/>
    <w:p>
      <w:pPr>
        <w:pStyle w:val="Heading3"/>
      </w:pPr>
      <w:r>
        <w:t xml:space="preserve">Fiche signalétique</w:t>
      </w:r>
    </w:p>
    <w:p>
      <w:pPr>
        <w:numPr>
          <w:ilvl w:val="0"/>
          <w:numId w:val="1099"/>
        </w:numPr>
        <w:pStyle w:val="Compact"/>
      </w:pPr>
      <w:r>
        <w:rPr>
          <w:bCs/>
          <w:b/>
        </w:rPr>
        <w:t xml:space="preserve">Type/structure :</w:t>
      </w:r>
      <w:r>
        <w:t xml:space="preserve"> </w:t>
      </w:r>
      <w:r>
        <w:t xml:space="preserve">petit peptide de synthèse fermé en anneau (cyclique) qui imite le messager endogène alpha-MSH. Administration sous-cutanée une fois par jour. Ancien code de développement RM-493.</w:t>
      </w:r>
    </w:p>
    <w:p>
      <w:pPr>
        <w:numPr>
          <w:ilvl w:val="0"/>
          <w:numId w:val="1099"/>
        </w:numPr>
        <w:pStyle w:val="Compact"/>
      </w:pPr>
      <w:r>
        <w:rPr>
          <w:bCs/>
          <w:b/>
        </w:rPr>
        <w:t xml:space="preserve">Origine :</w:t>
      </w:r>
      <w:r>
        <w:t xml:space="preserve"> </w:t>
      </w:r>
      <w:r>
        <w:t xml:space="preserve">développé par Rhythm Pharmaceuticals ; nom commercial Imcivree.</w:t>
      </w:r>
    </w:p>
    <w:p>
      <w:pPr>
        <w:numPr>
          <w:ilvl w:val="0"/>
          <w:numId w:val="1099"/>
        </w:numPr>
        <w:pStyle w:val="Compact"/>
      </w:pPr>
      <w:r>
        <w:rPr>
          <w:bCs/>
          <w:b/>
        </w:rPr>
        <w:t xml:space="preserve">Principe d’action :</w:t>
      </w:r>
      <w:r>
        <w:t xml:space="preserve"> </w:t>
      </w:r>
      <w:r>
        <w:t xml:space="preserve">agoniste du récepteur de la mélanocortine de type 4 (MC4R) dans l’hypothalamus, un centre de commande essentiel de la faim et de la satiété.</w:t>
      </w:r>
    </w:p>
    <w:p>
      <w:pPr>
        <w:numPr>
          <w:ilvl w:val="0"/>
          <w:numId w:val="1099"/>
        </w:numPr>
        <w:pStyle w:val="Compact"/>
      </w:pPr>
      <w:r>
        <w:rPr>
          <w:bCs/>
          <w:b/>
        </w:rPr>
        <w:t xml:space="preserve">Autorisation UE :</w:t>
      </w:r>
      <w:r>
        <w:t xml:space="preserve"> </w:t>
      </w:r>
      <w:r>
        <w:t xml:space="preserve">oui (Imcivree) dans l’obésité liée à un déficit génétiquement confirmé en POMC, en PCSK1 ou en récepteur de la leptine, ainsi que dans le syndrome de Bardet-Biedl.</w:t>
      </w:r>
    </w:p>
    <w:p>
      <w:pPr>
        <w:numPr>
          <w:ilvl w:val="0"/>
          <w:numId w:val="1099"/>
        </w:numPr>
        <w:pStyle w:val="Compact"/>
      </w:pPr>
      <w:r>
        <w:rPr>
          <w:bCs/>
          <w:b/>
        </w:rPr>
        <w:t xml:space="preserve">Autorisation États-Unis :</w:t>
      </w:r>
      <w:r>
        <w:t xml:space="preserve"> </w:t>
      </w:r>
      <w:r>
        <w:t xml:space="preserve">oui (Imcivree), pour la première fois en 2020, pour les mêmes formes génétiques rares</w:t>
      </w:r>
      <w:r>
        <w:rPr>
          <w:rStyle w:val="FootnoteReference"/>
        </w:rPr>
        <w:footnoteReference w:id="794"/>
      </w:r>
      <w:r>
        <w:t xml:space="preserve">.</w:t>
      </w:r>
    </w:p>
    <w:p>
      <w:pPr>
        <w:numPr>
          <w:ilvl w:val="0"/>
          <w:numId w:val="1099"/>
        </w:numPr>
        <w:pStyle w:val="Compact"/>
      </w:pPr>
      <w:r>
        <w:rPr>
          <w:bCs/>
          <w:b/>
        </w:rPr>
        <w:t xml:space="preserve">AMA (WADA) :</w:t>
      </w:r>
      <w:r>
        <w:t xml:space="preserve"> </w:t>
      </w:r>
      <w:r>
        <w:t xml:space="preserve">non cité nommément ; en tant que médicament autorisé, ne relève pas de S0.</w:t>
      </w:r>
    </w:p>
    <w:p>
      <w:pPr>
        <w:numPr>
          <w:ilvl w:val="0"/>
          <w:numId w:val="1099"/>
        </w:numPr>
        <w:pStyle w:val="Compact"/>
      </w:pPr>
      <w:r>
        <w:rPr>
          <w:bCs/>
          <w:b/>
        </w:rPr>
        <w:t xml:space="preserve">Niveau de preuve :</w:t>
      </w:r>
      <w:r>
        <w:t xml:space="preserve"> </w:t>
      </w:r>
      <w:r>
        <w:rPr>
          <w:bCs/>
          <w:b/>
        </w:rPr>
        <w:t xml:space="preserve">A</w:t>
      </w:r>
      <w:r>
        <w:t xml:space="preserve"> </w:t>
      </w:r>
      <w:r>
        <w:t xml:space="preserve">– autorisation sur la base d’études de phase 3 ; en raison de la rareté des maladies, les études sont toutefois petites et en partie non contrôlées.</w:t>
      </w:r>
    </w:p>
    <w:bookmarkEnd w:id="795"/>
    <w:bookmarkStart w:id="796" w:name="mode-daction-supposé-12"/>
    <w:p>
      <w:pPr>
        <w:pStyle w:val="Heading3"/>
      </w:pPr>
      <w:r>
        <w:t xml:space="preserve">Mode d’action supposé</w:t>
      </w:r>
    </w:p>
    <w:p>
      <w:pPr>
        <w:pStyle w:val="FirstParagraph"/>
      </w:pPr>
      <w:r>
        <w:t xml:space="preserve">Le setmélanotide se distingue fondamentalement de toutes les autres substances de cette partie. Ce n’est pas un médicament amaigrissant généraliste, mais un traitement ciblé pour les personnes chez qui une chaîne de signalisation particulière du cerveau est défectueuse.</w:t>
      </w:r>
    </w:p>
    <w:p>
      <w:pPr>
        <w:pStyle w:val="BodyText"/>
      </w:pPr>
      <w:r>
        <w:t xml:space="preserve">Cette chaîne s’appelle la voie leptine-mélanocortine. En simplifiant : le tissu adipeux sécrète l’hormone leptine. La leptine agit dans l’hypothalamus sur des neurones qui fabriquent, à partir d’une molécule précurseur appelée POMC, le messager alpha-MSH. Cette fabrication nécessite une enzyme appelée PCSK1. L’alpha-MSH active finalement le récepteur MC4 – et le signal est : « Assez mangé. »</w:t>
      </w:r>
    </w:p>
    <w:p>
      <w:pPr>
        <w:pStyle w:val="BodyText"/>
      </w:pPr>
      <w:r>
        <w:t xml:space="preserve">Si l’un de ces maillons fait défaut en raison d’une modification génétique congénitale, il en résulte une faim tourmentante et insatiable (hyperphagie) qui conduit dès la petite enfance à une obésité sévère. Le régime et l’activité physique seuls n’y peuvent pas grand-chose. Le setmélanotide intervient à l’extrémité de la chaîne et active directement le récepteur MC4 – il court-circuite en quelque sorte les maillons défectueux situés en amont.</w:t>
      </w:r>
    </w:p>
    <w:p>
      <w:pPr>
        <w:pStyle w:val="BodyText"/>
      </w:pPr>
      <w:r>
        <w:t xml:space="preserve">Le setmélanotide agit en outre sur le récepteur de la mélanocortine de type 1, étroitement apparenté, dans la peau. Cela explique l’effet indésirable le plus fréquent : un brunissement de la peau (voir ci-dessous) – et cela rapproche le setmélanotide des peptides bronzants comme le mélanotan II et l’afamélanotide (partie II, groupe E).</w:t>
      </w:r>
    </w:p>
    <w:bookmarkEnd w:id="796"/>
    <w:bookmarkStart w:id="812" w:name="études-chez-lhumain-12"/>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15 études chez l’humain. Sur ClinicalTrials.gov, 27 études étaient enregistrées. En raison de la rareté des maladies ciblées, les études ne comptent souvent que 10 à 40 participants ; la plus grande étude randomisée publiée (sur l’obésité hypothalamique) a inclus 120 personnes.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Kühnen 2016, PMID 27468060</w:t>
            </w:r>
          </w:p>
        </w:tc>
        <w:tc>
          <w:tcPr/>
          <w:p>
            <w:pPr>
              <w:pStyle w:val="Compact"/>
              <w:jc w:val="left"/>
            </w:pPr>
            <w:r>
              <w:t xml:space="preserve">2 personnes avec déficit en POMC, en ouvert</w:t>
            </w:r>
          </w:p>
        </w:tc>
        <w:tc>
          <w:tcPr/>
          <w:p>
            <w:pPr>
              <w:pStyle w:val="Compact"/>
              <w:jc w:val="left"/>
            </w:pPr>
            <w:r>
              <w:t xml:space="preserve">12 et 42 semaines</w:t>
            </w:r>
          </w:p>
        </w:tc>
        <w:tc>
          <w:tcPr/>
          <w:p>
            <w:pPr>
              <w:pStyle w:val="Compact"/>
              <w:jc w:val="left"/>
            </w:pPr>
            <w:r>
              <w:t xml:space="preserve">−20,5 kg et −51,0 kg ; moins de faim</w:t>
            </w:r>
          </w:p>
        </w:tc>
      </w:tr>
      <w:tr>
        <w:tc>
          <w:tcPr/>
          <w:p>
            <w:pPr>
              <w:pStyle w:val="Compact"/>
              <w:jc w:val="left"/>
            </w:pPr>
            <w:r>
              <w:t xml:space="preserve">Clément 2020 (POMC/LEPR), PMID 33137293</w:t>
            </w:r>
          </w:p>
        </w:tc>
        <w:tc>
          <w:tcPr/>
          <w:p>
            <w:pPr>
              <w:pStyle w:val="Compact"/>
              <w:jc w:val="left"/>
            </w:pPr>
            <w:r>
              <w:t xml:space="preserve">10 personnes avec déficit en POMC et 11 avec déficit en LEPR ; un seul bras, avec phase d’arrêt</w:t>
            </w:r>
          </w:p>
        </w:tc>
        <w:tc>
          <w:tcPr/>
          <w:p>
            <w:pPr>
              <w:pStyle w:val="Compact"/>
              <w:jc w:val="left"/>
            </w:pPr>
            <w:r>
              <w:t xml:space="preserve">environ 1 an</w:t>
            </w:r>
          </w:p>
        </w:tc>
        <w:tc>
          <w:tcPr/>
          <w:p>
            <w:pPr>
              <w:pStyle w:val="Compact"/>
              <w:jc w:val="left"/>
            </w:pPr>
            <w:r>
              <w:t xml:space="preserve">perte de poids ≥10 % chez 80 % (POMC) et 45 % (LEPR)</w:t>
            </w:r>
          </w:p>
        </w:tc>
      </w:tr>
      <w:tr>
        <w:tc>
          <w:tcPr/>
          <w:p>
            <w:pPr>
              <w:pStyle w:val="Compact"/>
              <w:jc w:val="left"/>
            </w:pPr>
            <w:r>
              <w:t xml:space="preserve">Haqq 2022 (BBS/Alström), PMID 36356613</w:t>
            </w:r>
          </w:p>
        </w:tc>
        <w:tc>
          <w:tcPr/>
          <w:p>
            <w:pPr>
              <w:pStyle w:val="Compact"/>
              <w:jc w:val="left"/>
            </w:pPr>
            <w:r>
              <w:t xml:space="preserve">38 personnes avec syndrome de Bardet-Biedl ou d’Alström ; 14 semaines contre placebo, puis en ouvert</w:t>
            </w:r>
          </w:p>
        </w:tc>
        <w:tc>
          <w:tcPr/>
          <w:p>
            <w:pPr>
              <w:pStyle w:val="Compact"/>
              <w:jc w:val="left"/>
            </w:pPr>
            <w:r>
              <w:t xml:space="preserve">66 semaines</w:t>
            </w:r>
          </w:p>
        </w:tc>
        <w:tc>
          <w:tcPr/>
          <w:p>
            <w:pPr>
              <w:pStyle w:val="Compact"/>
              <w:jc w:val="left"/>
            </w:pPr>
            <w:r>
              <w:t xml:space="preserve">perte de poids ≥10 % chez 32,3 % des patients BBS de 12 ans et plus</w:t>
            </w:r>
          </w:p>
        </w:tc>
      </w:tr>
      <w:tr>
        <w:tc>
          <w:tcPr/>
          <w:p>
            <w:pPr>
              <w:pStyle w:val="Compact"/>
              <w:jc w:val="left"/>
            </w:pPr>
            <w:r>
              <w:t xml:space="preserve">VENTURE (Argente 2025), PMID 39549719</w:t>
            </w:r>
          </w:p>
        </w:tc>
        <w:tc>
          <w:tcPr/>
          <w:p>
            <w:pPr>
              <w:pStyle w:val="Compact"/>
              <w:jc w:val="left"/>
            </w:pPr>
            <w:r>
              <w:t xml:space="preserve">12 enfants de 2 à 5 ans, en ouvert</w:t>
            </w:r>
          </w:p>
        </w:tc>
        <w:tc>
          <w:tcPr/>
          <w:p>
            <w:pPr>
              <w:pStyle w:val="Compact"/>
              <w:jc w:val="left"/>
            </w:pPr>
            <w:r>
              <w:t xml:space="preserve">52 semaines</w:t>
            </w:r>
          </w:p>
        </w:tc>
        <w:tc>
          <w:tcPr/>
          <w:p>
            <w:pPr>
              <w:pStyle w:val="Compact"/>
              <w:jc w:val="left"/>
            </w:pPr>
            <w:r>
              <w:t xml:space="preserve">IMC −18 % en moyenne</w:t>
            </w:r>
          </w:p>
        </w:tc>
      </w:tr>
      <w:tr>
        <w:tc>
          <w:tcPr/>
          <w:p>
            <w:pPr>
              <w:pStyle w:val="Compact"/>
              <w:jc w:val="left"/>
            </w:pPr>
            <w:r>
              <w:t xml:space="preserve">Roth 2024 (obésité hypothalamique), PMID 38697184</w:t>
            </w:r>
          </w:p>
        </w:tc>
        <w:tc>
          <w:tcPr/>
          <w:p>
            <w:pPr>
              <w:pStyle w:val="Compact"/>
              <w:jc w:val="left"/>
            </w:pPr>
            <w:r>
              <w:t xml:space="preserve">18 personnes, en ouvert</w:t>
            </w:r>
          </w:p>
        </w:tc>
        <w:tc>
          <w:tcPr/>
          <w:p>
            <w:pPr>
              <w:pStyle w:val="Compact"/>
              <w:jc w:val="left"/>
            </w:pPr>
            <w:r>
              <w:t xml:space="preserve">16 semaines</w:t>
            </w:r>
          </w:p>
        </w:tc>
        <w:tc>
          <w:tcPr/>
          <w:p>
            <w:pPr>
              <w:pStyle w:val="Compact"/>
              <w:jc w:val="left"/>
            </w:pPr>
            <w:r>
              <w:t xml:space="preserve">IMC −15 % en moyenne</w:t>
            </w:r>
          </w:p>
        </w:tc>
      </w:tr>
      <w:tr>
        <w:tc>
          <w:tcPr/>
          <w:p>
            <w:pPr>
              <w:pStyle w:val="Compact"/>
              <w:jc w:val="left"/>
            </w:pPr>
            <w:r>
              <w:t xml:space="preserve">TRANSCEND (Miller 2026), PMID 42418774</w:t>
            </w:r>
          </w:p>
        </w:tc>
        <w:tc>
          <w:tcPr/>
          <w:p>
            <w:pPr>
              <w:pStyle w:val="Compact"/>
              <w:jc w:val="left"/>
            </w:pPr>
            <w:r>
              <w:t xml:space="preserve">120 personnes avec obésité hypothalamique acquise, contre placebo</w:t>
            </w:r>
          </w:p>
        </w:tc>
        <w:tc>
          <w:tcPr/>
          <w:p>
            <w:pPr>
              <w:pStyle w:val="Compact"/>
              <w:jc w:val="left"/>
            </w:pPr>
            <w:r>
              <w:t xml:space="preserve">52 semaines</w:t>
            </w:r>
          </w:p>
        </w:tc>
        <w:tc>
          <w:tcPr/>
          <w:p>
            <w:pPr>
              <w:pStyle w:val="Compact"/>
              <w:jc w:val="left"/>
            </w:pPr>
            <w:r>
              <w:t xml:space="preserve">IMC −16,5 % vs +3,3 %</w:t>
            </w:r>
          </w:p>
        </w:tc>
      </w:tr>
    </w:tbl>
    <w:bookmarkStart w:id="800" w:name="X7aecf8dd4367416c15e38383a90bfeeba7bf6d6"/>
    <w:p>
      <w:pPr>
        <w:pStyle w:val="Heading4"/>
      </w:pPr>
      <w:r>
        <w:t xml:space="preserve">Déficit en POMC, en PCSK1 et en récepteur de la leptine</w:t>
      </w:r>
    </w:p>
    <w:p>
      <w:pPr>
        <w:pStyle w:val="FirstParagraph"/>
      </w:pPr>
      <w:r>
        <w:t xml:space="preserve">Les premiers rapports étaient des cas isolés : deux patients avec déficit en POMC ont perdu, dans une étude initiée par des médecins, 51,0 kg en 42 semaines et 20,5 kg en 12 semaines, et leur faim a durablement diminué</w:t>
      </w:r>
      <w:r>
        <w:rPr>
          <w:rStyle w:val="FootnoteReference"/>
        </w:rPr>
        <w:footnoteReference w:id="797"/>
      </w:r>
      <w:r>
        <w:t xml:space="preserve">. Des résultats similaires ont été décrits chez trois personnes avec déficit en récepteur de la leptine</w:t>
      </w:r>
      <w:r>
        <w:rPr>
          <w:rStyle w:val="FootnoteReference"/>
        </w:rPr>
        <w:footnoteReference w:id="798"/>
      </w:r>
      <w:r>
        <w:t xml:space="preserve">.</w:t>
      </w:r>
    </w:p>
    <w:p>
      <w:pPr>
        <w:pStyle w:val="BodyText"/>
      </w:pPr>
      <w:r>
        <w:t xml:space="preserve">Les études d’homologation</w:t>
      </w:r>
      <w:r>
        <w:rPr>
          <w:rStyle w:val="FootnoteReference"/>
        </w:rPr>
        <w:footnoteReference w:id="799"/>
      </w:r>
      <w:r>
        <w:t xml:space="preserve"> </w:t>
      </w:r>
      <w:r>
        <w:t xml:space="preserve">étaient à un seul bras – il n’y avait donc pas de groupe placebo sur toute la durée –, mais comportaient une courte phase d’arrêt en aveugle. Après environ un an, 8 personnes sur 10 avec déficit en POMC et 5 sur 11 avec déficit en récepteur de la leptine avaient perdu au moins 10 % de leur poids. La faim, sur une échelle de 0 à 10, a diminué de 27,1 % et 43,7 % respectivement. Pour des maladies aussi rares, de petites études non contrôlées sont souvent la seule option réalisable. Dans une maladie où, sans traitement, on ne peut pratiquement s’attendre à aucune perte de poids, les résultats sont néanmoins probants.</w:t>
      </w:r>
    </w:p>
    <w:bookmarkEnd w:id="800"/>
    <w:bookmarkStart w:id="803" w:name="syndrome-de-bardet-biedl"/>
    <w:p>
      <w:pPr>
        <w:pStyle w:val="Heading4"/>
      </w:pPr>
      <w:r>
        <w:t xml:space="preserve">Syndrome de Bardet-Biedl</w:t>
      </w:r>
    </w:p>
    <w:p>
      <w:pPr>
        <w:pStyle w:val="FirstParagraph"/>
      </w:pPr>
      <w:r>
        <w:t xml:space="preserve">Le syndrome de Bardet-Biedl (BBS) est une maladie héréditaire rare dans laquelle les fins prolongements cellulaires (cils) sont perturbés ; outre des atteintes rétiniennes, des problèmes rénaux et des doigts ou orteils surnuméraires, il comporte une faim intense et une obésité. Dans l’étude de phase 3</w:t>
      </w:r>
      <w:r>
        <w:rPr>
          <w:rStyle w:val="FootnoteReference"/>
        </w:rPr>
        <w:footnoteReference w:id="801"/>
      </w:r>
      <w:r>
        <w:t xml:space="preserve">, 32,3 % des personnes atteintes de BBS âgées de 12 ans et plus ont atteint après 52 semaines une perte de poids d’au moins 10 %. Dans le syndrome d’Alström, apparenté, les résultats n’étaient pas univoques. Une comparaison avec un groupe témoin apparié issu d’un registre BBS a montré que 58,6 % des patients traités contre 6,9 % des patients non traités atteignaient le critère de succès respectif</w:t>
      </w:r>
      <w:r>
        <w:rPr>
          <w:rStyle w:val="FootnoteReference"/>
        </w:rPr>
        <w:footnoteReference w:id="802"/>
      </w:r>
      <w:r>
        <w:t xml:space="preserve"> </w:t>
      </w:r>
      <w:r>
        <w:t xml:space="preserve">– une mise en perspective indirecte, mais utile.</w:t>
      </w:r>
    </w:p>
    <w:bookmarkEnd w:id="803"/>
    <w:bookmarkStart w:id="805" w:name="jeunes-enfants"/>
    <w:p>
      <w:pPr>
        <w:pStyle w:val="Heading4"/>
      </w:pPr>
      <w:r>
        <w:t xml:space="preserve">Jeunes enfants</w:t>
      </w:r>
    </w:p>
    <w:p>
      <w:pPr>
        <w:pStyle w:val="FirstParagraph"/>
      </w:pPr>
      <w:r>
        <w:t xml:space="preserve">Dans l’étude ouverte VENTURE, menée chez 12 enfants âgés de 2 à 5 ans, l’IMC a baissé en moyenne de 18 % après un an : de 26 % en cas de déficit en POMC ou en récepteur de la leptine et de 10 % en cas de BBS. 91 % des personnes qui s’occupaient des enfants ont rapporté que ceux-ci avaient moins faim</w:t>
      </w:r>
      <w:r>
        <w:rPr>
          <w:rStyle w:val="FootnoteReference"/>
        </w:rPr>
        <w:footnoteReference w:id="804"/>
      </w:r>
      <w:r>
        <w:t xml:space="preserve">.</w:t>
      </w:r>
    </w:p>
    <w:bookmarkEnd w:id="805"/>
    <w:bookmarkStart w:id="808" w:name="obésité-hypothalamique"/>
    <w:p>
      <w:pPr>
        <w:pStyle w:val="Heading4"/>
      </w:pPr>
      <w:r>
        <w:t xml:space="preserve">Obésité hypothalamique</w:t>
      </w:r>
    </w:p>
    <w:p>
      <w:pPr>
        <w:pStyle w:val="FirstParagraph"/>
      </w:pPr>
      <w:r>
        <w:t xml:space="preserve">Un second groupe cible, plus fréquent, est constitué des personnes dont l’hypothalamus a été lésé par une tumeur (souvent un craniopharyngiome), une opération ou une radiothérapie. Elles développent souvent une obésité difficile à traiter. Après une étude de phase 2 en ouvert avec 18 personnes, dans laquelle l’IMC a baissé en moyenne de 15 % après 16 semaines</w:t>
      </w:r>
      <w:r>
        <w:rPr>
          <w:rStyle w:val="FootnoteReference"/>
        </w:rPr>
        <w:footnoteReference w:id="806"/>
      </w:r>
      <w:r>
        <w:t xml:space="preserve">, a suivi l’étude randomisée de phase 3 TRANSCEND</w:t>
      </w:r>
      <w:r>
        <w:rPr>
          <w:rStyle w:val="FootnoteReference"/>
        </w:rPr>
        <w:footnoteReference w:id="807"/>
      </w:r>
      <w:r>
        <w:t xml:space="preserve"> </w:t>
      </w:r>
      <w:r>
        <w:t xml:space="preserve">:</w:t>
      </w:r>
    </w:p>
    <w:p>
      <w:pPr>
        <w:numPr>
          <w:ilvl w:val="0"/>
          <w:numId w:val="1100"/>
        </w:numPr>
        <w:pStyle w:val="Compact"/>
      </w:pPr>
      <w:r>
        <w:t xml:space="preserve">120 personnes âgées de 4 à 66 ans, rapport 2:1 setmélanotide/placebo.</w:t>
      </w:r>
    </w:p>
    <w:p>
      <w:pPr>
        <w:numPr>
          <w:ilvl w:val="0"/>
          <w:numId w:val="1100"/>
        </w:numPr>
        <w:pStyle w:val="Compact"/>
      </w:pPr>
      <w:r>
        <w:t xml:space="preserve">Après 52 semaines : IMC −16,5 % sous setmélanotide, +3,3 % sous placebo.</w:t>
      </w:r>
    </w:p>
    <w:p>
      <w:pPr>
        <w:numPr>
          <w:ilvl w:val="0"/>
          <w:numId w:val="1100"/>
        </w:numPr>
        <w:pStyle w:val="Compact"/>
      </w:pPr>
      <w:r>
        <w:t xml:space="preserve">Score de faim : −2,73 contre −1,45 point.</w:t>
      </w:r>
    </w:p>
    <w:p>
      <w:pPr>
        <w:numPr>
          <w:ilvl w:val="0"/>
          <w:numId w:val="1100"/>
        </w:numPr>
        <w:pStyle w:val="Compact"/>
      </w:pPr>
      <w:r>
        <w:t xml:space="preserve">Événements indésirables graves : 28 % contre 8 %.</w:t>
      </w:r>
    </w:p>
    <w:bookmarkEnd w:id="808"/>
    <w:bookmarkStart w:id="811" w:name="variantes-génétiques-plus-fréquentes"/>
    <w:p>
      <w:pPr>
        <w:pStyle w:val="Heading4"/>
      </w:pPr>
      <w:r>
        <w:t xml:space="preserve">Variantes génétiques plus fréquentes</w:t>
      </w:r>
    </w:p>
    <w:p>
      <w:pPr>
        <w:pStyle w:val="FirstParagraph"/>
      </w:pPr>
      <w:r>
        <w:t xml:space="preserve">Les données sont moins convaincantes chez les personnes ne portant qu’une seule copie modifiée du gène MC4R – l’une des causes génétiques les plus fréquentes d’obésité sévère. Dans une petite étude de 28 jours, ces personnes ont certes perdu du poids, mais nettement moins que celles présentant un défaut de POMC</w:t>
      </w:r>
      <w:r>
        <w:rPr>
          <w:rStyle w:val="FootnoteReference"/>
        </w:rPr>
        <w:footnoteReference w:id="809"/>
      </w:r>
      <w:r>
        <w:t xml:space="preserve">. La plus grande étude de phase 3 EMANATE sur différentes variantes de la voie MC4R est terminée selon le registre</w:t>
      </w:r>
      <w:r>
        <w:rPr>
          <w:rStyle w:val="FootnoteReference"/>
        </w:rPr>
        <w:footnoteReference w:id="810"/>
      </w:r>
      <w:r>
        <w:t xml:space="preserve"> </w:t>
      </w:r>
      <w:r>
        <w:t xml:space="preserve">; aucune publication évaluée par les pairs n’était encore disponible au moment de la recherche.</w:t>
      </w:r>
    </w:p>
    <w:bookmarkEnd w:id="811"/>
    <w:bookmarkEnd w:id="812"/>
    <w:bookmarkStart w:id="814" w:name="études-animales-et-de-laboratoire-12"/>
    <w:p>
      <w:pPr>
        <w:pStyle w:val="Heading3"/>
      </w:pPr>
      <w:r>
        <w:t xml:space="preserve">Études animales et de laboratoire</w:t>
      </w:r>
    </w:p>
    <w:p>
      <w:pPr>
        <w:pStyle w:val="FirstParagraph"/>
      </w:pPr>
      <w:r>
        <w:t xml:space="preserve">Dans des essais sur cellules, le setmélanotide est nettement plus puissant sur le récepteur MC4 que l’alpha-MSH endogène et peut réactiver partiellement une partie des variantes défectueuses du récepteur. Chez des rongeurs normaux, il a entraîné une perte de poids, mais pas chez des souris totalement dépourvues de récepteur MC4</w:t>
      </w:r>
      <w:r>
        <w:rPr>
          <w:rStyle w:val="FootnoteReference"/>
        </w:rPr>
        <w:footnoteReference w:id="813"/>
      </w:r>
      <w:r>
        <w:t xml:space="preserve">. Cela confirme que l’effet passe effectivement par ce récepteur.</w:t>
      </w:r>
    </w:p>
    <w:bookmarkEnd w:id="814"/>
    <w:bookmarkStart w:id="820" w:name="risques-et-effets-indésirables-12"/>
    <w:p>
      <w:pPr>
        <w:pStyle w:val="Heading3"/>
      </w:pPr>
      <w:r>
        <w:t xml:space="preserve">Risques et effets indésirables</w:t>
      </w:r>
    </w:p>
    <w:p>
      <w:pPr>
        <w:pStyle w:val="FirstParagraph"/>
      </w:pPr>
      <w:r>
        <w:rPr>
          <w:bCs/>
          <w:b/>
        </w:rPr>
        <w:t xml:space="preserve">Établi par les études :</w:t>
      </w:r>
    </w:p>
    <w:p>
      <w:pPr>
        <w:numPr>
          <w:ilvl w:val="0"/>
          <w:numId w:val="1101"/>
        </w:numPr>
        <w:pStyle w:val="Compact"/>
      </w:pPr>
      <w:r>
        <w:rPr>
          <w:bCs/>
          <w:b/>
        </w:rPr>
        <w:t xml:space="preserve">Réactions cutanées au point d’injection</w:t>
      </w:r>
      <w:r>
        <w:t xml:space="preserve"> </w:t>
      </w:r>
      <w:r>
        <w:t xml:space="preserve">(rougeur, gonflement) : chez 96 % dans une méta-analyse de sept études portant sur 185 personnes</w:t>
      </w:r>
      <w:r>
        <w:rPr>
          <w:rStyle w:val="FootnoteReference"/>
        </w:rPr>
        <w:footnoteReference w:id="815"/>
      </w:r>
      <w:r>
        <w:t xml:space="preserve">.</w:t>
      </w:r>
    </w:p>
    <w:p>
      <w:pPr>
        <w:numPr>
          <w:ilvl w:val="0"/>
          <w:numId w:val="1101"/>
        </w:numPr>
        <w:pStyle w:val="Compact"/>
      </w:pPr>
      <w:r>
        <w:rPr>
          <w:bCs/>
          <w:b/>
        </w:rPr>
        <w:t xml:space="preserve">Peau plus foncée (hyperpigmentation) :</w:t>
      </w:r>
      <w:r>
        <w:t xml:space="preserve"> </w:t>
      </w:r>
      <w:r>
        <w:t xml:space="preserve">chez 62 % dans la même méta-analyse. Par l’action sur le récepteur de la mélanocortine de type 1, la peau brunit, les lèvres et les grains de beauté foncent, les cheveux roux peuvent virer au brun. Dans un suivi allant jusqu’à 46 mois, le brunissement se stabilisait avec le temps ; aucune lésion cutanée maligne n’est apparue</w:t>
      </w:r>
      <w:r>
        <w:rPr>
          <w:rStyle w:val="FootnoteReference"/>
        </w:rPr>
        <w:footnoteReference w:id="816"/>
      </w:r>
      <w:r>
        <w:t xml:space="preserve">. Les spécialistes recommandent des examens cutanés réguliers.</w:t>
      </w:r>
    </w:p>
    <w:p>
      <w:pPr>
        <w:numPr>
          <w:ilvl w:val="0"/>
          <w:numId w:val="1101"/>
        </w:numPr>
        <w:pStyle w:val="Compact"/>
      </w:pPr>
      <w:r>
        <w:rPr>
          <w:bCs/>
          <w:b/>
        </w:rPr>
        <w:t xml:space="preserve">Nausées et vomissements :</w:t>
      </w:r>
      <w:r>
        <w:t xml:space="preserve"> </w:t>
      </w:r>
      <w:r>
        <w:t xml:space="preserve">chez 36 % et 26 % ; diarrhées chez 21 %</w:t>
      </w:r>
      <w:r>
        <w:rPr>
          <w:rStyle w:val="FootnoteReference"/>
        </w:rPr>
        <w:footnoteReference w:id="817"/>
      </w:r>
      <w:r>
        <w:t xml:space="preserve">.</w:t>
      </w:r>
    </w:p>
    <w:p>
      <w:pPr>
        <w:numPr>
          <w:ilvl w:val="0"/>
          <w:numId w:val="1101"/>
        </w:numPr>
        <w:pStyle w:val="Compact"/>
      </w:pPr>
      <w:r>
        <w:rPr>
          <w:bCs/>
          <w:b/>
        </w:rPr>
        <w:t xml:space="preserve">Événements indésirables graves :</w:t>
      </w:r>
      <w:r>
        <w:t xml:space="preserve"> </w:t>
      </w:r>
      <w:r>
        <w:t xml:space="preserve">plus fréquents sous setmélanotide dans TRANSCEND (28 % vs 8 %)</w:t>
      </w:r>
      <w:r>
        <w:rPr>
          <w:rStyle w:val="FootnoteReference"/>
        </w:rPr>
        <w:footnoteReference w:id="818"/>
      </w:r>
      <w:r>
        <w:t xml:space="preserve"> </w:t>
      </w:r>
      <w:r>
        <w:t xml:space="preserve">; le résumé ne les détaille pas.</w:t>
      </w:r>
    </w:p>
    <w:p>
      <w:pPr>
        <w:numPr>
          <w:ilvl w:val="0"/>
          <w:numId w:val="1101"/>
        </w:numPr>
        <w:pStyle w:val="Compact"/>
      </w:pPr>
      <w:r>
        <w:t xml:space="preserve">Dans l’étude BBS, des idées suicidaires ont notamment été rapportées comme événements graves, mais n’ont pas été jugées liées au traitement</w:t>
      </w:r>
      <w:r>
        <w:rPr>
          <w:rStyle w:val="FootnoteReference"/>
        </w:rPr>
        <w:footnoteReference w:id="819"/>
      </w:r>
      <w:r>
        <w:t xml:space="preserve">. Le résumé des caractéristiques du produit contient des mises en garde concernant la dépression et les idées suicidaires ainsi que les érections spontanées chez l’homme.</w:t>
      </w:r>
    </w:p>
    <w:p>
      <w:pPr>
        <w:pStyle w:val="FirstParagraph"/>
      </w:pPr>
      <w:r>
        <w:rPr>
          <w:bCs/>
          <w:b/>
        </w:rPr>
        <w:t xml:space="preserve">Théorique :</w:t>
      </w:r>
      <w:r>
        <w:t xml:space="preserve"> </w:t>
      </w:r>
      <w:r>
        <w:t xml:space="preserve">on ignore si la stimulation persistante des cellules pigmentaires influence à long terme le risque de cancer de la peau ; les observations faites jusqu’ici sur quelques années ne montrent pas de signal.</w:t>
      </w:r>
    </w:p>
    <w:p>
      <w:pPr>
        <w:pStyle w:val="BodyText"/>
      </w:pPr>
      <w:r>
        <w:rPr>
          <w:bCs/>
          <w:b/>
        </w:rPr>
        <w:t xml:space="preserve">Potentiel de mésusage :</w:t>
      </w:r>
      <w:r>
        <w:t xml:space="preserve"> </w:t>
      </w:r>
      <w:r>
        <w:t xml:space="preserve">en raison de son effet bronzant, le setmélanotide est parfois associé au mélanotan II sur les forums Internet. Pour les personnes sans défaut génétique démontré, ce n’est pas un moyen amaigrissant approprié, et il n’a pas été étudié dans ce but.</w:t>
      </w:r>
    </w:p>
    <w:bookmarkEnd w:id="820"/>
    <w:bookmarkStart w:id="821" w:name="statut-juridique-12"/>
    <w:p>
      <w:pPr>
        <w:pStyle w:val="Heading3"/>
      </w:pPr>
      <w:r>
        <w:t xml:space="preserve">Statut juridique</w:t>
      </w:r>
    </w:p>
    <w:p>
      <w:pPr>
        <w:numPr>
          <w:ilvl w:val="0"/>
          <w:numId w:val="1102"/>
        </w:numPr>
        <w:pStyle w:val="Compact"/>
      </w:pPr>
      <w:r>
        <w:rPr>
          <w:bCs/>
          <w:b/>
        </w:rPr>
        <w:t xml:space="preserve">UE / Autriche / Allemagne :</w:t>
      </w:r>
      <w:r>
        <w:t xml:space="preserve"> </w:t>
      </w:r>
      <w:r>
        <w:t xml:space="preserve">autorisé (Imcivree), soumis à prescription, uniquement pour les formes génétiquement confirmées (déficit en POMC, en PCSK1, en récepteur de la leptine, syndrome de Bardet-Biedl). Le diagnostic nécessite un examen génétique ; l’instauration et la surveillance relèvent de centres spécialisés. Détails sur l’extension à l’obésité hypothalamique :</w:t>
      </w:r>
    </w:p>
    <w:p>
      <w:pPr>
        <w:numPr>
          <w:ilvl w:val="0"/>
          <w:numId w:val="1102"/>
        </w:numPr>
        <w:pStyle w:val="Compact"/>
      </w:pPr>
      <w:r>
        <w:rPr>
          <w:bCs/>
          <w:b/>
        </w:rPr>
        <w:t xml:space="preserve">États-Unis :</w:t>
      </w:r>
      <w:r>
        <w:t xml:space="preserve"> </w:t>
      </w:r>
      <w:r>
        <w:t xml:space="preserve">autorisé depuis 2020 (POMC, PCSK1, LEPR), étendu ensuite au syndrome de Bardet-Biedl et aux jeunes enfants ; une demande pour l’obésité hypothalamique a été déposée sur la base de TRANSCEND.</w:t>
      </w:r>
    </w:p>
    <w:p>
      <w:pPr>
        <w:numPr>
          <w:ilvl w:val="0"/>
          <w:numId w:val="1102"/>
        </w:numPr>
        <w:pStyle w:val="Compact"/>
      </w:pPr>
      <w:r>
        <w:rPr>
          <w:bCs/>
          <w:b/>
        </w:rPr>
        <w:t xml:space="preserve">Sport :</w:t>
      </w:r>
      <w:r>
        <w:t xml:space="preserve"> </w:t>
      </w:r>
      <w:r>
        <w:t xml:space="preserve">non mentionné sur la liste de la WADA (état 2026, à vérifier).</w:t>
      </w:r>
    </w:p>
    <w:bookmarkEnd w:id="821"/>
    <w:bookmarkStart w:id="828" w:name="études-en-cours-et-perspectives-12"/>
    <w:p>
      <w:pPr>
        <w:pStyle w:val="Heading3"/>
      </w:pPr>
      <w:r>
        <w:t xml:space="preserve">Études en cours et perspectives</w:t>
      </w:r>
    </w:p>
    <w:p>
      <w:pPr>
        <w:pStyle w:val="FirstParagraph"/>
      </w:pPr>
      <w:r>
        <w:rPr>
          <w:bCs/>
          <w:b/>
        </w:rPr>
        <w:t xml:space="preserve">Établi (études enregistrées, état octobre 2026) :</w:t>
      </w:r>
    </w:p>
    <w:p>
      <w:pPr>
        <w:numPr>
          <w:ilvl w:val="0"/>
          <w:numId w:val="1103"/>
        </w:numPr>
        <w:pStyle w:val="Compact"/>
      </w:pPr>
      <w:r>
        <w:rPr>
          <w:bCs/>
          <w:b/>
        </w:rPr>
        <w:t xml:space="preserve">TRANSCEND</w:t>
      </w:r>
      <w:r>
        <w:rPr>
          <w:rStyle w:val="FootnoteReference"/>
        </w:rPr>
        <w:footnoteReference w:id="822"/>
      </w:r>
      <w:r>
        <w:t xml:space="preserve"> </w:t>
      </w:r>
      <w:r>
        <w:t xml:space="preserve">se poursuit dans une extension ; une sous-étude porte sur l’obésité hypothalamique congénitale</w:t>
      </w:r>
      <w:r>
        <w:rPr>
          <w:rStyle w:val="FootnoteReference"/>
        </w:rPr>
        <w:footnoteReference w:id="823"/>
      </w:r>
      <w:r>
        <w:t xml:space="preserve">.</w:t>
      </w:r>
    </w:p>
    <w:p>
      <w:pPr>
        <w:numPr>
          <w:ilvl w:val="0"/>
          <w:numId w:val="1103"/>
        </w:numPr>
        <w:pStyle w:val="Compact"/>
      </w:pPr>
      <w:r>
        <w:rPr>
          <w:bCs/>
          <w:b/>
        </w:rPr>
        <w:t xml:space="preserve">Syndrome de Prader-Willi</w:t>
      </w:r>
      <w:r>
        <w:rPr>
          <w:rStyle w:val="FootnoteReference"/>
        </w:rPr>
        <w:footnoteReference w:id="824"/>
      </w:r>
      <w:r>
        <w:t xml:space="preserve"> </w:t>
      </w:r>
      <w:r>
        <w:t xml:space="preserve">: phase 2 avec 18 participants.</w:t>
      </w:r>
    </w:p>
    <w:p>
      <w:pPr>
        <w:numPr>
          <w:ilvl w:val="0"/>
          <w:numId w:val="1103"/>
        </w:numPr>
        <w:pStyle w:val="Compact"/>
      </w:pPr>
      <w:r>
        <w:rPr>
          <w:bCs/>
          <w:b/>
        </w:rPr>
        <w:t xml:space="preserve">Suivi à long terme</w:t>
      </w:r>
      <w:r>
        <w:t xml:space="preserve"> </w:t>
      </w:r>
      <w:r>
        <w:t xml:space="preserve">dans le BBS et l’obésité génétique sévère en pratique courante</w:t>
      </w:r>
      <w:r>
        <w:rPr>
          <w:rStyle w:val="FootnoteReference"/>
        </w:rPr>
        <w:footnoteReference w:id="825"/>
      </w:r>
      <w:r>
        <w:t xml:space="preserve">.</w:t>
      </w:r>
    </w:p>
    <w:p>
      <w:pPr>
        <w:numPr>
          <w:ilvl w:val="0"/>
          <w:numId w:val="1103"/>
        </w:numPr>
        <w:pStyle w:val="Compact"/>
      </w:pPr>
      <w:r>
        <w:rPr>
          <w:bCs/>
          <w:b/>
        </w:rPr>
        <w:t xml:space="preserve">EMANATE</w:t>
      </w:r>
      <w:r>
        <w:rPr>
          <w:rStyle w:val="FootnoteReference"/>
        </w:rPr>
        <w:footnoteReference w:id="826"/>
      </w:r>
      <w:r>
        <w:t xml:space="preserve"> </w:t>
      </w:r>
      <w:r>
        <w:t xml:space="preserve">et</w:t>
      </w:r>
      <w:r>
        <w:t xml:space="preserve"> </w:t>
      </w:r>
      <w:r>
        <w:rPr>
          <w:bCs/>
          <w:b/>
        </w:rPr>
        <w:t xml:space="preserve">DAYBREAK</w:t>
      </w:r>
      <w:r>
        <w:rPr>
          <w:rStyle w:val="FootnoteReference"/>
        </w:rPr>
        <w:footnoteReference w:id="827"/>
      </w:r>
      <w:r>
        <w:t xml:space="preserve"> </w:t>
      </w:r>
      <w:r>
        <w:t xml:space="preserve">sur d’autres variantes génétiques : terminées, publication en attente.</w:t>
      </w:r>
    </w:p>
    <w:p>
      <w:pPr>
        <w:pStyle w:val="FirstParagraph"/>
      </w:pPr>
      <w:r>
        <w:rPr>
          <w:bCs/>
          <w:b/>
        </w:rPr>
        <w:t xml:space="preserve">Appréciation :</w:t>
      </w:r>
      <w:r>
        <w:t xml:space="preserve"> </w:t>
      </w:r>
      <w:r>
        <w:t xml:space="preserve">le setmélanotide a montré que la médecine de précision est possible dans l’obésité : connaître la cause permet de traiter de façon ciblée. Le groupe cible reste petit ; avec l’obésité hypothalamique, il pourrait toutefois s’élargir nettement. Pour la grande majorité des personnes obèses, chez qui il n’existe pas de tel défaut génétique, les médicaments à base de GLP-1 sont plus efficaces et mieux étudiés.</w:t>
      </w:r>
    </w:p>
    <w:bookmarkEnd w:id="828"/>
    <w:bookmarkStart w:id="829" w:name="conclusion-12"/>
    <w:p>
      <w:pPr>
        <w:pStyle w:val="Heading3"/>
      </w:pPr>
      <w:r>
        <w:t xml:space="preserve">Conclusion</w:t>
      </w:r>
    </w:p>
    <w:p>
      <w:pPr>
        <w:pStyle w:val="FirstParagraph"/>
      </w:pPr>
      <w:r>
        <w:t xml:space="preserve">Le setmélanotide est un petit peptide cyclique qui active le récepteur MC4 dans le cerveau et court-circuite ainsi les maillons défectueux de la voie leptine-mélanocortine. Dans de petites études d’homologation, 80 % des personnes avec déficit en POMC et 45 % avec déficit en récepteur de la leptine ont perdu au moins 10 % de leur poids ; dans l’obésité hypothalamique, l’IMC a baissé de 16,5 % après un an, contre une hausse sous placebo. Presque toutes les personnes traitées présentent des réactions cutanées au point d’injection, la majorité une peau plus foncée. Le setmélanotide est autorisé dans l’UE et aux États-Unis pour des formes génétiques rares d’obésité et n’est pas un médicament destiné à la perte de poids en général.</w:t>
      </w:r>
    </w:p>
    <w:bookmarkEnd w:id="829"/>
    <w:bookmarkEnd w:id="830"/>
    <w:bookmarkStart w:id="855" w:name="aod-9604"/>
    <w:p>
      <w:pPr>
        <w:pStyle w:val="Heading2"/>
      </w:pPr>
      <w:r>
        <w:t xml:space="preserve">AOD-9604</w:t>
      </w:r>
    </w:p>
    <w:bookmarkStart w:id="832" w:name="fiche-signalétique-13"/>
    <w:p>
      <w:pPr>
        <w:pStyle w:val="Heading3"/>
      </w:pPr>
      <w:r>
        <w:t xml:space="preserve">Fiche signalétique</w:t>
      </w:r>
    </w:p>
    <w:p>
      <w:pPr>
        <w:numPr>
          <w:ilvl w:val="0"/>
          <w:numId w:val="1104"/>
        </w:numPr>
        <w:pStyle w:val="Compact"/>
      </w:pPr>
      <w:r>
        <w:rPr>
          <w:bCs/>
          <w:b/>
        </w:rPr>
        <w:t xml:space="preserve">Type/structure :</w:t>
      </w:r>
      <w:r>
        <w:t xml:space="preserve"> </w:t>
      </w:r>
      <w:r>
        <w:t xml:space="preserve">peptide de synthèse issu de l’extrémité terminale (C-terminale) de l’hormone de croissance humaine : les acides aminés 177 à 191, complétés par une tyrosine supplémentaire au début</w:t>
      </w:r>
      <w:r>
        <w:rPr>
          <w:rStyle w:val="FootnoteReference"/>
        </w:rPr>
        <w:footnoteReference w:id="831"/>
      </w:r>
      <w:r>
        <w:t xml:space="preserve">. Souvent proposé sur Internet sous des désignations comme « hGH Fragment 176-191 » ou « Frag 176-191 ». Le nom signifie « Anti-Obesity Drug 9604 ».</w:t>
      </w:r>
    </w:p>
    <w:p>
      <w:pPr>
        <w:numPr>
          <w:ilvl w:val="0"/>
          <w:numId w:val="1104"/>
        </w:numPr>
        <w:pStyle w:val="Compact"/>
      </w:pPr>
      <w:r>
        <w:rPr>
          <w:bCs/>
          <w:b/>
        </w:rPr>
        <w:t xml:space="preserve">Origine :</w:t>
      </w:r>
      <w:r>
        <w:t xml:space="preserve"> </w:t>
      </w:r>
      <w:r>
        <w:t xml:space="preserve">développé dans les années 1990 à la Monash University de Melbourne et poursuivi comme médicament amaigrissant par l’entreprise australienne Metabolic Pharmaceuticals.</w:t>
      </w:r>
    </w:p>
    <w:p>
      <w:pPr>
        <w:numPr>
          <w:ilvl w:val="0"/>
          <w:numId w:val="1104"/>
        </w:numPr>
        <w:pStyle w:val="Compact"/>
      </w:pPr>
      <w:r>
        <w:rPr>
          <w:bCs/>
          <w:b/>
        </w:rPr>
        <w:t xml:space="preserve">Principe d’action (hypothèse) :</w:t>
      </w:r>
      <w:r>
        <w:t xml:space="preserve"> </w:t>
      </w:r>
      <w:r>
        <w:t xml:space="preserve">censé imiter l’effet lipolytique de l’hormone de croissance, sans ses effets sur la glycémie et la croissance.</w:t>
      </w:r>
    </w:p>
    <w:p>
      <w:pPr>
        <w:numPr>
          <w:ilvl w:val="0"/>
          <w:numId w:val="1104"/>
        </w:numPr>
        <w:pStyle w:val="Compact"/>
      </w:pPr>
      <w:r>
        <w:rPr>
          <w:bCs/>
          <w:b/>
        </w:rPr>
        <w:t xml:space="preserve">Autorisation UE / États-Unis :</w:t>
      </w:r>
      <w:r>
        <w:t xml:space="preserve"> </w:t>
      </w:r>
      <w:r>
        <w:t xml:space="preserve">non. Le développement en tant que médicament a été arrêté après des études de phase 2.</w:t>
      </w:r>
    </w:p>
    <w:p>
      <w:pPr>
        <w:numPr>
          <w:ilvl w:val="0"/>
          <w:numId w:val="1104"/>
        </w:numPr>
        <w:pStyle w:val="Compact"/>
      </w:pPr>
      <w:r>
        <w:rPr>
          <w:bCs/>
          <w:b/>
        </w:rPr>
        <w:t xml:space="preserve">AMA (WADA) :</w:t>
      </w:r>
      <w:r>
        <w:t xml:space="preserve"> </w:t>
      </w:r>
      <w:r>
        <w:t xml:space="preserve">interdit – les fragments de l’hormone de croissance comme l’AOD-9604 sont expressément cités sur la liste des interdictions dans la classe S2.</w:t>
      </w:r>
    </w:p>
    <w:p>
      <w:pPr>
        <w:numPr>
          <w:ilvl w:val="0"/>
          <w:numId w:val="1104"/>
        </w:numPr>
        <w:pStyle w:val="Compact"/>
      </w:pPr>
      <w:r>
        <w:rPr>
          <w:bCs/>
          <w:b/>
        </w:rPr>
        <w:t xml:space="preserve">Niveau de preuve :</w:t>
      </w:r>
      <w:r>
        <w:t xml:space="preserve"> </w:t>
      </w:r>
      <w:r>
        <w:rPr>
          <w:bCs/>
          <w:b/>
        </w:rPr>
        <w:t xml:space="preserve">D</w:t>
      </w:r>
      <w:r>
        <w:t xml:space="preserve"> </w:t>
      </w:r>
      <w:r>
        <w:t xml:space="preserve">– aucun résultat publié d’études chez l’humain repérable dans PubMed ; données issues d’études animales et de laboratoire.</w:t>
      </w:r>
    </w:p>
    <w:bookmarkEnd w:id="832"/>
    <w:bookmarkStart w:id="836" w:name="mode-daction-supposé-13"/>
    <w:p>
      <w:pPr>
        <w:pStyle w:val="Heading3"/>
      </w:pPr>
      <w:r>
        <w:t xml:space="preserve">Mode d’action supposé</w:t>
      </w:r>
    </w:p>
    <w:p>
      <w:pPr>
        <w:pStyle w:val="FirstParagraph"/>
      </w:pPr>
      <w:r>
        <w:t xml:space="preserve">L’hormone de croissance (hGH) a de nombreux effets : elle favorise la croissance en taille, agit sur les muscles et les os, stimule la combustion des graisses – et augmente la glycémie en atténuant l’action de l’insuline. Dès les années 1970 et 1980, des chercheurs ont examiné chez l’animal si différents segments de l’hormone portaient différents effets partiels. Fait notable : dans une étude chez le rat, des versions chimiquement modifiées de précisément ce segment (acides aminés 177 à 191) ont provoqué une hyperglycémie et une insulinorésistance</w:t>
      </w:r>
      <w:r>
        <w:rPr>
          <w:rStyle w:val="FootnoteReference"/>
        </w:rPr>
        <w:footnoteReference w:id="833"/>
      </w:r>
      <w:r>
        <w:t xml:space="preserve"> </w:t>
      </w:r>
      <w:r>
        <w:t xml:space="preserve">– soit justement l’effet que l’AOD-9604 devait éviter plus tard. Les résultats dépendent manifestement beaucoup de la forme chimique exacte du peptide.</w:t>
      </w:r>
    </w:p>
    <w:p>
      <w:pPr>
        <w:pStyle w:val="BodyText"/>
      </w:pPr>
      <w:r>
        <w:t xml:space="preserve">L’idée derrière l’AOD-9604 : un court fragment de l’extrémité de l’hormone ne conserverait que l’effet lipolytique. Des analyses de laboratoire ont montré que l’AOD-9604 ne se lie pas au récepteur de l’hormone de croissance et n’y stimule pas non plus la division cellulaire</w:t>
      </w:r>
      <w:r>
        <w:rPr>
          <w:rStyle w:val="FootnoteReference"/>
        </w:rPr>
        <w:footnoteReference w:id="834"/>
      </w:r>
      <w:r>
        <w:t xml:space="preserve">. Ce ne serait donc pas une « petite hormone de croissance », mais une molécule dotée d’un mécanisme d’action propre, pas encore entièrement compris. Dans des expériences sur des souris dépourvues d’adrénorécepteur bêta-3 (un récepteur important pour la lipolyse), l’effet amaigrissant à long terme était absent ; les auteurs en ont conclu que ce récepteur est impliqué, mais n’est pas la cible directe</w:t>
      </w:r>
      <w:r>
        <w:rPr>
          <w:rStyle w:val="FootnoteReference"/>
        </w:rPr>
        <w:footnoteReference w:id="835"/>
      </w:r>
      <w:r>
        <w:t xml:space="preserve">.</w:t>
      </w:r>
    </w:p>
    <w:bookmarkEnd w:id="836"/>
    <w:bookmarkStart w:id="838" w:name="études-chez-lhumain-13"/>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fourni</w:t>
      </w:r>
      <w:r>
        <w:t xml:space="preserve"> </w:t>
      </w:r>
      <w:r>
        <w:rPr>
          <w:bCs/>
          <w:b/>
        </w:rPr>
        <w:t xml:space="preserve">aucune</w:t>
      </w:r>
      <w:r>
        <w:t xml:space="preserve"> </w:t>
      </w:r>
      <w:r>
        <w:t xml:space="preserve">étude publiée chez l’humain. Sur ClinicalTrials.gov, aucune étude n’est enregistrée sous « AOD9604 » ou « AOD-9604 ».</w:t>
      </w:r>
    </w:p>
    <w:p>
      <w:pPr>
        <w:pStyle w:val="BodyText"/>
      </w:pPr>
      <w:r>
        <w:t xml:space="preserve">Cela ne signifie pas que l’AOD-9604 n’a jamais été testé chez l’humain. Des articles de synthèse des années 2004 à 2006 indiquent que l’AOD-9604 se trouvait en études de phase 2 pour le traitement de l’obésité</w:t>
      </w:r>
      <w:r>
        <w:rPr>
          <w:rStyle w:val="FootnoteReference"/>
        </w:rPr>
        <w:footnoteReference w:id="837"/>
      </w:r>
      <w:r>
        <w:t xml:space="preserve">. Les résultats de ces études n’ont toutefois pas été publiés dans une revue à comité de lecture répertoriée dans PubMed. Selon des informations accessibles au public, le développeur a arrêté le programme amaigrissant dans la seconde moitié des années 2000, faute d’effet suffisant. Comme ces informations ne proviennent pas d’une publication d’étude vérifiable, ce livre ne donne pas de chiffres à ce sujet.</w:t>
      </w:r>
    </w:p>
    <w:p>
      <w:pPr>
        <w:pStyle w:val="BodyText"/>
      </w:pPr>
      <w:r>
        <w:t xml:space="preserve">Pour les lecteurs, cela signifie : si l’on te propose aujourd’hui de l’AOD-9604 comme peptide amaigrissant ou « brûleur de graisse », aucune étude publiée chez l’humain ne peut être invoquée pour en démontrer l’effet.</w:t>
      </w:r>
    </w:p>
    <w:bookmarkEnd w:id="838"/>
    <w:bookmarkStart w:id="843" w:name="études-animales-et-de-laboratoire-13"/>
    <w:p>
      <w:pPr>
        <w:pStyle w:val="Heading3"/>
      </w:pPr>
      <w:r>
        <w:t xml:space="preserve">Études animales et de laboratoire</w:t>
      </w:r>
    </w:p>
    <w:p>
      <w:pPr>
        <w:pStyle w:val="FirstParagraph"/>
      </w:pPr>
      <w:r>
        <w:t xml:space="preserve">Tous les résultats suivants proviennent d’expériences animales ou d’analyses de laboratoire :</w:t>
      </w:r>
    </w:p>
    <w:p>
      <w:pPr>
        <w:numPr>
          <w:ilvl w:val="0"/>
          <w:numId w:val="1105"/>
        </w:numPr>
        <w:pStyle w:val="Compact"/>
      </w:pPr>
      <w:r>
        <w:rPr>
          <w:bCs/>
          <w:b/>
        </w:rPr>
        <w:t xml:space="preserve">Chez des rats en surpoids</w:t>
      </w:r>
      <w:r>
        <w:t xml:space="preserve"> </w:t>
      </w:r>
      <w:r>
        <w:t xml:space="preserve">(rats Zucker), l’AOD-9604 administré pendant 19 jours dans la nourriture a réduit la prise de poids de plus de moitié ; le tissu adipeux présentait une activité lipolytique accrue. Contrairement à l’hormone de croissance complète, la sensibilité à l’insuline ne s’est pas détériorée</w:t>
      </w:r>
      <w:r>
        <w:rPr>
          <w:rStyle w:val="FootnoteReference"/>
        </w:rPr>
        <w:footnoteReference w:id="839"/>
      </w:r>
      <w:r>
        <w:t xml:space="preserve">.</w:t>
      </w:r>
    </w:p>
    <w:p>
      <w:pPr>
        <w:numPr>
          <w:ilvl w:val="0"/>
          <w:numId w:val="1105"/>
        </w:numPr>
        <w:pStyle w:val="Compact"/>
      </w:pPr>
      <w:r>
        <w:rPr>
          <w:bCs/>
          <w:b/>
        </w:rPr>
        <w:t xml:space="preserve">Chez des souris en surpoids</w:t>
      </w:r>
      <w:r>
        <w:t xml:space="preserve">, l’hormone de croissance comme l’AOD-9604 ont réduit sur 14 jours la prise de poids et augmenté la combustion des graisses. Contrairement à l’hormone de croissance, l’AOD-9604 n’a pas provoqué d’hyperglycémie</w:t>
      </w:r>
      <w:r>
        <w:rPr>
          <w:rStyle w:val="FootnoteReference"/>
        </w:rPr>
        <w:footnoteReference w:id="840"/>
      </w:r>
      <w:r>
        <w:t xml:space="preserve">.</w:t>
      </w:r>
    </w:p>
    <w:p>
      <w:pPr>
        <w:numPr>
          <w:ilvl w:val="0"/>
          <w:numId w:val="1105"/>
        </w:numPr>
        <w:pStyle w:val="Compact"/>
      </w:pPr>
      <w:r>
        <w:rPr>
          <w:bCs/>
          <w:b/>
        </w:rPr>
        <w:t xml:space="preserve">Des travaux préliminaires plus anciens</w:t>
      </w:r>
      <w:r>
        <w:t xml:space="preserve"> </w:t>
      </w:r>
      <w:r>
        <w:t xml:space="preserve">chez la souris avec le peptide apparenté hGH 177–191 ont montré une moindre augmentation du poids corporel et du tissu adipeux</w:t>
      </w:r>
      <w:r>
        <w:rPr>
          <w:rStyle w:val="FootnoteReference"/>
        </w:rPr>
        <w:footnoteReference w:id="841"/>
      </w:r>
      <w:r>
        <w:t xml:space="preserve">.</w:t>
      </w:r>
    </w:p>
    <w:p>
      <w:pPr>
        <w:numPr>
          <w:ilvl w:val="0"/>
          <w:numId w:val="1105"/>
        </w:numPr>
        <w:pStyle w:val="Compact"/>
      </w:pPr>
      <w:r>
        <w:rPr>
          <w:bCs/>
          <w:b/>
        </w:rPr>
        <w:t xml:space="preserve">Chez des lapins</w:t>
      </w:r>
      <w:r>
        <w:t xml:space="preserve"> </w:t>
      </w:r>
      <w:r>
        <w:t xml:space="preserve">atteints d’une gonarthrose provoquée artificiellement, des injections intra-articulaires d’AOD-9604 – seul ou associé à l’acide hyaluronique – ont amélioré l’état du cartilage</w:t>
      </w:r>
      <w:r>
        <w:rPr>
          <w:rStyle w:val="FootnoteReference"/>
        </w:rPr>
        <w:footnoteReference w:id="842"/>
      </w:r>
      <w:r>
        <w:t xml:space="preserve">. Ce résultat est souvent cité sur Internet comme preuve d’un effet « régénérateur articulaire » chez l’humain ; une telle étude chez l’humain n’existe pas.</w:t>
      </w:r>
    </w:p>
    <w:p>
      <w:pPr>
        <w:pStyle w:val="FirstParagraph"/>
      </w:pPr>
      <w:r>
        <w:t xml:space="preserve">Les études animales sont petites, en partie anciennes et proviennent majoritairement de l’entourage des développeurs.</w:t>
      </w:r>
    </w:p>
    <w:bookmarkEnd w:id="843"/>
    <w:bookmarkStart w:id="849" w:name="risques-et-effets-indésirables-13"/>
    <w:p>
      <w:pPr>
        <w:pStyle w:val="Heading3"/>
      </w:pPr>
      <w:r>
        <w:t xml:space="preserve">Risques et effets indésirables</w:t>
      </w:r>
    </w:p>
    <w:p>
      <w:pPr>
        <w:pStyle w:val="FirstParagraph"/>
      </w:pPr>
      <w:r>
        <w:rPr>
          <w:bCs/>
          <w:b/>
        </w:rPr>
        <w:t xml:space="preserve">Établi :</w:t>
      </w:r>
      <w:r>
        <w:t xml:space="preserve"> </w:t>
      </w:r>
      <w:r>
        <w:t xml:space="preserve">faute d’études publiées chez l’humain, il n’existe pas de données fiables sur les effets indésirables chez l’humain.</w:t>
      </w:r>
    </w:p>
    <w:p>
      <w:pPr>
        <w:pStyle w:val="BodyText"/>
      </w:pPr>
      <w:r>
        <w:rPr>
          <w:bCs/>
          <w:b/>
        </w:rPr>
        <w:t xml:space="preserve">D’après des analyses de produits du marché gris et le contrôle antidopage :</w:t>
      </w:r>
    </w:p>
    <w:p>
      <w:pPr>
        <w:numPr>
          <w:ilvl w:val="0"/>
          <w:numId w:val="1106"/>
        </w:numPr>
        <w:pStyle w:val="Compact"/>
      </w:pPr>
      <w:r>
        <w:t xml:space="preserve">L’AOD-9604 est proposé depuis des années sur des sites Internet et a été retrouvé dans des flacons saisis, notamment aux États-Unis</w:t>
      </w:r>
      <w:r>
        <w:rPr>
          <w:rStyle w:val="FootnoteReference"/>
        </w:rPr>
        <w:footnoteReference w:id="844"/>
      </w:r>
      <w:r>
        <w:t xml:space="preserve"> </w:t>
      </w:r>
      <w:r>
        <w:t xml:space="preserve">et en Belgique, où les autorités ont analysé des préparations peptidiques inconnues</w:t>
      </w:r>
      <w:r>
        <w:rPr>
          <w:rStyle w:val="FootnoteReference"/>
        </w:rPr>
        <w:footnoteReference w:id="845"/>
      </w:r>
      <w:r>
        <w:t xml:space="preserve">.</w:t>
      </w:r>
    </w:p>
    <w:p>
      <w:pPr>
        <w:numPr>
          <w:ilvl w:val="0"/>
          <w:numId w:val="1106"/>
        </w:numPr>
        <w:pStyle w:val="Compact"/>
      </w:pPr>
      <w:r>
        <w:t xml:space="preserve">Des articles de synthèse sur les peptides dans le sport et sur le marché gris soulignent que, pour l’AOD-9604 et les substances similaires, il n’existe guère de données de sécurité fiables chez l’humain et que la composition, la dose et la pureté des produits sont incertaines</w:t>
      </w:r>
      <w:r>
        <w:rPr>
          <w:rStyle w:val="FootnoteReference"/>
        </w:rPr>
        <w:footnoteReference w:id="846"/>
      </w:r>
      <w:r>
        <w:t xml:space="preserve">. Une autre synthèse signale des produits mal étiquetés ou contaminés dans le commerce non réglementé</w:t>
      </w:r>
      <w:r>
        <w:rPr>
          <w:rStyle w:val="FootnoteReference"/>
        </w:rPr>
        <w:footnoteReference w:id="847"/>
      </w:r>
      <w:r>
        <w:t xml:space="preserve">.</w:t>
      </w:r>
    </w:p>
    <w:p>
      <w:pPr>
        <w:pStyle w:val="FirstParagraph"/>
      </w:pPr>
      <w:r>
        <w:rPr>
          <w:bCs/>
          <w:b/>
        </w:rPr>
        <w:t xml:space="preserve">Théorique :</w:t>
      </w:r>
      <w:r>
        <w:t xml:space="preserve"> </w:t>
      </w:r>
      <w:r>
        <w:t xml:space="preserve">tout produit injectable issu d’une fabrication non contrôlée comporte des risques liés à des impuretés, des bactéries ou de mauvais composants (voir partie I et partie IV). On n’a pas étudié chez l’humain si l’AOD-9604 – comme l’hormone de croissance – influence à long terme le métabolisme ou la croissance cellulaire. Les données de laboratoire plaident contre une action directe sur le récepteur de l’hormone de croissance</w:t>
      </w:r>
      <w:r>
        <w:rPr>
          <w:rStyle w:val="FootnoteReference"/>
        </w:rPr>
        <w:footnoteReference w:id="848"/>
      </w:r>
      <w:r>
        <w:t xml:space="preserve">.</w:t>
      </w:r>
    </w:p>
    <w:bookmarkEnd w:id="849"/>
    <w:bookmarkStart w:id="852" w:name="statut-juridique-13"/>
    <w:p>
      <w:pPr>
        <w:pStyle w:val="Heading3"/>
      </w:pPr>
      <w:r>
        <w:t xml:space="preserve">Statut juridique</w:t>
      </w:r>
    </w:p>
    <w:p>
      <w:pPr>
        <w:numPr>
          <w:ilvl w:val="0"/>
          <w:numId w:val="1107"/>
        </w:numPr>
        <w:pStyle w:val="Compact"/>
      </w:pPr>
      <w:r>
        <w:rPr>
          <w:bCs/>
          <w:b/>
        </w:rPr>
        <w:t xml:space="preserve">UE / Autriche / Allemagne :</w:t>
      </w:r>
      <w:r>
        <w:t xml:space="preserve"> </w:t>
      </w:r>
      <w:r>
        <w:t xml:space="preserve">non autorisé comme médicament. Les produits proposés pour un usage humain ne peuvent pas être légalement commercialisés au regard du droit pharmaceutique ; les mentions « for research use only » n’y changent rien.</w:t>
      </w:r>
    </w:p>
    <w:p>
      <w:pPr>
        <w:numPr>
          <w:ilvl w:val="0"/>
          <w:numId w:val="1107"/>
        </w:numPr>
        <w:pStyle w:val="Compact"/>
      </w:pPr>
      <w:r>
        <w:rPr>
          <w:bCs/>
          <w:b/>
        </w:rPr>
        <w:t xml:space="preserve">États-Unis :</w:t>
      </w:r>
      <w:r>
        <w:t xml:space="preserve"> </w:t>
      </w:r>
      <w:r>
        <w:t xml:space="preserve">non autorisé comme médicament. La FDA a inscrit l’AOD-9604 sur la liste des substances qui, pour des raisons de sécurité, ne peuvent pas être librement transformées en médicaments par les pharmacies.</w:t>
      </w:r>
    </w:p>
    <w:p>
      <w:pPr>
        <w:numPr>
          <w:ilvl w:val="0"/>
          <w:numId w:val="1107"/>
        </w:numPr>
        <w:pStyle w:val="Compact"/>
      </w:pPr>
      <w:r>
        <w:rPr>
          <w:bCs/>
          <w:b/>
        </w:rPr>
        <w:t xml:space="preserve">Sport :</w:t>
      </w:r>
      <w:r>
        <w:t xml:space="preserve"> </w:t>
      </w:r>
      <w:r>
        <w:t xml:space="preserve">expressément interdit (liste des interdictions de la WADA, classe S2 – hormones peptidiques, facteurs de croissance, substances apparentées ; fragments de l’hormone de croissance). L’AOD-9604 s’est fait connaître d’un large public lors du scandale de dopage du club de football australien d’Essendon en 2013. Des méthodes de détection spécifiques dans l’urine ont été développées pour les contrôles antidopage</w:t>
      </w:r>
      <w:r>
        <w:rPr>
          <w:rStyle w:val="FootnoteReference"/>
        </w:rPr>
        <w:footnoteReference w:id="850"/>
      </w:r>
      <w:r>
        <w:t xml:space="preserve">. Le test habituel de l’hormone de croissance n’est pas influencé par l’AOD-9604</w:t>
      </w:r>
      <w:r>
        <w:rPr>
          <w:rStyle w:val="FootnoteReference"/>
        </w:rPr>
        <w:footnoteReference w:id="851"/>
      </w:r>
      <w:r>
        <w:t xml:space="preserve"> </w:t>
      </w:r>
      <w:r>
        <w:t xml:space="preserve">– le fragment doit donc être recherché de façon ciblée. État 2026, à vérifier.</w:t>
      </w:r>
    </w:p>
    <w:bookmarkEnd w:id="852"/>
    <w:bookmarkStart w:id="853" w:name="études-en-cours-et-perspectives-13"/>
    <w:p>
      <w:pPr>
        <w:pStyle w:val="Heading3"/>
      </w:pPr>
      <w:r>
        <w:t xml:space="preserve">Études en cours et perspectives</w:t>
      </w:r>
    </w:p>
    <w:p>
      <w:pPr>
        <w:pStyle w:val="FirstParagraph"/>
      </w:pPr>
      <w:r>
        <w:rPr>
          <w:bCs/>
          <w:b/>
        </w:rPr>
        <w:t xml:space="preserve">Établi :</w:t>
      </w:r>
      <w:r>
        <w:t xml:space="preserve"> </w:t>
      </w:r>
      <w:r>
        <w:t xml:space="preserve">aucune étude en cours sur l’AOD-9604 n’est enregistrée sur ClinicalTrials.gov (requête d’octobre 2026).</w:t>
      </w:r>
    </w:p>
    <w:p>
      <w:pPr>
        <w:pStyle w:val="BodyText"/>
      </w:pPr>
      <w:r>
        <w:rPr>
          <w:bCs/>
          <w:b/>
        </w:rPr>
        <w:t xml:space="preserve">Appréciation :</w:t>
      </w:r>
      <w:r>
        <w:t xml:space="preserve"> </w:t>
      </w:r>
      <w:r>
        <w:t xml:space="preserve">on ne voit aucune voie par laquelle l’AOD-9604 pourrait devenir un médicament autorisé dans un avenir prévisible. Avec les substances à base de GLP-1, il existe aujourd’hui des médicaments amaigrissants d’une efficacité importante et bien documentée ; un peptide dont le propre développement comme amaigrissant a échoué ne devrait guère susciter de nouvel intérêt des investisseurs. L’AOD-9604 restera donc vraisemblablement un produit du marché gris.</w:t>
      </w:r>
    </w:p>
    <w:bookmarkEnd w:id="853"/>
    <w:bookmarkStart w:id="854" w:name="conclusion-13"/>
    <w:p>
      <w:pPr>
        <w:pStyle w:val="Heading3"/>
      </w:pPr>
      <w:r>
        <w:t xml:space="preserve">Conclusion</w:t>
      </w:r>
    </w:p>
    <w:p>
      <w:pPr>
        <w:pStyle w:val="FirstParagraph"/>
      </w:pPr>
      <w:r>
        <w:t xml:space="preserve">L’AOD-9604 est un court fragment de l’hormone de croissance qui a stimulé la lipolyse chez le rat et la souris sans élever la glycémie. Des études chez l’humain ont certes été menées dans les années 2000, mais leurs résultats n’ont pas été publiés dans des revues à comité de lecture, et le développement comme médicament amaigrissant a été arrêté. Les données fiables sur l’efficacité et la sécurité chez l’humain font donc entièrement défaut. L’AOD-9604 n’est autorisé nulle part comme médicament et il est expressément interdit dans le sport.</w:t>
      </w:r>
    </w:p>
    <w:bookmarkEnd w:id="854"/>
    <w:bookmarkEnd w:id="855"/>
    <w:bookmarkStart w:id="892" w:name="orforglipron-à-titre-de-comparaison"/>
    <w:p>
      <w:pPr>
        <w:pStyle w:val="Heading2"/>
      </w:pPr>
      <w:r>
        <w:t xml:space="preserve">Orforglipron (à titre de comparaison)</w:t>
      </w:r>
    </w:p>
    <w:bookmarkStart w:id="856" w:name="fiche-signalétique-14"/>
    <w:p>
      <w:pPr>
        <w:pStyle w:val="Heading3"/>
      </w:pPr>
      <w:r>
        <w:t xml:space="preserve">Fiche signalétique</w:t>
      </w:r>
    </w:p>
    <w:p>
      <w:pPr>
        <w:numPr>
          <w:ilvl w:val="0"/>
          <w:numId w:val="1108"/>
        </w:numPr>
        <w:pStyle w:val="Compact"/>
      </w:pPr>
      <w:r>
        <w:rPr>
          <w:bCs/>
          <w:b/>
        </w:rPr>
        <w:t xml:space="preserve">Type/structure :</w:t>
      </w:r>
      <w:r>
        <w:t xml:space="preserve"> </w:t>
      </w:r>
      <w:r>
        <w:rPr>
          <w:bCs/>
          <w:b/>
        </w:rPr>
        <w:t xml:space="preserve">pas un peptide</w:t>
      </w:r>
      <w:r>
        <w:t xml:space="preserve">, mais une petite molécule obtenue par synthèse chimique (« small molecule »), qui agit sur le récepteur du GLP-1 comme un peptide. Code de développement LY3502970. Prise quotidienne unique sous forme de comprimé ou de gélule.</w:t>
      </w:r>
    </w:p>
    <w:p>
      <w:pPr>
        <w:numPr>
          <w:ilvl w:val="0"/>
          <w:numId w:val="1108"/>
        </w:numPr>
        <w:pStyle w:val="Compact"/>
      </w:pPr>
      <w:r>
        <w:rPr>
          <w:bCs/>
          <w:b/>
        </w:rPr>
        <w:t xml:space="preserve">Origine :</w:t>
      </w:r>
      <w:r>
        <w:t xml:space="preserve"> </w:t>
      </w:r>
      <w:r>
        <w:t xml:space="preserve">découvert à l’origine par Chugai Pharmaceutical, sous licence et développé par Eli Lilly.</w:t>
      </w:r>
    </w:p>
    <w:p>
      <w:pPr>
        <w:numPr>
          <w:ilvl w:val="0"/>
          <w:numId w:val="1108"/>
        </w:numPr>
        <w:pStyle w:val="Compact"/>
      </w:pPr>
      <w:r>
        <w:rPr>
          <w:bCs/>
          <w:b/>
        </w:rPr>
        <w:t xml:space="preserve">Principe d’action :</w:t>
      </w:r>
      <w:r>
        <w:t xml:space="preserve"> </w:t>
      </w:r>
      <w:r>
        <w:t xml:space="preserve">agoniste du récepteur du GLP-1 – la même cible que le sémaglutide ou le liraglutide, mais avec une structure chimique totalement différente.</w:t>
      </w:r>
    </w:p>
    <w:p>
      <w:pPr>
        <w:numPr>
          <w:ilvl w:val="0"/>
          <w:numId w:val="1108"/>
        </w:numPr>
        <w:pStyle w:val="Compact"/>
      </w:pPr>
      <w:r>
        <w:rPr>
          <w:bCs/>
          <w:b/>
        </w:rPr>
        <w:t xml:space="preserve">Autorisation UE / États-Unis :</w:t>
      </w:r>
      <w:r>
        <w:t xml:space="preserve"> </w:t>
      </w:r>
      <w:r>
        <w:t xml:space="preserve">selon l’état de la recherche pour ce livre (octobre 2026), non répertorié comme autorisé ; des demandes d’autorisation ont été déposées ou annoncées sur la base des études de phase 3 – à vérifier.</w:t>
      </w:r>
    </w:p>
    <w:p>
      <w:pPr>
        <w:numPr>
          <w:ilvl w:val="0"/>
          <w:numId w:val="1108"/>
        </w:numPr>
        <w:pStyle w:val="Compact"/>
      </w:pPr>
      <w:r>
        <w:rPr>
          <w:bCs/>
          <w:b/>
        </w:rPr>
        <w:t xml:space="preserve">AMA (WADA) :</w:t>
      </w:r>
      <w:r>
        <w:t xml:space="preserve"> </w:t>
      </w:r>
      <w:r>
        <w:t xml:space="preserve">non cité nommément ; tant qu’il n’est autorisé nulle part, interdit au titre de S0.</w:t>
      </w:r>
    </w:p>
    <w:p>
      <w:pPr>
        <w:numPr>
          <w:ilvl w:val="0"/>
          <w:numId w:val="1108"/>
        </w:numPr>
        <w:pStyle w:val="Compact"/>
      </w:pPr>
      <w:r>
        <w:rPr>
          <w:bCs/>
          <w:b/>
        </w:rPr>
        <w:t xml:space="preserve">Niveau de preuve :</w:t>
      </w:r>
      <w:r>
        <w:t xml:space="preserve"> </w:t>
      </w:r>
      <w:r>
        <w:rPr>
          <w:bCs/>
          <w:b/>
        </w:rPr>
        <w:t xml:space="preserve">A</w:t>
      </w:r>
      <w:r>
        <w:t xml:space="preserve"> </w:t>
      </w:r>
      <w:r>
        <w:t xml:space="preserve">au vu des données (plusieurs grandes études de phase 3, dont une étude de sécurité cardiovasculaire) ; l’autorisation formelle reste en attente ou est à vérifier.</w:t>
      </w:r>
    </w:p>
    <w:bookmarkEnd w:id="856"/>
    <w:bookmarkStart w:id="858" w:name="Xa0f33156e5bcda628d72ded485621b85594a780"/>
    <w:p>
      <w:pPr>
        <w:pStyle w:val="Heading3"/>
      </w:pPr>
      <w:r>
        <w:t xml:space="preserve">Pourquoi ce chapitre figure dans un livre sur les peptides</w:t>
      </w:r>
    </w:p>
    <w:p>
      <w:pPr>
        <w:pStyle w:val="FirstParagraph"/>
      </w:pPr>
      <w:r>
        <w:t xml:space="preserve">Jusqu’en 2025, tous les médicaments GLP-1 étaient des peptides. Les peptides sont en grande partie digérés dans le tube digestif et à peine absorbés – c’est pourquoi ils doivent être injectés. La seule exception, le sémaglutide en comprimé, nécessite un excipient qui facilite l’absorption à travers la muqueuse gastrique, ainsi que des règles de prise strictes : à jeun, avec peu d’eau et à distance du petit-déjeuner (voir le chapitre Sémaglutide et la partie I sur la question de savoir comment les peptides entrent dans l’organisme).</w:t>
      </w:r>
    </w:p>
    <w:p>
      <w:pPr>
        <w:pStyle w:val="BodyText"/>
      </w:pPr>
      <w:r>
        <w:t xml:space="preserve">L’orforglipron contourne ce problème par principe : en tant que petite molécule, il est absorbé par l’intestin comme un comprimé classique. D’après les études, il peut être pris sans tenir compte des repas ni de la quantité d’eau</w:t>
      </w:r>
      <w:r>
        <w:rPr>
          <w:rStyle w:val="FootnoteReference"/>
        </w:rPr>
        <w:footnoteReference w:id="857"/>
      </w:r>
      <w:r>
        <w:t xml:space="preserve">. L’orforglipron est ainsi le principal cas de comparaison pour la question de savoir si l’avenir des médicaments amaigrissants passe vraiment par les peptides (voir partie V).</w:t>
      </w:r>
    </w:p>
    <w:bookmarkEnd w:id="858"/>
    <w:bookmarkStart w:id="860" w:name="mode-daction-supposé-14"/>
    <w:p>
      <w:pPr>
        <w:pStyle w:val="Heading3"/>
      </w:pPr>
      <w:r>
        <w:t xml:space="preserve">Mode d’action supposé</w:t>
      </w:r>
    </w:p>
    <w:p>
      <w:pPr>
        <w:pStyle w:val="FirstParagraph"/>
      </w:pPr>
      <w:r>
        <w:t xml:space="preserve">L’orforglipron se lie au récepteur du GLP-1 et déclenche des effets similaires à ceux des agonistes peptidiques : moins d’appétit, vidange gastrique retardée, davantage d’insuline en fonction de la glycémie. Il n’active que le récepteur du GLP-1, pas les récepteurs du GIP ou du glucagon. Des études chez des personnes atteintes de diabète de type 2 ont montré des améliorations de marqueurs de la fonction des cellules bêta et de la sensibilité à l’insuline</w:t>
      </w:r>
      <w:r>
        <w:rPr>
          <w:rStyle w:val="FootnoteReference"/>
        </w:rPr>
        <w:footnoteReference w:id="859"/>
      </w:r>
      <w:r>
        <w:t xml:space="preserve">.</w:t>
      </w:r>
    </w:p>
    <w:bookmarkEnd w:id="860"/>
    <w:bookmarkStart w:id="871" w:name="études-chez-lhumain-14"/>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fourni 20 études chez l’humain. Sur ClinicalTrials.gov, 53 études étaient enregistrées. Les programmes d’homologation s’appellent</w:t>
      </w:r>
      <w:r>
        <w:t xml:space="preserve"> </w:t>
      </w:r>
      <w:r>
        <w:rPr>
          <w:bCs/>
          <w:b/>
        </w:rPr>
        <w:t xml:space="preserve">ATTAIN</w:t>
      </w:r>
      <w:r>
        <w:t xml:space="preserve"> </w:t>
      </w:r>
      <w:r>
        <w:t xml:space="preserve">(obésité) et</w:t>
      </w:r>
      <w:r>
        <w:t xml:space="preserve"> </w:t>
      </w:r>
      <w:r>
        <w:rPr>
          <w:bCs/>
          <w:b/>
        </w:rPr>
        <w:t xml:space="preserve">ACHIEVE</w:t>
      </w:r>
      <w:r>
        <w:t xml:space="preserve"> </w:t>
      </w:r>
      <w:r>
        <w:t xml:space="preserve">(diabète de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2 obésité (Wharton 2023), PMID 37351564</w:t>
            </w:r>
          </w:p>
        </w:tc>
        <w:tc>
          <w:tcPr/>
          <w:p>
            <w:pPr>
              <w:pStyle w:val="Compact"/>
              <w:jc w:val="left"/>
            </w:pPr>
            <w:r>
              <w:t xml:space="preserve">272 adultes sans diabète, contre placebo</w:t>
            </w:r>
          </w:p>
        </w:tc>
        <w:tc>
          <w:tcPr/>
          <w:p>
            <w:pPr>
              <w:pStyle w:val="Compact"/>
              <w:jc w:val="left"/>
            </w:pPr>
            <w:r>
              <w:t xml:space="preserve">36 semaines</w:t>
            </w:r>
          </w:p>
        </w:tc>
        <w:tc>
          <w:tcPr/>
          <w:p>
            <w:pPr>
              <w:pStyle w:val="Compact"/>
              <w:jc w:val="left"/>
            </w:pPr>
            <w:r>
              <w:t xml:space="preserve">−9,4 à −14,7 % de poids vs −2,3 %</w:t>
            </w:r>
          </w:p>
        </w:tc>
      </w:tr>
      <w:tr>
        <w:tc>
          <w:tcPr/>
          <w:p>
            <w:pPr>
              <w:pStyle w:val="Compact"/>
              <w:jc w:val="left"/>
            </w:pPr>
            <w:r>
              <w:t xml:space="preserve">ATTAIN-1 (Wharton 2025), PMID 40960239</w:t>
            </w:r>
          </w:p>
        </w:tc>
        <w:tc>
          <w:tcPr/>
          <w:p>
            <w:pPr>
              <w:pStyle w:val="Compact"/>
              <w:jc w:val="left"/>
            </w:pPr>
            <w:r>
              <w:t xml:space="preserve">3 127 adultes obèses sans diabète, contre placebo</w:t>
            </w:r>
          </w:p>
        </w:tc>
        <w:tc>
          <w:tcPr/>
          <w:p>
            <w:pPr>
              <w:pStyle w:val="Compact"/>
              <w:jc w:val="left"/>
            </w:pPr>
            <w:r>
              <w:t xml:space="preserve">72 semaines</w:t>
            </w:r>
          </w:p>
        </w:tc>
        <w:tc>
          <w:tcPr/>
          <w:p>
            <w:pPr>
              <w:pStyle w:val="Compact"/>
              <w:jc w:val="left"/>
            </w:pPr>
            <w:r>
              <w:t xml:space="preserve">−7,5 / −8,4 / −11,2 % vs −2,1 %</w:t>
            </w:r>
          </w:p>
        </w:tc>
      </w:tr>
      <w:tr>
        <w:tc>
          <w:tcPr/>
          <w:p>
            <w:pPr>
              <w:pStyle w:val="Compact"/>
              <w:jc w:val="left"/>
            </w:pPr>
            <w:r>
              <w:t xml:space="preserve">ATTAIN-2 (Horn 2026), PMID 41275875</w:t>
            </w:r>
          </w:p>
        </w:tc>
        <w:tc>
          <w:tcPr/>
          <w:p>
            <w:pPr>
              <w:pStyle w:val="Compact"/>
              <w:jc w:val="left"/>
            </w:pPr>
            <w:r>
              <w:t xml:space="preserve">1 613 adultes obèses atteints de diabète de type 2</w:t>
            </w:r>
          </w:p>
        </w:tc>
        <w:tc>
          <w:tcPr/>
          <w:p>
            <w:pPr>
              <w:pStyle w:val="Compact"/>
              <w:jc w:val="left"/>
            </w:pPr>
            <w:r>
              <w:t xml:space="preserve">72 semaines</w:t>
            </w:r>
          </w:p>
        </w:tc>
        <w:tc>
          <w:tcPr/>
          <w:p>
            <w:pPr>
              <w:pStyle w:val="Compact"/>
              <w:jc w:val="left"/>
            </w:pPr>
            <w:r>
              <w:t xml:space="preserve">−5,1 / −7,0 / −9,6 % vs −2,5 %</w:t>
            </w:r>
          </w:p>
        </w:tc>
      </w:tr>
      <w:tr>
        <w:tc>
          <w:tcPr/>
          <w:p>
            <w:pPr>
              <w:pStyle w:val="Compact"/>
              <w:jc w:val="left"/>
            </w:pPr>
            <w:r>
              <w:t xml:space="preserve">ATTAIN-MAINTAIN (Aronne 2026), PMID 42120723</w:t>
            </w:r>
          </w:p>
        </w:tc>
        <w:tc>
          <w:tcPr/>
          <w:p>
            <w:pPr>
              <w:pStyle w:val="Compact"/>
              <w:jc w:val="left"/>
            </w:pPr>
            <w:r>
              <w:t xml:space="preserve">376 adultes après tirzépatide ou sémaglutide, relais vs placebo</w:t>
            </w:r>
          </w:p>
        </w:tc>
        <w:tc>
          <w:tcPr/>
          <w:p>
            <w:pPr>
              <w:pStyle w:val="Compact"/>
              <w:jc w:val="left"/>
            </w:pPr>
            <w:r>
              <w:t xml:space="preserve">52 semaines</w:t>
            </w:r>
          </w:p>
        </w:tc>
        <w:tc>
          <w:tcPr/>
          <w:p>
            <w:pPr>
              <w:pStyle w:val="Compact"/>
              <w:jc w:val="left"/>
            </w:pPr>
            <w:r>
              <w:t xml:space="preserve">74,7 % et 79,3 % de la perte de poids maintenus (placebo 49,2 % et 37,6 %)</w:t>
            </w:r>
          </w:p>
        </w:tc>
      </w:tr>
      <w:tr>
        <w:tc>
          <w:tcPr/>
          <w:p>
            <w:pPr>
              <w:pStyle w:val="Compact"/>
              <w:jc w:val="left"/>
            </w:pPr>
            <w:r>
              <w:t xml:space="preserve">ACHIEVE-1 (Rosenstock 2025), PMID 40544435</w:t>
            </w:r>
          </w:p>
        </w:tc>
        <w:tc>
          <w:tcPr/>
          <w:p>
            <w:pPr>
              <w:pStyle w:val="Compact"/>
              <w:jc w:val="left"/>
            </w:pPr>
            <w:r>
              <w:t xml:space="preserve">559 adultes atteints de diabète de type 2 débutant</w:t>
            </w:r>
          </w:p>
        </w:tc>
        <w:tc>
          <w:tcPr/>
          <w:p>
            <w:pPr>
              <w:pStyle w:val="Compact"/>
              <w:jc w:val="left"/>
            </w:pPr>
            <w:r>
              <w:t xml:space="preserve">40 semaines</w:t>
            </w:r>
          </w:p>
        </w:tc>
        <w:tc>
          <w:tcPr/>
          <w:p>
            <w:pPr>
              <w:pStyle w:val="Compact"/>
              <w:jc w:val="left"/>
            </w:pPr>
            <w:r>
              <w:t xml:space="preserve">HbA1c −1,24 à −1,48 vs −0,41</w:t>
            </w:r>
          </w:p>
        </w:tc>
      </w:tr>
      <w:tr>
        <w:tc>
          <w:tcPr/>
          <w:p>
            <w:pPr>
              <w:pStyle w:val="Compact"/>
              <w:jc w:val="left"/>
            </w:pPr>
            <w:r>
              <w:t xml:space="preserve">ACHIEVE-3 (Rosenstock 2026), PMID 41765029</w:t>
            </w:r>
          </w:p>
        </w:tc>
        <w:tc>
          <w:tcPr/>
          <w:p>
            <w:pPr>
              <w:pStyle w:val="Compact"/>
              <w:jc w:val="left"/>
            </w:pPr>
            <w:r>
              <w:t xml:space="preserve">1 698 adultes atteints de diabète de type 2, en ouvert contre sémaglutide en comprimé</w:t>
            </w:r>
          </w:p>
        </w:tc>
        <w:tc>
          <w:tcPr/>
          <w:p>
            <w:pPr>
              <w:pStyle w:val="Compact"/>
              <w:jc w:val="left"/>
            </w:pPr>
            <w:r>
              <w:t xml:space="preserve">52 semaines</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2 749 adultes atteints de diabète de type 2 à haut risque cardiovasculaire, contre insuline glargine</w:t>
            </w:r>
          </w:p>
        </w:tc>
        <w:tc>
          <w:tcPr/>
          <w:p>
            <w:pPr>
              <w:pStyle w:val="Compact"/>
              <w:jc w:val="left"/>
            </w:pPr>
            <w:r>
              <w:t xml:space="preserve">médiane 2 ans</w:t>
            </w:r>
          </w:p>
        </w:tc>
        <w:tc>
          <w:tcPr/>
          <w:p>
            <w:pPr>
              <w:pStyle w:val="Compact"/>
              <w:jc w:val="left"/>
            </w:pPr>
            <w:r>
              <w:t xml:space="preserve">MACE-4 : 4,2 % vs 5,0 % (non inférieur)</w:t>
            </w:r>
          </w:p>
        </w:tc>
      </w:tr>
    </w:tbl>
    <w:bookmarkStart w:id="865" w:name="obésité-attain"/>
    <w:p>
      <w:pPr>
        <w:pStyle w:val="Heading4"/>
      </w:pPr>
      <w:r>
        <w:t xml:space="preserve">Obésité : ATTAIN</w:t>
      </w:r>
    </w:p>
    <w:p>
      <w:pPr>
        <w:pStyle w:val="FirstParagraph"/>
      </w:pPr>
      <w:r>
        <w:rPr>
          <w:bCs/>
          <w:b/>
        </w:rPr>
        <w:t xml:space="preserve">ATTAIN-1</w:t>
      </w:r>
      <w:r>
        <w:rPr>
          <w:rStyle w:val="FootnoteReference"/>
        </w:rPr>
        <w:footnoteReference w:id="861"/>
      </w:r>
      <w:r>
        <w:t xml:space="preserve"> </w:t>
      </w:r>
      <w:r>
        <w:t xml:space="preserve">est l’étude principale. Après 72 semaines, les 3 127 participants à la dose la plus élevée ont perdu en moyenne 11,2 % de leur poids, contre 2,1 % sous placebo. À la dose la plus élevée, 54,6 % ont atteint une perte de poids d’au moins 10 % et 18,4 % d’au moins 20 %. Les arrêts pour effets indésirables étaient de 5,3 à 10,3 % (placebo 2,7 %).</w:t>
      </w:r>
    </w:p>
    <w:p>
      <w:pPr>
        <w:pStyle w:val="BodyText"/>
      </w:pPr>
      <w:r>
        <w:t xml:space="preserve">Pour situer : c’est nettement moins qu’avec le sémaglutide ou le tirzépatide injectables dans leurs études d’homologation, et moins que ce que laissait espérer l’étude de phase 2, avec jusqu’à 14,7 % après 36 semaines</w:t>
      </w:r>
      <w:r>
        <w:rPr>
          <w:rStyle w:val="FootnoteReference"/>
        </w:rPr>
        <w:footnoteReference w:id="862"/>
      </w:r>
      <w:r>
        <w:t xml:space="preserve">. Les comparaisons croisées entre études ne sont toutefois qu’un repère grossier.</w:t>
      </w:r>
    </w:p>
    <w:p>
      <w:pPr>
        <w:pStyle w:val="BodyText"/>
      </w:pPr>
      <w:r>
        <w:rPr>
          <w:bCs/>
          <w:b/>
        </w:rPr>
        <w:t xml:space="preserve">ATTAIN-2</w:t>
      </w:r>
      <w:r>
        <w:rPr>
          <w:rStyle w:val="FootnoteReference"/>
        </w:rPr>
        <w:footnoteReference w:id="863"/>
      </w:r>
      <w:r>
        <w:t xml:space="preserve"> </w:t>
      </w:r>
      <w:r>
        <w:t xml:space="preserve">a montré chez des personnes atteintes de diabète de type 2 une perte de poids allant jusqu’à 9,6 % contre 2,5 % sous placebo.</w:t>
      </w:r>
    </w:p>
    <w:p>
      <w:pPr>
        <w:pStyle w:val="BodyText"/>
      </w:pPr>
      <w:r>
        <w:rPr>
          <w:bCs/>
          <w:b/>
        </w:rPr>
        <w:t xml:space="preserve">ATTAIN-MAINTAIN</w:t>
      </w:r>
      <w:r>
        <w:rPr>
          <w:rStyle w:val="FootnoteReference"/>
        </w:rPr>
        <w:footnoteReference w:id="864"/>
      </w:r>
      <w:r>
        <w:t xml:space="preserve"> </w:t>
      </w:r>
      <w:r>
        <w:t xml:space="preserve">est particulièrement intéressante pour la pratique. Des participants qui avaient auparavant perdu du poids dans l’étude SURMOUNT-5 avec le tirzépatide ou le sémaglutide injectables sont passés à l’orforglipron ou à un placebo. Après 52 semaines, les personnes précédemment traitées par tirzépatide ont maintenu sous orforglipron 74,7 % de leur perte de poids (placebo 49,2 %), celles précédemment traitées par sémaglutide 79,3 % (placebo 37,6 %). Il n’y avait pas de groupe de comparaison continuant simplement l’injection – les auteurs le citent eux-mêmes comme limite. Le concept « perdre du poids avec l’injection, le maintenir avec le comprimé » est ainsi étayé pour la première fois, mais pas encore évalué face à l’alternative « poursuivre l’injection ».</w:t>
      </w:r>
    </w:p>
    <w:bookmarkEnd w:id="865"/>
    <w:bookmarkStart w:id="870" w:name="diabète-de-type-2-achieve"/>
    <w:p>
      <w:pPr>
        <w:pStyle w:val="Heading4"/>
      </w:pPr>
      <w:r>
        <w:t xml:space="preserve">Diabète de type 2 : ACHIEVE</w:t>
      </w:r>
    </w:p>
    <w:p>
      <w:pPr>
        <w:numPr>
          <w:ilvl w:val="0"/>
          <w:numId w:val="1109"/>
        </w:numPr>
        <w:pStyle w:val="Compact"/>
      </w:pPr>
      <w:r>
        <w:rPr>
          <w:bCs/>
          <w:b/>
        </w:rPr>
        <w:t xml:space="preserve">ACHIEVE-1</w:t>
      </w:r>
      <w:r>
        <w:rPr>
          <w:rStyle w:val="FootnoteReference"/>
        </w:rPr>
        <w:footnoteReference w:id="866"/>
      </w:r>
      <w:r>
        <w:t xml:space="preserve"> </w:t>
      </w:r>
      <w:r>
        <w:t xml:space="preserve">: dans le diabète de type 2 débutant sans autre traitement, l’HbA1c a baissé après 40 semaines de jusqu’à 1,48 point de pourcentage (placebo −0,41), le poids de jusqu’à 7,6 %. Aucune hypoglycémie sévère n’est survenue.</w:t>
      </w:r>
    </w:p>
    <w:p>
      <w:pPr>
        <w:numPr>
          <w:ilvl w:val="0"/>
          <w:numId w:val="1109"/>
        </w:numPr>
        <w:pStyle w:val="Compact"/>
      </w:pPr>
      <w:r>
        <w:rPr>
          <w:bCs/>
          <w:b/>
        </w:rPr>
        <w:t xml:space="preserve">ACHIEVE-2</w:t>
      </w:r>
      <w:r>
        <w:rPr>
          <w:rStyle w:val="FootnoteReference"/>
        </w:rPr>
        <w:footnoteReference w:id="867"/>
      </w:r>
      <w:r>
        <w:t xml:space="preserve"> </w:t>
      </w:r>
      <w:r>
        <w:t xml:space="preserve">: face à l’inhibiteur du SGLT2 dapagliflozine, l’orforglipron s’est montré non inférieur sur l’HbA1c et plus efficace à toutes les doses (jusqu’à −1,56 vs −0,81 point de pourcentage).</w:t>
      </w:r>
    </w:p>
    <w:p>
      <w:pPr>
        <w:numPr>
          <w:ilvl w:val="0"/>
          <w:numId w:val="1109"/>
        </w:numPr>
        <w:pStyle w:val="Compact"/>
      </w:pPr>
      <w:r>
        <w:rPr>
          <w:bCs/>
          <w:b/>
        </w:rPr>
        <w:t xml:space="preserve">ACHIEVE-3</w:t>
      </w:r>
      <w:r>
        <w:rPr>
          <w:rStyle w:val="FootnoteReference"/>
        </w:rPr>
        <w:footnoteReference w:id="868"/>
      </w:r>
      <w:r>
        <w:t xml:space="preserve"> </w:t>
      </w:r>
      <w:r>
        <w:t xml:space="preserve">: en comparaison directe avec le sémaglutide en comprimé, l’orforglipron a davantage abaissé l’HbA1c (−1,91 vs −1,47 point de pourcentage aux doses respectivement les plus élevées). L’étude était en ouvert, donc non en aveugle. Les troubles digestifs étaient plus fréquents sous orforglipron (58–59 % vs 37–45 %), de même que les arrêts pour effets indésirables (9–10 % vs 4–5 %).</w:t>
      </w:r>
    </w:p>
    <w:p>
      <w:pPr>
        <w:numPr>
          <w:ilvl w:val="0"/>
          <w:numId w:val="1109"/>
        </w:numPr>
        <w:pStyle w:val="Compact"/>
      </w:pPr>
      <w:r>
        <w:rPr>
          <w:bCs/>
          <w:b/>
        </w:rPr>
        <w:t xml:space="preserve">ACHIEVE-4</w:t>
      </w:r>
      <w:r>
        <w:rPr>
          <w:rStyle w:val="FootnoteReference"/>
        </w:rPr>
        <w:footnoteReference w:id="869"/>
      </w:r>
      <w:r>
        <w:t xml:space="preserve"> </w:t>
      </w:r>
      <w:r>
        <w:t xml:space="preserve">: l’étude de sécurité cardiovasculaire (voir ci-dessous).</w:t>
      </w:r>
    </w:p>
    <w:bookmarkEnd w:id="870"/>
    <w:bookmarkEnd w:id="871"/>
    <w:bookmarkStart w:id="873" w:name="études-animales-et-de-laboratoire-14"/>
    <w:p>
      <w:pPr>
        <w:pStyle w:val="Heading3"/>
      </w:pPr>
      <w:r>
        <w:t xml:space="preserve">Études animales et de laboratoire</w:t>
      </w:r>
    </w:p>
    <w:p>
      <w:pPr>
        <w:pStyle w:val="FirstParagraph"/>
      </w:pPr>
      <w:r>
        <w:t xml:space="preserve">Pour ce chapitre de comparaison, les données précliniques ne sont pas présentées en détail. Une différence pharmacologique est importante : en tant que petite molécule, l’orforglipron est dégradé par les enzymes hépatiques. C’est pourquoi de nombreuses études sur les interactions avec d’autres médicaments ont été menées, par exemple avec la clarithromycine, la ciclosporine, la carbamazépine ou la quinidine</w:t>
      </w:r>
      <w:r>
        <w:rPr>
          <w:rStyle w:val="FootnoteReference"/>
        </w:rPr>
        <w:footnoteReference w:id="872"/>
      </w:r>
      <w:r>
        <w:t xml:space="preserve">. Les agonistes peptidiques, en revanche, sont dégradés comme des protéines et ne présentent pratiquement pas de telles interactions.</w:t>
      </w:r>
    </w:p>
    <w:bookmarkEnd w:id="873"/>
    <w:bookmarkStart w:id="881" w:name="risques-et-effets-indésirables-14"/>
    <w:p>
      <w:pPr>
        <w:pStyle w:val="Heading3"/>
      </w:pPr>
      <w:r>
        <w:t xml:space="preserve">Risques et effets indésirables</w:t>
      </w:r>
    </w:p>
    <w:p>
      <w:pPr>
        <w:pStyle w:val="FirstParagraph"/>
      </w:pPr>
      <w:r>
        <w:rPr>
          <w:bCs/>
          <w:b/>
        </w:rPr>
        <w:t xml:space="preserve">Établi par les études :</w:t>
      </w:r>
    </w:p>
    <w:p>
      <w:pPr>
        <w:numPr>
          <w:ilvl w:val="0"/>
          <w:numId w:val="1110"/>
        </w:numPr>
        <w:pStyle w:val="Compact"/>
      </w:pPr>
      <w:r>
        <w:rPr>
          <w:bCs/>
          <w:b/>
        </w:rPr>
        <w:t xml:space="preserve">Troubles digestifs</w:t>
      </w:r>
      <w:r>
        <w:t xml:space="preserve"> </w:t>
      </w:r>
      <w:r>
        <w:t xml:space="preserve">comme avec tous les agonistes du GLP-1, le plus souvent légers à modérés et pendant la titration. Dans ACHIEVE-4, 62,1 % sous orforglipron contre 14,2 % sous insuline glargine ont signalé des troubles digestifs</w:t>
      </w:r>
      <w:r>
        <w:rPr>
          <w:rStyle w:val="FootnoteReference"/>
        </w:rPr>
        <w:footnoteReference w:id="874"/>
      </w:r>
      <w:r>
        <w:t xml:space="preserve">.</w:t>
      </w:r>
    </w:p>
    <w:p>
      <w:pPr>
        <w:numPr>
          <w:ilvl w:val="0"/>
          <w:numId w:val="1110"/>
        </w:numPr>
        <w:pStyle w:val="Compact"/>
      </w:pPr>
      <w:r>
        <w:rPr>
          <w:bCs/>
          <w:b/>
        </w:rPr>
        <w:t xml:space="preserve">Arrêts pour effets indésirables :</w:t>
      </w:r>
      <w:r>
        <w:t xml:space="preserve"> </w:t>
      </w:r>
      <w:r>
        <w:t xml:space="preserve">jusqu’à 10,3 % dans ATTAIN-1</w:t>
      </w:r>
      <w:r>
        <w:rPr>
          <w:rStyle w:val="FootnoteReference"/>
        </w:rPr>
        <w:footnoteReference w:id="875"/>
      </w:r>
      <w:r>
        <w:t xml:space="preserve">, environ deux fois plus fréquents qu’avec le sémaglutide en comprimé</w:t>
      </w:r>
      <w:r>
        <w:rPr>
          <w:rStyle w:val="FootnoteReference"/>
        </w:rPr>
        <w:footnoteReference w:id="876"/>
      </w:r>
      <w:r>
        <w:t xml:space="preserve">.</w:t>
      </w:r>
    </w:p>
    <w:p>
      <w:pPr>
        <w:numPr>
          <w:ilvl w:val="0"/>
          <w:numId w:val="1110"/>
        </w:numPr>
        <w:pStyle w:val="Compact"/>
      </w:pPr>
      <w:r>
        <w:rPr>
          <w:bCs/>
          <w:b/>
        </w:rPr>
        <w:t xml:space="preserve">Pouls :</w:t>
      </w:r>
      <w:r>
        <w:t xml:space="preserve"> </w:t>
      </w:r>
      <w:r>
        <w:t xml:space="preserve">dans ACHIEVE-3, la fréquence cardiaque a augmenté de 3,7 à 4,7 battements par minute sous orforglipron, de 1,0 à 1,5 sous sémaglutide en comprimé</w:t>
      </w:r>
      <w:r>
        <w:rPr>
          <w:rStyle w:val="FootnoteReference"/>
        </w:rPr>
        <w:footnoteReference w:id="877"/>
      </w:r>
      <w:r>
        <w:t xml:space="preserve">.</w:t>
      </w:r>
    </w:p>
    <w:p>
      <w:pPr>
        <w:numPr>
          <w:ilvl w:val="0"/>
          <w:numId w:val="1110"/>
        </w:numPr>
        <w:pStyle w:val="Compact"/>
      </w:pPr>
      <w:r>
        <w:rPr>
          <w:bCs/>
          <w:b/>
        </w:rPr>
        <w:t xml:space="preserve">Sécurité cardiovasculaire :</w:t>
      </w:r>
      <w:r>
        <w:t xml:space="preserve"> </w:t>
      </w:r>
      <w:r>
        <w:t xml:space="preserve">dans ACHIEVE-4, des événements cardiovasculaires graves sont survenus chez 4,2 % sous orforglipron et 5,0 % sous insuline glargine (hazard ratio 0,84 ; IC à 95 % 0,59–1,20) – l’orforglipron était donc non inférieur. Les hypoglycémies cliniquement significatives ou sévères étaient plus rares (6,8 % vs 19,2 %)</w:t>
      </w:r>
      <w:r>
        <w:rPr>
          <w:rStyle w:val="FootnoteReference"/>
        </w:rPr>
        <w:footnoteReference w:id="878"/>
      </w:r>
      <w:r>
        <w:t xml:space="preserve">. Une étude dédiée sur critères cliniques doit montrer si l’orforglipron, comme certains agonistes peptidiques,</w:t>
      </w:r>
      <w:r>
        <w:t xml:space="preserve"> </w:t>
      </w:r>
      <w:r>
        <w:rPr>
          <w:iCs/>
          <w:i/>
        </w:rPr>
        <w:t xml:space="preserve">réduit</w:t>
      </w:r>
      <w:r>
        <w:t xml:space="preserve"> </w:t>
      </w:r>
      <w:r>
        <w:t xml:space="preserve">les événements cardiovasculaires</w:t>
      </w:r>
      <w:r>
        <w:rPr>
          <w:rStyle w:val="FootnoteReference"/>
        </w:rPr>
        <w:footnoteReference w:id="879"/>
      </w:r>
      <w:r>
        <w:t xml:space="preserve">.</w:t>
      </w:r>
    </w:p>
    <w:p>
      <w:pPr>
        <w:numPr>
          <w:ilvl w:val="0"/>
          <w:numId w:val="1110"/>
        </w:numPr>
        <w:pStyle w:val="Compact"/>
      </w:pPr>
      <w:r>
        <w:rPr>
          <w:bCs/>
          <w:b/>
        </w:rPr>
        <w:t xml:space="preserve">Foie :</w:t>
      </w:r>
      <w:r>
        <w:t xml:space="preserve"> </w:t>
      </w:r>
      <w:r>
        <w:t xml:space="preserve">avec de petites molécules GLP-1 d’autres fabricants, des élévations des enzymes hépatiques ont posé problème. Une analyse groupée de sept études de phase 3 portant sur 11 220 participants n’a trouvé pour l’orforglipron aucun cas de lésion hépatique d’origine médicamenteuse ; les valeurs hépatiques ont même baissé en moyenne</w:t>
      </w:r>
      <w:r>
        <w:rPr>
          <w:rStyle w:val="FootnoteReference"/>
        </w:rPr>
        <w:footnoteReference w:id="880"/>
      </w:r>
      <w:r>
        <w:t xml:space="preserve">.</w:t>
      </w:r>
    </w:p>
    <w:bookmarkEnd w:id="881"/>
    <w:bookmarkStart w:id="882" w:name="statut-juridique-14"/>
    <w:p>
      <w:pPr>
        <w:pStyle w:val="Heading3"/>
      </w:pPr>
      <w:r>
        <w:t xml:space="preserve">Statut juridique</w:t>
      </w:r>
    </w:p>
    <w:p>
      <w:pPr>
        <w:numPr>
          <w:ilvl w:val="0"/>
          <w:numId w:val="1111"/>
        </w:numPr>
        <w:pStyle w:val="Compact"/>
      </w:pPr>
      <w:r>
        <w:rPr>
          <w:bCs/>
          <w:b/>
        </w:rPr>
        <w:t xml:space="preserve">UE / Autriche / Allemagne :</w:t>
      </w:r>
      <w:r>
        <w:t xml:space="preserve"> </w:t>
      </w:r>
      <w:r>
        <w:t xml:space="preserve">répertorié comme non autorisé en octobre 2026 ; une procédure d’autorisation est attendue ou peut déjà être en cours – à vérifier.</w:t>
      </w:r>
    </w:p>
    <w:p>
      <w:pPr>
        <w:numPr>
          <w:ilvl w:val="0"/>
          <w:numId w:val="1111"/>
        </w:numPr>
        <w:pStyle w:val="Compact"/>
      </w:pPr>
      <w:r>
        <w:rPr>
          <w:bCs/>
          <w:b/>
        </w:rPr>
        <w:t xml:space="preserve">États-Unis :</w:t>
      </w:r>
      <w:r>
        <w:t xml:space="preserve"> </w:t>
      </w:r>
      <w:r>
        <w:t xml:space="preserve">des demandes d’autorisation pour l’obésité et le diabète de type 2 ont été déposées ou annoncées sur la base des données ATTAIN et ACHIEVE ; état de la décision à vérifier.</w:t>
      </w:r>
    </w:p>
    <w:p>
      <w:pPr>
        <w:numPr>
          <w:ilvl w:val="0"/>
          <w:numId w:val="1111"/>
        </w:numPr>
        <w:pStyle w:val="Compact"/>
      </w:pPr>
      <w:r>
        <w:rPr>
          <w:bCs/>
          <w:b/>
        </w:rPr>
        <w:t xml:space="preserve">Sport :</w:t>
      </w:r>
      <w:r>
        <w:t xml:space="preserve"> </w:t>
      </w:r>
      <w:r>
        <w:t xml:space="preserve">tant qu’il n’est autorisé nulle part, classe S0 de la WADA (état 2026, à vérifier).</w:t>
      </w:r>
    </w:p>
    <w:p>
      <w:pPr>
        <w:numPr>
          <w:ilvl w:val="0"/>
          <w:numId w:val="1111"/>
        </w:numPr>
        <w:pStyle w:val="Compact"/>
      </w:pPr>
      <w:r>
        <w:t xml:space="preserve">Les offres d’« Orforglipron » non autorisé sur Internet ne sont pas des médicaments contrôlés.</w:t>
      </w:r>
    </w:p>
    <w:bookmarkEnd w:id="882"/>
    <w:bookmarkStart w:id="890" w:name="études-en-cours-et-perspectives-14"/>
    <w:p>
      <w:pPr>
        <w:pStyle w:val="Heading3"/>
      </w:pPr>
      <w:r>
        <w:t xml:space="preserve">Études en cours et perspectives</w:t>
      </w:r>
    </w:p>
    <w:p>
      <w:pPr>
        <w:pStyle w:val="FirstParagraph"/>
      </w:pPr>
      <w:r>
        <w:rPr>
          <w:bCs/>
          <w:b/>
        </w:rPr>
        <w:t xml:space="preserve">Établi (études enregistrées, état octobre 2026) :</w:t>
      </w:r>
    </w:p>
    <w:p>
      <w:pPr>
        <w:numPr>
          <w:ilvl w:val="0"/>
          <w:numId w:val="1112"/>
        </w:numPr>
        <w:pStyle w:val="Compact"/>
      </w:pPr>
      <w:r>
        <w:rPr>
          <w:bCs/>
          <w:b/>
        </w:rPr>
        <w:t xml:space="preserve">Étude sur critères cliniques cardiovasculaires</w:t>
      </w:r>
      <w:r>
        <w:t xml:space="preserve"> </w:t>
      </w:r>
      <w:r>
        <w:t xml:space="preserve">dans l’athérosclérose (NCT07241390, 7 140 participants, jusqu’en 2031).</w:t>
      </w:r>
    </w:p>
    <w:p>
      <w:pPr>
        <w:numPr>
          <w:ilvl w:val="0"/>
          <w:numId w:val="1112"/>
        </w:numPr>
        <w:pStyle w:val="Compact"/>
      </w:pPr>
      <w:r>
        <w:rPr>
          <w:bCs/>
          <w:b/>
        </w:rPr>
        <w:t xml:space="preserve">Artériopathie oblitérante des membres inférieurs</w:t>
      </w:r>
      <w:r>
        <w:rPr>
          <w:rStyle w:val="FootnoteReference"/>
        </w:rPr>
        <w:footnoteReference w:id="883"/>
      </w:r>
      <w:r>
        <w:t xml:space="preserve">,</w:t>
      </w:r>
      <w:r>
        <w:t xml:space="preserve"> </w:t>
      </w:r>
      <w:r>
        <w:rPr>
          <w:bCs/>
          <w:b/>
        </w:rPr>
        <w:t xml:space="preserve">hypertension artérielle</w:t>
      </w:r>
      <w:r>
        <w:rPr>
          <w:rStyle w:val="FootnoteReference"/>
        </w:rPr>
        <w:footnoteReference w:id="884"/>
      </w:r>
      <w:r>
        <w:t xml:space="preserve">,</w:t>
      </w:r>
      <w:r>
        <w:t xml:space="preserve"> </w:t>
      </w:r>
      <w:r>
        <w:rPr>
          <w:bCs/>
          <w:b/>
        </w:rPr>
        <w:t xml:space="preserve">gonarthrose</w:t>
      </w:r>
      <w:r>
        <w:rPr>
          <w:rStyle w:val="FootnoteReference"/>
        </w:rPr>
        <w:footnoteReference w:id="885"/>
      </w:r>
      <w:r>
        <w:t xml:space="preserve">,</w:t>
      </w:r>
      <w:r>
        <w:t xml:space="preserve"> </w:t>
      </w:r>
      <w:r>
        <w:rPr>
          <w:bCs/>
          <w:b/>
        </w:rPr>
        <w:t xml:space="preserve">incontinence urinaire d’effort</w:t>
      </w:r>
      <w:r>
        <w:t xml:space="preserve"> </w:t>
      </w:r>
      <w:r>
        <w:t xml:space="preserve">chez les femmes obèses</w:t>
      </w:r>
      <w:r>
        <w:rPr>
          <w:rStyle w:val="FootnoteReference"/>
        </w:rPr>
        <w:footnoteReference w:id="886"/>
      </w:r>
      <w:r>
        <w:t xml:space="preserve">.</w:t>
      </w:r>
    </w:p>
    <w:p>
      <w:pPr>
        <w:numPr>
          <w:ilvl w:val="0"/>
          <w:numId w:val="1112"/>
        </w:numPr>
        <w:pStyle w:val="Compact"/>
      </w:pPr>
      <w:r>
        <w:rPr>
          <w:bCs/>
          <w:b/>
        </w:rPr>
        <w:t xml:space="preserve">Adolescents</w:t>
      </w:r>
      <w:r>
        <w:rPr>
          <w:rStyle w:val="FootnoteReference"/>
        </w:rPr>
        <w:footnoteReference w:id="887"/>
      </w:r>
      <w:r>
        <w:t xml:space="preserve"> </w:t>
      </w:r>
      <w:r>
        <w:t xml:space="preserve">et</w:t>
      </w:r>
      <w:r>
        <w:t xml:space="preserve"> </w:t>
      </w:r>
      <w:r>
        <w:rPr>
          <w:bCs/>
          <w:b/>
        </w:rPr>
        <w:t xml:space="preserve">enfants atteints de diabète de type 2</w:t>
      </w:r>
      <w:r>
        <w:t xml:space="preserve"> </w:t>
      </w:r>
      <w:r>
        <w:t xml:space="preserve">en comparaison avec le dulaglutide</w:t>
      </w:r>
      <w:r>
        <w:rPr>
          <w:rStyle w:val="FootnoteReference"/>
        </w:rPr>
        <w:footnoteReference w:id="888"/>
      </w:r>
      <w:r>
        <w:t xml:space="preserve">.</w:t>
      </w:r>
    </w:p>
    <w:p>
      <w:pPr>
        <w:numPr>
          <w:ilvl w:val="0"/>
          <w:numId w:val="1112"/>
        </w:numPr>
        <w:pStyle w:val="Compact"/>
      </w:pPr>
      <w:r>
        <w:t xml:space="preserve">Étude sur l’</w:t>
      </w:r>
      <w:r>
        <w:rPr>
          <w:bCs/>
          <w:b/>
        </w:rPr>
        <w:t xml:space="preserve">apnée du sommeil</w:t>
      </w:r>
      <w:r>
        <w:rPr>
          <w:rStyle w:val="FootnoteReference"/>
        </w:rPr>
        <w:footnoteReference w:id="889"/>
      </w:r>
      <w:r>
        <w:t xml:space="preserve"> </w:t>
      </w:r>
      <w:r>
        <w:t xml:space="preserve">terminée, publication en attente.</w:t>
      </w:r>
    </w:p>
    <w:p>
      <w:pPr>
        <w:pStyle w:val="FirstParagraph"/>
      </w:pPr>
      <w:r>
        <w:rPr>
          <w:bCs/>
          <w:b/>
        </w:rPr>
        <w:t xml:space="preserve">Appréciation :</w:t>
      </w:r>
      <w:r>
        <w:t xml:space="preserve"> </w:t>
      </w:r>
      <w:r>
        <w:t xml:space="preserve">l’orforglipron deviendra probablement le premier médicament GLP-1 non peptidique largement disponible. Sa force n’est pas la perte de poids maximale – là, les peptides injectables gardent l’avantage –, mais la simplicité de la prise, une fabrication probablement moins coûteuse et son adéquation au traitement au long cours après une phase d’injections. Pour le marché des peptides, cela représente une concurrence sérieuse, en particulier dans le traitement au long cours et d’entretien (voir partie V).</w:t>
      </w:r>
    </w:p>
    <w:bookmarkEnd w:id="890"/>
    <w:bookmarkStart w:id="891" w:name="conclusion-14"/>
    <w:p>
      <w:pPr>
        <w:pStyle w:val="Heading3"/>
      </w:pPr>
      <w:r>
        <w:t xml:space="preserve">Conclusion</w:t>
      </w:r>
    </w:p>
    <w:p>
      <w:pPr>
        <w:pStyle w:val="FirstParagraph"/>
      </w:pPr>
      <w:r>
        <w:t xml:space="preserve">L’orforglipron n’est pas un peptide, mais une petite molécule qui active le récepteur du GLP-1 sous forme de comprimé et peut être avalée sans règles de prise. Dans ATTAIN-1, le poids a diminué de jusqu’à 11,2 % après 72 semaines – moins qu’avec le sémaglutide ou le tirzépatide injectables –, et après le passage depuis une injection, les participants ont maintenu environ les trois quarts de leur perte de poids. Dans le diabète de type 2, il a davantage abaissé l’HbA1c que le sémaglutide en comprimé et s’est révélé sûr sur le plan cardiovasculaire par rapport à l’insuline. Les troubles digestifs et les arrêts de traitement sont un peu plus fréquents qu’avec le sémaglutide en comprimé.</w:t>
      </w:r>
    </w:p>
    <w:bookmarkEnd w:id="891"/>
    <w:bookmarkEnd w:id="892"/>
    <w:bookmarkEnd w:id="893"/>
    <w:bookmarkStart w:id="1223" w:name="X32fc95d76b442c520d85f2ac4521145723e78bb"/>
    <w:p>
      <w:pPr>
        <w:pStyle w:val="Heading1"/>
      </w:pPr>
      <w:r>
        <w:t xml:space="preserve">Partie II · B – Cicatrisation, régénération et système immunitaire</w:t>
      </w:r>
    </w:p>
    <w:p>
      <w:pPr>
        <w:pStyle w:val="FirstParagraph"/>
      </w:pPr>
      <w:r>
        <w:t xml:space="preserve">Les peptides de ce groupe promettent ce que beaucoup souhaitent : une guérison plus rapide des tendons et des muscles, une paroi intestinale plus étanche, un système immunitaire plus fort, moins d’inflammation. Dans les boutiques en ligne, les forums de fitness et les cliniques de longévité, le BPC-157, le TB-500 et la thymosine alpha 1 comptent parmi les « peptides de recherche » les plus vendus.</w:t>
      </w:r>
    </w:p>
    <w:bookmarkStart w:id="894" w:name="ce-qui-relie-ces-peptides"/>
    <w:p>
      <w:pPr>
        <w:pStyle w:val="Heading3"/>
      </w:pPr>
      <w:r>
        <w:t xml:space="preserve">Ce qui relie ces peptides</w:t>
      </w:r>
    </w:p>
    <w:p>
      <w:pPr>
        <w:pStyle w:val="FirstParagraph"/>
      </w:pPr>
      <w:r>
        <w:t xml:space="preserve">Les huit substances ne sont pas censées modifier une seule cible clairement mesurable – comme la glycémie ou le poids corporel –, mais « stimuler » ou « normaliser » des processus endogènes de réparation et de défense. Cela a deux conséquences qui traversent tous les chapitres :</w:t>
      </w:r>
    </w:p>
    <w:p>
      <w:pPr>
        <w:numPr>
          <w:ilvl w:val="0"/>
          <w:numId w:val="1113"/>
        </w:numPr>
        <w:pStyle w:val="Compact"/>
      </w:pPr>
      <w:r>
        <w:rPr>
          <w:bCs/>
          <w:b/>
        </w:rPr>
        <w:t xml:space="preserve">L’effet est difficile à mesurer.</w:t>
      </w:r>
      <w:r>
        <w:t xml:space="preserve"> </w:t>
      </w:r>
      <w:r>
        <w:t xml:space="preserve">La cicatrisation, la douleur et la fonction immunitaire varient fortement, dépendent de nombreux facteurs et sont sensibles aux effets placebo. Les petites études sans groupe témoin sont donc particulièrement peu probantes.</w:t>
      </w:r>
    </w:p>
    <w:p>
      <w:pPr>
        <w:numPr>
          <w:ilvl w:val="0"/>
          <w:numId w:val="1113"/>
        </w:numPr>
        <w:pStyle w:val="Compact"/>
      </w:pPr>
      <w:r>
        <w:rPr>
          <w:bCs/>
          <w:b/>
        </w:rPr>
        <w:t xml:space="preserve">La plausibilité remplace souvent les preuves.</w:t>
      </w:r>
      <w:r>
        <w:t xml:space="preserve"> </w:t>
      </w:r>
      <w:r>
        <w:t xml:space="preserve">Presque tous les peptides de ce groupe dérivent de substances endogènes : du suc gastrique (BPC-157), du thymus (thymosine alpha 1, thymaline), de la défense cutanée (LL-37), de l’hormone alpha-MSH (KPV) ou de l’érythropoïétine (ARA-290). « Endogène » semble inoffensif, mais ne dit rien de l’utilité et de la sécurité d’un apport extérieur à forte dose.</w:t>
      </w:r>
    </w:p>
    <w:p>
      <w:pPr>
        <w:pStyle w:val="FirstParagraph"/>
      </w:pPr>
      <w:r>
        <w:t xml:space="preserve">Un schéma récurrent est par ailleurs frappant : de petites études précoces semblent prometteuses, des études plus grandes et plus rigoureusement menées en aveugle ne les confirment pas. On le constate avec la thymosine alpha 1 dans le sepsis, avec la thymosine bêta 4 en collyre, avec le LL-37 sur les ulcères de jambe et avec le larazotide dans la maladie cœliaque.</w:t>
      </w:r>
    </w:p>
    <w:bookmarkEnd w:id="894"/>
    <w:bookmarkStart w:id="895" w:name="le-groupe-en-un-coup-dœil"/>
    <w:p>
      <w:pPr>
        <w:pStyle w:val="Heading3"/>
      </w:pPr>
      <w:r>
        <w:t xml:space="preserve">Le groupe en un coup d’œil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Preuves</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non</w:t>
            </w:r>
          </w:p>
        </w:tc>
        <w:tc>
          <w:tcPr/>
          <w:p>
            <w:pPr>
              <w:pStyle w:val="Compact"/>
              <w:jc w:val="left"/>
            </w:pPr>
            <w:r>
              <w:t xml:space="preserve">des centaines d’études animales, presque toutes d’un seul groupe ; chez l’humain, trois mini-études pilotes</w:t>
            </w:r>
          </w:p>
        </w:tc>
      </w:tr>
      <w:tr>
        <w:tc>
          <w:tcPr/>
          <w:p>
            <w:pPr>
              <w:pStyle w:val="Compact"/>
              <w:jc w:val="left"/>
            </w:pPr>
            <w:r>
              <w:t xml:space="preserve">TB-500 / thymosine bêta 4</w:t>
            </w:r>
          </w:p>
        </w:tc>
        <w:tc>
          <w:tcPr/>
          <w:p>
            <w:pPr>
              <w:pStyle w:val="Compact"/>
              <w:jc w:val="left"/>
            </w:pPr>
            <w:r>
              <w:t xml:space="preserve">B (Tβ4) · D (TB-500)</w:t>
            </w:r>
          </w:p>
        </w:tc>
        <w:tc>
          <w:tcPr/>
          <w:p>
            <w:pPr>
              <w:pStyle w:val="Compact"/>
              <w:jc w:val="left"/>
            </w:pPr>
            <w:r>
              <w:t xml:space="preserve">non</w:t>
            </w:r>
          </w:p>
        </w:tc>
        <w:tc>
          <w:tcPr/>
          <w:p>
            <w:pPr>
              <w:pStyle w:val="Compact"/>
              <w:jc w:val="left"/>
            </w:pPr>
            <w:r>
              <w:t xml:space="preserve">Tβ4 évaluée dans des ECR, grandes études ophtalmiques sans bénéfice clair ; TB-500 jamais chez l’humain</w:t>
            </w:r>
          </w:p>
        </w:tc>
      </w:tr>
      <w:tr>
        <w:tc>
          <w:tcPr/>
          <w:p>
            <w:pPr>
              <w:pStyle w:val="Compact"/>
              <w:jc w:val="left"/>
            </w:pPr>
            <w:r>
              <w:t xml:space="preserve">Thymosine alpha 1</w:t>
            </w:r>
          </w:p>
        </w:tc>
        <w:tc>
          <w:tcPr/>
          <w:p>
            <w:pPr>
              <w:pStyle w:val="Compact"/>
              <w:jc w:val="left"/>
            </w:pPr>
            <w:r>
              <w:t xml:space="preserve">B</w:t>
            </w:r>
          </w:p>
        </w:tc>
        <w:tc>
          <w:tcPr/>
          <w:p>
            <w:pPr>
              <w:pStyle w:val="Compact"/>
              <w:jc w:val="left"/>
            </w:pPr>
            <w:r>
              <w:t xml:space="preserve">Chine entre autres, pas UE/États-Unis</w:t>
            </w:r>
          </w:p>
        </w:tc>
        <w:tc>
          <w:tcPr/>
          <w:p>
            <w:pPr>
              <w:pStyle w:val="Compact"/>
              <w:jc w:val="left"/>
            </w:pPr>
            <w:r>
              <w:t xml:space="preserve">nombreux ECR ; grande étude sur le sepsis sans différence avec le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non</w:t>
            </w:r>
          </w:p>
        </w:tc>
        <w:tc>
          <w:tcPr/>
          <w:p>
            <w:pPr>
              <w:pStyle w:val="Compact"/>
              <w:jc w:val="left"/>
            </w:pPr>
            <w:r>
              <w:t xml:space="preserve">efficace chez des souris atteintes de colite ; aucune étude chez l’humain</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non</w:t>
            </w:r>
          </w:p>
        </w:tc>
        <w:tc>
          <w:tcPr/>
          <w:p>
            <w:pPr>
              <w:pStyle w:val="Compact"/>
              <w:jc w:val="left"/>
            </w:pPr>
            <w:r>
              <w:t xml:space="preserve">peptide de défense endogène ; étude sur les plaies avec 148 personnes sans avantage</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non</w:t>
            </w:r>
          </w:p>
        </w:tc>
        <w:tc>
          <w:tcPr/>
          <w:p>
            <w:pPr>
              <w:pStyle w:val="Compact"/>
              <w:jc w:val="left"/>
            </w:pPr>
            <w:r>
              <w:t xml:space="preserve">petits ECR dans les atteintes nerveuses liées à la sarcoïdose ; aucune nouvelle étude depuis 2015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non</w:t>
            </w:r>
          </w:p>
        </w:tc>
        <w:tc>
          <w:tcPr/>
          <w:p>
            <w:pPr>
              <w:pStyle w:val="Compact"/>
              <w:jc w:val="left"/>
            </w:pPr>
            <w:r>
              <w:t xml:space="preserve">candidat dans la maladie cœliaque ; phase 3 interrompue</w:t>
            </w:r>
          </w:p>
        </w:tc>
      </w:tr>
      <w:tr>
        <w:tc>
          <w:tcPr/>
          <w:p>
            <w:pPr>
              <w:pStyle w:val="Compact"/>
              <w:jc w:val="left"/>
            </w:pPr>
            <w:r>
              <w:t xml:space="preserve">Thymaline / thymogène</w:t>
            </w:r>
          </w:p>
        </w:tc>
        <w:tc>
          <w:tcPr/>
          <w:p>
            <w:pPr>
              <w:pStyle w:val="Compact"/>
              <w:jc w:val="left"/>
            </w:pPr>
            <w:r>
              <w:t xml:space="preserve">C</w:t>
            </w:r>
          </w:p>
        </w:tc>
        <w:tc>
          <w:tcPr/>
          <w:p>
            <w:pPr>
              <w:pStyle w:val="Compact"/>
              <w:jc w:val="left"/>
            </w:pPr>
            <w:r>
              <w:t xml:space="preserve">Russie</w:t>
            </w:r>
          </w:p>
        </w:tc>
        <w:tc>
          <w:tcPr/>
          <w:p>
            <w:pPr>
              <w:pStyle w:val="Compact"/>
              <w:jc w:val="left"/>
            </w:pPr>
            <w:r>
              <w:t xml:space="preserve">presque uniquement des études russes d’une seule école, rarement randomisées</w:t>
            </w:r>
          </w:p>
        </w:tc>
      </w:tr>
    </w:tbl>
    <w:p>
      <w:pPr>
        <w:pStyle w:val="BodyText"/>
      </w:pPr>
      <w:r>
        <w:t xml:space="preserve">Niveaux de preuve :</w:t>
      </w:r>
      <w:r>
        <w:t xml:space="preserve"> </w:t>
      </w:r>
      <w:r>
        <w:rPr>
          <w:bCs/>
          <w:b/>
        </w:rPr>
        <w:t xml:space="preserve">A</w:t>
      </w:r>
      <w:r>
        <w:t xml:space="preserve"> </w:t>
      </w:r>
      <w:r>
        <w:t xml:space="preserve">plusieurs grands ECR ou autorisation ·</w:t>
      </w:r>
      <w:r>
        <w:t xml:space="preserve"> </w:t>
      </w:r>
      <w:r>
        <w:rPr>
          <w:bCs/>
          <w:b/>
        </w:rPr>
        <w:t xml:space="preserve">B</w:t>
      </w:r>
      <w:r>
        <w:t xml:space="preserve"> </w:t>
      </w:r>
      <w:r>
        <w:t xml:space="preserve">quelques ECR ·</w:t>
      </w:r>
      <w:r>
        <w:t xml:space="preserve"> </w:t>
      </w:r>
      <w:r>
        <w:rPr>
          <w:bCs/>
          <w:b/>
        </w:rPr>
        <w:t xml:space="preserve">C</w:t>
      </w:r>
      <w:r>
        <w:t xml:space="preserve"> </w:t>
      </w:r>
      <w:r>
        <w:t xml:space="preserve">seulement de petites études chez l’humain ou des études non contrôlées ·</w:t>
      </w:r>
      <w:r>
        <w:t xml:space="preserve"> </w:t>
      </w:r>
      <w:r>
        <w:rPr>
          <w:bCs/>
          <w:b/>
        </w:rPr>
        <w:t xml:space="preserve">D</w:t>
      </w:r>
      <w:r>
        <w:t xml:space="preserve"> </w:t>
      </w:r>
      <w:r>
        <w:t xml:space="preserve">uniquement des études animales et de laboratoire. L’autorisation désigne l’autorisation comme médicament, état 2026.</w:t>
      </w:r>
    </w:p>
    <w:p>
      <w:pPr>
        <w:pStyle w:val="BodyText"/>
      </w:pPr>
      <w:r>
        <w:t xml:space="preserve">Aucun peptide de ce groupe n’est autorisé comme médicament dans l’UE ou aux États-Unis. Les deux substances autorisées hors du monde occidental – la thymosine alpha 1 et la thymaline – l’ont été sur la base d’études qui ne résistent qu’en partie aux critères actuels.</w:t>
      </w:r>
    </w:p>
    <w:bookmarkEnd w:id="895"/>
    <w:bookmarkStart w:id="896" w:name="conseils-de-lecture"/>
    <w:p>
      <w:pPr>
        <w:pStyle w:val="Heading3"/>
      </w:pPr>
      <w:r>
        <w:t xml:space="preserve">Conseils de lecture</w:t>
      </w:r>
    </w:p>
    <w:p>
      <w:pPr>
        <w:pStyle w:val="FirstParagraph"/>
      </w:pPr>
      <w:r>
        <w:t xml:space="preserve">Les chapitres suivent la structure uniforme de ce livre. Pour ce groupe, sois particulièrement attentif à trois distinctions :</w:t>
      </w:r>
    </w:p>
    <w:p>
      <w:pPr>
        <w:numPr>
          <w:ilvl w:val="0"/>
          <w:numId w:val="1114"/>
        </w:numPr>
        <w:pStyle w:val="Compact"/>
      </w:pPr>
      <w:r>
        <w:rPr>
          <w:bCs/>
          <w:b/>
        </w:rPr>
        <w:t xml:space="preserve">Humain ou animal ?</w:t>
      </w:r>
      <w:r>
        <w:t xml:space="preserve"> </w:t>
      </w:r>
      <w:r>
        <w:t xml:space="preserve">Pour le BPC-157, le KPV et le TB-500, presque tout ce qui est affirmé sur Internet repose sur des expériences chez le rat, la souris ou en culture cellulaire. Les chapitres le signalent expressément à chaque fois.</w:t>
      </w:r>
    </w:p>
    <w:p>
      <w:pPr>
        <w:numPr>
          <w:ilvl w:val="0"/>
          <w:numId w:val="1114"/>
        </w:numPr>
        <w:pStyle w:val="Compact"/>
      </w:pPr>
      <w:r>
        <w:rPr>
          <w:bCs/>
          <w:b/>
        </w:rPr>
        <w:t xml:space="preserve">Substance active ou valeur mesurée ?</w:t>
      </w:r>
      <w:r>
        <w:t xml:space="preserve"> </w:t>
      </w:r>
      <w:r>
        <w:t xml:space="preserve">Pour le LL-37, il existe de nombreuses études qui</w:t>
      </w:r>
      <w:r>
        <w:t xml:space="preserve"> </w:t>
      </w:r>
      <w:r>
        <w:rPr>
          <w:iCs/>
          <w:i/>
        </w:rPr>
        <w:t xml:space="preserve">mesurent</w:t>
      </w:r>
      <w:r>
        <w:t xml:space="preserve"> </w:t>
      </w:r>
      <w:r>
        <w:t xml:space="preserve">la substance dans le sang, mais peu qui l’</w:t>
      </w:r>
      <w:r>
        <w:rPr>
          <w:iCs/>
          <w:i/>
        </w:rPr>
        <w:t xml:space="preserve">administrent</w:t>
      </w:r>
      <w:r>
        <w:t xml:space="preserve"> </w:t>
      </w:r>
      <w:r>
        <w:t xml:space="preserve">comme médicament. Seules ces dernières disent quelque chose d’un traitement.</w:t>
      </w:r>
    </w:p>
    <w:p>
      <w:pPr>
        <w:numPr>
          <w:ilvl w:val="0"/>
          <w:numId w:val="1114"/>
        </w:numPr>
        <w:pStyle w:val="Compact"/>
      </w:pPr>
      <w:r>
        <w:rPr>
          <w:bCs/>
          <w:b/>
        </w:rPr>
        <w:t xml:space="preserve">Original ou dérivé ?</w:t>
      </w:r>
      <w:r>
        <w:t xml:space="preserve"> </w:t>
      </w:r>
      <w:r>
        <w:t xml:space="preserve">Le TB-500 n’est pas la thymosine bêta 4, le thymogène n’est pas la thymaline, et le produit vendu sur Internet n’est pas la forme pharmaceutique utilisée dans les études.</w:t>
      </w:r>
    </w:p>
    <w:p>
      <w:pPr>
        <w:pStyle w:val="FirstParagraph"/>
      </w:pPr>
      <w:r>
        <w:t xml:space="preserve">Deux chapitres contiennent des remarques sur des entrées de registre dont l’authenticité est douteuse : un promoteur a inscrit sur ClinicalTrials.gov à la fois une étude de phase 2 sur le BPC-157 et une étude sur le TB-500, dont l’une se désigne elle-même comme « exemple fictif ». Même une entrée de registre n’est donc pas une preuve qu’une étude a réellement lieu.</w:t>
      </w:r>
    </w:p>
    <w:p>
      <w:pPr>
        <w:pStyle w:val="BodyText"/>
      </w:pPr>
      <w:r>
        <w:t xml:space="preserve">Les questions relatives aux produits du marché gris, aux impuretés et au risque théorique de cancer lié aux signaux de croissance et vasculaires sont traitées plus en détail, de manière transversale, au chapitre I.5 et dans la partie IV. Pour les sportives et sportifs : le BPC-157, le TB-500 et l’ARA-290 sont expressément interdits par la WADA ; pour les autres, interroge ton agence nationale antidopage avant toute utilisation.</w:t>
      </w:r>
    </w:p>
    <w:bookmarkEnd w:id="896"/>
    <w:bookmarkStart w:id="954" w:name="bpc-157"/>
    <w:p>
      <w:pPr>
        <w:pStyle w:val="Heading2"/>
      </w:pPr>
      <w:r>
        <w:t xml:space="preserve">BPC-157</w:t>
      </w:r>
    </w:p>
    <w:p>
      <w:pPr>
        <w:pStyle w:val="FirstParagraph"/>
      </w:pPr>
      <w:r>
        <w:t xml:space="preserve">Peu de peptides sont aussi souvent recherchés, recommandés et vendus sur Internet que le BPC-157. Sur les forums et dans les vidéos, il passe pour un remède miracle pour les tendons, les ligaments, les muscles, l’intestin et même le cerveau. Qui lit la littérature spécialisée trouve effectivement bien plus de deux cents publications. Le tableau change toutefois dès que l’on demande combien d’entre elles ont étudié des êtres humains : il n’y en a qu’une poignée – petites, non contrôlées et issues d’un seul cabinet privé. Ce chapitre fait le point sur ce qui est établi, ce qui n’a été montré que chez le rat et où se situent les risques.</w:t>
      </w:r>
    </w:p>
    <w:bookmarkStart w:id="898" w:name="fiche-signalétique-15"/>
    <w:p>
      <w:pPr>
        <w:pStyle w:val="Heading3"/>
      </w:pPr>
      <w:r>
        <w:t xml:space="preserve">Fiche signalétique</w:t>
      </w:r>
    </w:p>
    <w:p>
      <w:pPr>
        <w:numPr>
          <w:ilvl w:val="0"/>
          <w:numId w:val="1115"/>
        </w:numPr>
        <w:pStyle w:val="Compact"/>
      </w:pPr>
      <w:r>
        <w:rPr>
          <w:bCs/>
          <w:b/>
        </w:rPr>
        <w:t xml:space="preserve">Type et structure :</w:t>
      </w:r>
      <w:r>
        <w:t xml:space="preserve"> </w:t>
      </w:r>
      <w:r>
        <w:t xml:space="preserve">peptide de synthèse de 15 acides aminés (pentadécapeptide) de séquence GEPPPGKPADDAGLV</w:t>
      </w:r>
      <w:r>
        <w:rPr>
          <w:rStyle w:val="FootnoteReference"/>
        </w:rPr>
        <w:footnoteReference w:id="897"/>
      </w:r>
      <w:r>
        <w:t xml:space="preserve">.</w:t>
      </w:r>
    </w:p>
    <w:p>
      <w:pPr>
        <w:numPr>
          <w:ilvl w:val="0"/>
          <w:numId w:val="1115"/>
        </w:numPr>
        <w:pStyle w:val="Compact"/>
      </w:pPr>
      <w:r>
        <w:rPr>
          <w:bCs/>
          <w:b/>
        </w:rPr>
        <w:t xml:space="preserve">Origine :</w:t>
      </w:r>
      <w:r>
        <w:t xml:space="preserve"> </w:t>
      </w:r>
      <w:r>
        <w:t xml:space="preserve">dérivé d’une protéine plus grande décrite dans les années 1990 à partir du suc gastrique humain (« Body Protection Compound », d’où BPC). Le BPC-157 vendu est un produit de laboratoire ; il n’est pas établi de façon indépendante que la séquence existe sous cette forme dans l’organisme.</w:t>
      </w:r>
    </w:p>
    <w:p>
      <w:pPr>
        <w:numPr>
          <w:ilvl w:val="0"/>
          <w:numId w:val="1115"/>
        </w:numPr>
        <w:pStyle w:val="Compact"/>
      </w:pPr>
      <w:r>
        <w:rPr>
          <w:bCs/>
          <w:b/>
        </w:rPr>
        <w:t xml:space="preserve">Anciens noms de développement :</w:t>
      </w:r>
      <w:r>
        <w:t xml:space="preserve"> </w:t>
      </w:r>
      <w:r>
        <w:t xml:space="preserve">PL 14736, PL-10, PLD-116 (société Pliva, Croatie), puis « Bepecin » ou PCO-02.</w:t>
      </w:r>
    </w:p>
    <w:p>
      <w:pPr>
        <w:numPr>
          <w:ilvl w:val="0"/>
          <w:numId w:val="1115"/>
        </w:numPr>
        <w:pStyle w:val="Compact"/>
      </w:pPr>
      <w:r>
        <w:rPr>
          <w:bCs/>
          <w:b/>
        </w:rPr>
        <w:t xml:space="preserve">Principe d’action (supposé, d’après des études animales) :</w:t>
      </w:r>
      <w:r>
        <w:t xml:space="preserve"> </w:t>
      </w:r>
      <w:r>
        <w:t xml:space="preserve">stimulation de la formation de nouveaux vaisseaux (angiogenèse) via le récepteur 2 du VEGF et le système du monoxyde d’azote, effet sur la migration des cellules du tissu conjonctif.</w:t>
      </w:r>
    </w:p>
    <w:p>
      <w:pPr>
        <w:numPr>
          <w:ilvl w:val="0"/>
          <w:numId w:val="1115"/>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 ; classé par la FDA en 2023 comme substance présentant des problèmes de sécurité pour les préparations magistrales (catégorie 2).</w:t>
      </w:r>
    </w:p>
    <w:p>
      <w:pPr>
        <w:numPr>
          <w:ilvl w:val="0"/>
          <w:numId w:val="1115"/>
        </w:numPr>
        <w:pStyle w:val="Compact"/>
      </w:pPr>
      <w:r>
        <w:rPr>
          <w:bCs/>
          <w:b/>
        </w:rPr>
        <w:t xml:space="preserve">AMA (WADA) :</w:t>
      </w:r>
      <w:r>
        <w:t xml:space="preserve"> </w:t>
      </w:r>
      <w:r>
        <w:t xml:space="preserve">interdit, groupe S0 « substances non approuvées » (cité expressément).</w:t>
      </w:r>
    </w:p>
    <w:p>
      <w:pPr>
        <w:numPr>
          <w:ilvl w:val="0"/>
          <w:numId w:val="1115"/>
        </w:numPr>
        <w:pStyle w:val="Compact"/>
      </w:pPr>
      <w:r>
        <w:rPr>
          <w:bCs/>
          <w:b/>
        </w:rPr>
        <w:t xml:space="preserve">Niveau de preuve : C</w:t>
      </w:r>
      <w:r>
        <w:t xml:space="preserve"> </w:t>
      </w:r>
      <w:r>
        <w:t xml:space="preserve">– seulement trois très petites investigations non contrôlées chez l’humain, avec environ 30 personnes au total ; aucune étude randomisée achevée.</w:t>
      </w:r>
    </w:p>
    <w:bookmarkEnd w:id="898"/>
    <w:bookmarkStart w:id="905" w:name="mode-daction-supposé-15"/>
    <w:p>
      <w:pPr>
        <w:pStyle w:val="Heading3"/>
      </w:pPr>
      <w:r>
        <w:t xml:space="preserve">Mode d’action supposé</w:t>
      </w:r>
    </w:p>
    <w:p>
      <w:pPr>
        <w:pStyle w:val="FirstParagraph"/>
      </w:pPr>
      <w:r>
        <w:t xml:space="preserve">L’idée de base vient de la recherche sur l’estomac. La muqueuse gastrique est exposée chaque jour à l’acide, aux enzymes et à des médicaments comme les antalgiques, et se répare pourtant étonnamment vite. Dans les années 1990, des chercheurs de Zagreb ont supposé que des substances protectrices du suc gastrique étaient à l’origine de cette capacité et ont isolé un peptide qu’ils ont appelé « Body Protection Compound ». Le BPC-157 en est un court fragment.</w:t>
      </w:r>
    </w:p>
    <w:p>
      <w:pPr>
        <w:pStyle w:val="BodyText"/>
      </w:pPr>
      <w:r>
        <w:t xml:space="preserve">Fait inhabituel, le BPC-157 reste stable dans le suc gastrique. La plupart des peptides y sont rapidement découpés. Ses partisans en déduisent qu’il pourrait aussi agir sous forme de comprimé – ce n’est pas démontré chez l’humain.</w:t>
      </w:r>
    </w:p>
    <w:p>
      <w:pPr>
        <w:pStyle w:val="BodyText"/>
      </w:pPr>
      <w:r>
        <w:t xml:space="preserve">Pour l’effet allégué, trois mécanismes sont surtout discutés, tous issus d’expériences animales et cellulaires :</w:t>
      </w:r>
    </w:p>
    <w:p>
      <w:pPr>
        <w:numPr>
          <w:ilvl w:val="0"/>
          <w:numId w:val="1116"/>
        </w:numPr>
        <w:pStyle w:val="Compact"/>
      </w:pPr>
      <w:r>
        <w:rPr>
          <w:bCs/>
          <w:b/>
        </w:rPr>
        <w:t xml:space="preserve">Formation de nouveaux vaisseaux :</w:t>
      </w:r>
      <w:r>
        <w:t xml:space="preserve"> </w:t>
      </w:r>
      <w:r>
        <w:t xml:space="preserve">dans des cultures de cellules humaines de la paroi interne des vaisseaux, le BPC-157 a augmenté la quantité de récepteur 2 du VEGF (un interrupteur central de la croissance de nouveaux vaisseaux sanguins) et activé la voie de signalisation en aval Akt-eNOS ; chez des rats dont l’artère de la patte avait été ligaturée, la perfusion s’est rétablie plus vite</w:t>
      </w:r>
      <w:r>
        <w:rPr>
          <w:rStyle w:val="FootnoteReference"/>
        </w:rPr>
        <w:footnoteReference w:id="899"/>
      </w:r>
      <w:r>
        <w:t xml:space="preserve">. Un travail chinois a décrit en 2026, dans des essais sur cellules, une autre voie passant par les protéines FBXO22 et BACH1</w:t>
      </w:r>
      <w:r>
        <w:rPr>
          <w:rStyle w:val="FootnoteReference"/>
        </w:rPr>
        <w:footnoteReference w:id="900"/>
      </w:r>
      <w:r>
        <w:t xml:space="preserve">.</w:t>
      </w:r>
    </w:p>
    <w:p>
      <w:pPr>
        <w:numPr>
          <w:ilvl w:val="0"/>
          <w:numId w:val="1116"/>
        </w:numPr>
        <w:pStyle w:val="Compact"/>
      </w:pPr>
      <w:r>
        <w:rPr>
          <w:bCs/>
          <w:b/>
        </w:rPr>
        <w:t xml:space="preserve">Migration et survie cellulaires :</w:t>
      </w:r>
      <w:r>
        <w:t xml:space="preserve"> </w:t>
      </w:r>
      <w:r>
        <w:t xml:space="preserve">dans des cultures de cellules tendineuses de rat, le BPC-157 a accéléré la sortie des cellules à partir de fragments de tendon, amélioré leur survie sous stress oxydatif et favorisé leur migration ; la division cellulaire elle-même n’était pas directement augmentée</w:t>
      </w:r>
      <w:r>
        <w:rPr>
          <w:rStyle w:val="FootnoteReference"/>
        </w:rPr>
        <w:footnoteReference w:id="901"/>
      </w:r>
      <w:r>
        <w:t xml:space="preserve">.</w:t>
      </w:r>
    </w:p>
    <w:p>
      <w:pPr>
        <w:numPr>
          <w:ilvl w:val="0"/>
          <w:numId w:val="1116"/>
        </w:numPr>
        <w:pStyle w:val="Compact"/>
      </w:pPr>
      <w:r>
        <w:rPr>
          <w:bCs/>
          <w:b/>
        </w:rPr>
        <w:t xml:space="preserve">Sensibilité à l’hormone de croissance :</w:t>
      </w:r>
      <w:r>
        <w:t xml:space="preserve"> </w:t>
      </w:r>
      <w:r>
        <w:t xml:space="preserve">dans ces mêmes cellules tendineuses de rat, le BPC-157 a augmenté le nombre de récepteurs de l’hormone de croissance</w:t>
      </w:r>
      <w:r>
        <w:rPr>
          <w:rStyle w:val="FootnoteReference"/>
        </w:rPr>
        <w:footnoteReference w:id="902"/>
      </w:r>
      <w:r>
        <w:t xml:space="preserve">.</w:t>
      </w:r>
    </w:p>
    <w:p>
      <w:pPr>
        <w:pStyle w:val="FirstParagraph"/>
      </w:pPr>
      <w:r>
        <w:t xml:space="preserve">S’y ajoutent de nombreux autres effets sur le monoxyde d’azote, la coagulation sanguine et les neurotransmetteurs, décrits surtout dans des articles de synthèse du groupe de Zagreb</w:t>
      </w:r>
      <w:r>
        <w:rPr>
          <w:rStyle w:val="FootnoteReference"/>
        </w:rPr>
        <w:footnoteReference w:id="903"/>
      </w:r>
      <w:r>
        <w:t xml:space="preserve">. On ne connaît à ce jour aucun récepteur précis auquel le BPC-157 se lierait.</w:t>
      </w:r>
    </w:p>
    <w:p>
      <w:pPr>
        <w:pStyle w:val="BodyText"/>
      </w:pPr>
      <w:r>
        <w:t xml:space="preserve">Une contradiction relevée par une synthèse pharmaceutique est frappante : chez l’animal, le BPC-157 a une demi-vie inférieure à 30 minutes, alors que les effets décrits sont censés durer des heures, voire des jours</w:t>
      </w:r>
      <w:r>
        <w:rPr>
          <w:rStyle w:val="FootnoteReference"/>
        </w:rPr>
        <w:footnoteReference w:id="904"/>
      </w:r>
      <w:r>
        <w:t xml:space="preserve">. Comment concilier les deux reste inexpliqué.</w:t>
      </w:r>
    </w:p>
    <w:bookmarkEnd w:id="905"/>
    <w:bookmarkStart w:id="918" w:name="études-chez-lhumain-15"/>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n’a trouvé dans PubMed</w:t>
      </w:r>
      <w:r>
        <w:t xml:space="preserve"> </w:t>
      </w:r>
      <w:r>
        <w:rPr>
          <w:bCs/>
          <w:b/>
        </w:rPr>
        <w:t xml:space="preserve">aucune</w:t>
      </w:r>
      <w:r>
        <w:t xml:space="preserve"> </w:t>
      </w:r>
      <w:r>
        <w:t xml:space="preserve">étude répondant aux critères de filtre d’une étude chez l’humain (</w:t>
      </w:r>
      <w:r>
        <w:rPr>
          <w:rStyle w:val="VerbatimChar"/>
        </w:rPr>
        <w:t xml:space="preserve">humanstudien_alle</w:t>
      </w:r>
      <w:r>
        <w:t xml:space="preserve"> </w:t>
      </w:r>
      <w:r>
        <w:t xml:space="preserve">: 0), et</w:t>
      </w:r>
      <w:r>
        <w:t xml:space="preserve"> </w:t>
      </w:r>
      <w:r>
        <w:rPr>
          <w:bCs/>
          <w:b/>
        </w:rPr>
        <w:t xml:space="preserve">4</w:t>
      </w:r>
      <w:r>
        <w:t xml:space="preserve"> </w:t>
      </w:r>
      <w:r>
        <w:t xml:space="preserve">entrées dans le registre d’études ClinicalTrials.gov. Au total, PubMed recense pour le BPC-157 environ 230 publications – presque exclusivement des expériences animales, des travaux de laboratoire et des articles de synthèse.</w:t>
      </w:r>
    </w:p>
    <w:p>
      <w:pPr>
        <w:pStyle w:val="BodyText"/>
      </w:pPr>
      <w:r>
        <w:t xml:space="preserve">Une recherche ciblée complémentaire a mis au jour trois petites investigations chez l’humain. Toutes trois proviennent du même premier auteur, issu d’un cabinet privé en Floride, et ont paru dans une revue de médecine alternative. Une revue systématique publiée en 2026 a trouvé exactement ces trois travaux, avec 30 personnes au total</w:t>
      </w:r>
      <w:r>
        <w:rPr>
          <w:rStyle w:val="FootnoteReference"/>
        </w:rPr>
        <w:footnoteReference w:id="906"/>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Genou (Lee 2021), PMID 34324435</w:t>
            </w:r>
          </w:p>
        </w:tc>
        <w:tc>
          <w:tcPr/>
          <w:p>
            <w:pPr>
              <w:pStyle w:val="Compact"/>
              <w:jc w:val="left"/>
            </w:pPr>
            <w:r>
              <w:t xml:space="preserve">16 personnes souffrant de douleurs du genou de causes diverses, analyse rétrospective de dossiers avec entretien téléphonique, sans groupe témoin</w:t>
            </w:r>
          </w:p>
        </w:tc>
        <w:tc>
          <w:tcPr/>
          <w:p>
            <w:pPr>
              <w:pStyle w:val="Compact"/>
              <w:jc w:val="left"/>
            </w:pPr>
            <w:r>
              <w:t xml:space="preserve">rétrospective sur 6–12 mois</w:t>
            </w:r>
          </w:p>
        </w:tc>
        <w:tc>
          <w:tcPr/>
          <w:p>
            <w:pPr>
              <w:pStyle w:val="Compact"/>
              <w:jc w:val="left"/>
            </w:pPr>
            <w:r>
              <w:t xml:space="preserve">14 sur 16 ont rapporté un soulagement de la douleur ; 12 n’ont reçu que du BPC-157, 4 en plus de la thymosine bêta 4</w:t>
            </w:r>
          </w:p>
        </w:tc>
      </w:tr>
      <w:tr>
        <w:tc>
          <w:tcPr/>
          <w:p>
            <w:pPr>
              <w:pStyle w:val="Compact"/>
              <w:jc w:val="left"/>
            </w:pPr>
            <w:r>
              <w:t xml:space="preserve">Cystite interstitielle (Lee 2024), PMID 39325560</w:t>
            </w:r>
          </w:p>
        </w:tc>
        <w:tc>
          <w:tcPr/>
          <w:p>
            <w:pPr>
              <w:pStyle w:val="Compact"/>
              <w:jc w:val="left"/>
            </w:pPr>
            <w:r>
              <w:t xml:space="preserve">12 femmes souffrant d’un syndrome douloureux vésical chronique, injections dans la paroi vésicale lors d’une cystoscopie, sans groupe témoin</w:t>
            </w:r>
          </w:p>
        </w:tc>
        <w:tc>
          <w:tcPr/>
          <w:p>
            <w:pPr>
              <w:pStyle w:val="Compact"/>
              <w:jc w:val="left"/>
            </w:pPr>
            <w:r>
              <w:t xml:space="preserve">un traitement</w:t>
            </w:r>
          </w:p>
        </w:tc>
        <w:tc>
          <w:tcPr/>
          <w:p>
            <w:pPr>
              <w:pStyle w:val="Compact"/>
              <w:jc w:val="left"/>
            </w:pPr>
            <w:r>
              <w:t xml:space="preserve">10 sur 12 ont déclaré une amélioration complète, 2 une amélioration majoritaire ; aucun effet indésirable rapporté</w:t>
            </w:r>
          </w:p>
        </w:tc>
      </w:tr>
      <w:tr>
        <w:tc>
          <w:tcPr/>
          <w:p>
            <w:pPr>
              <w:pStyle w:val="Compact"/>
              <w:jc w:val="left"/>
            </w:pPr>
            <w:r>
              <w:t xml:space="preserve">Perfusion intraveineuse (Lee 2025), PMID 40131143</w:t>
            </w:r>
          </w:p>
        </w:tc>
        <w:tc>
          <w:tcPr/>
          <w:p>
            <w:pPr>
              <w:pStyle w:val="Compact"/>
              <w:jc w:val="left"/>
            </w:pPr>
            <w:r>
              <w:t xml:space="preserve">2 personnes, évaluation de la sécurité sur deux jours</w:t>
            </w:r>
          </w:p>
        </w:tc>
        <w:tc>
          <w:tcPr/>
          <w:p>
            <w:pPr>
              <w:pStyle w:val="Compact"/>
              <w:jc w:val="left"/>
            </w:pPr>
            <w:r>
              <w:t xml:space="preserve">3 jours</w:t>
            </w:r>
          </w:p>
        </w:tc>
        <w:tc>
          <w:tcPr/>
          <w:p>
            <w:pPr>
              <w:pStyle w:val="Compact"/>
              <w:jc w:val="left"/>
            </w:pPr>
            <w:r>
              <w:t xml:space="preserve">aucune modification mesurable des paramètres sanguins étudiés, aucun symptôme</w:t>
            </w:r>
          </w:p>
        </w:tc>
      </w:tr>
    </w:tbl>
    <w:bookmarkStart w:id="913" w:name="quelle-est-la-valeur-de-ces-données"/>
    <w:p>
      <w:pPr>
        <w:pStyle w:val="Heading4"/>
      </w:pPr>
      <w:r>
        <w:t xml:space="preserve">Quelle est la valeur de ces données ?</w:t>
      </w:r>
    </w:p>
    <w:p>
      <w:pPr>
        <w:pStyle w:val="FirstParagraph"/>
      </w:pPr>
      <w:r>
        <w:t xml:space="preserve">Quasi nulle. L’investigation sur le genou n’était pas une étude planifiée, mais un sondage téléphonique a posteriori auprès de patients qui avaient déjà payé le traitement. Il n’y avait ni groupe de comparaison, ni aveugle, ni instruments de mesure de la fonction ou de la qualité de vie, ni imagerie. Les causes de la douleur du genou allaient de l’arthrose aux déchirures méniscales. Selon le résumé, aucun questionnaire standardisé de la fonction n’a été utilisé</w:t>
      </w:r>
      <w:r>
        <w:rPr>
          <w:rStyle w:val="FootnoteReference"/>
        </w:rPr>
        <w:footnoteReference w:id="907"/>
      </w:r>
      <w:r>
        <w:t xml:space="preserve">.</w:t>
      </w:r>
    </w:p>
    <w:p>
      <w:pPr>
        <w:pStyle w:val="BodyText"/>
      </w:pPr>
      <w:r>
        <w:t xml:space="preserve">Le travail sur la cystite a recueilli le résultat avec un unique questionnaire global. Que les douze femmes aient toutes donné la meilleure note possible est inhabituel pour une maladie chronique, souvent difficile à traiter, et ne peut être distingué, en l’absence de groupe témoin, d’un effet placebo ou des fluctuations naturelles des symptômes. Il est en outre notable que le BPC-157 utilisé provenait d’une pharmacie de préparations magistrales américaine</w:t>
      </w:r>
      <w:r>
        <w:rPr>
          <w:rStyle w:val="FootnoteReference"/>
        </w:rPr>
        <w:footnoteReference w:id="908"/>
      </w:r>
      <w:r>
        <w:t xml:space="preserve">.</w:t>
      </w:r>
    </w:p>
    <w:p>
      <w:pPr>
        <w:pStyle w:val="BodyText"/>
      </w:pPr>
      <w:r>
        <w:t xml:space="preserve">L’étude de perfusion portait sur deux personnes qui avaient déjà reçu du BPC-157 auparavant. Deux personnes ne permettent aucune conclusion sur la sécurité – des effets indésirables rares ou retardés restent ainsi invisibles</w:t>
      </w:r>
      <w:r>
        <w:rPr>
          <w:rStyle w:val="FootnoteReference"/>
        </w:rPr>
        <w:footnoteReference w:id="909"/>
      </w:r>
      <w:r>
        <w:t xml:space="preserve">.</w:t>
      </w:r>
    </w:p>
    <w:p>
      <w:pPr>
        <w:pStyle w:val="BodyText"/>
      </w:pPr>
      <w:r>
        <w:t xml:space="preserve">La revue systématique a jugé la qualité méthodologique des trois travaux médiocre et la fiabilité des preuves « très faible » selon le système GRADE. Sa conclusion : le BPC-157 ne devrait pas être utilisé chez l’humain en dehors d’essais cliniques de haute qualité approuvés sur le plan éthique</w:t>
      </w:r>
      <w:r>
        <w:rPr>
          <w:rStyle w:val="FootnoteReference"/>
        </w:rPr>
        <w:footnoteReference w:id="910"/>
      </w:r>
      <w:r>
        <w:t xml:space="preserve">. Une autre revue systématique en orthopédie du sport, avec une recherche jusqu’en juin 2024, n’a trouvé qu’une seule étude clinique parmi 36 travaux inclus</w:t>
      </w:r>
      <w:r>
        <w:rPr>
          <w:rStyle w:val="FootnoteReference"/>
        </w:rPr>
        <w:footnoteReference w:id="911"/>
      </w:r>
      <w:r>
        <w:t xml:space="preserve">. Plusieurs synthèses récentes en orthopédie et en médecine du sport parviennent à la même conclusion : un usage de routine ne peut actuellement pas être recommandé</w:t>
      </w:r>
      <w:r>
        <w:rPr>
          <w:rStyle w:val="FootnoteReference"/>
        </w:rPr>
        <w:footnoteReference w:id="912"/>
      </w:r>
      <w:r>
        <w:t xml:space="preserve">.</w:t>
      </w:r>
    </w:p>
    <w:bookmarkEnd w:id="913"/>
    <w:bookmarkStart w:id="917" w:name="X72769808afe8df633f1294cd0e1ad8695a38370"/>
    <w:p>
      <w:pPr>
        <w:pStyle w:val="Heading4"/>
      </w:pPr>
      <w:r>
        <w:t xml:space="preserve">Ce que sont devenues les anciennes études industrielles</w:t>
      </w:r>
    </w:p>
    <w:p>
      <w:pPr>
        <w:pStyle w:val="FirstParagraph"/>
      </w:pPr>
      <w:r>
        <w:t xml:space="preserve">Dans les années 2000, l’entreprise pharmaceutique croate Pliva a développé le BPC-157 sous le code PL 14736 pour les maladies inflammatoires chroniques de l’intestin. Des études animales de l’époque mentionnent que la substance était « actuellement en essais cliniques »</w:t>
      </w:r>
      <w:r>
        <w:rPr>
          <w:rStyle w:val="FootnoteReference"/>
        </w:rPr>
        <w:footnoteReference w:id="914"/>
      </w:r>
      <w:r>
        <w:t xml:space="preserve">. Un article de synthèse du groupe de Zagreb évoque des études dans la rectocolite hémorragique et la sclérose en plaques</w:t>
      </w:r>
      <w:r>
        <w:rPr>
          <w:rStyle w:val="FootnoteReference"/>
        </w:rPr>
        <w:footnoteReference w:id="915"/>
      </w:r>
      <w:r>
        <w:t xml:space="preserve">. Les résultats complets de ces études ne sont pas trouvables dans PubMed sous forme d’article original. En 2015, une étude de phase 1 avec des comprimés (« Bepecin », PCO-02) chez 42 volontaires sains a en outre été enregistrée</w:t>
      </w:r>
      <w:r>
        <w:rPr>
          <w:rStyle w:val="FootnoteReference"/>
        </w:rPr>
        <w:footnoteReference w:id="916"/>
      </w:r>
      <w:r>
        <w:t xml:space="preserve"> </w:t>
      </w:r>
      <w:r>
        <w:t xml:space="preserve">; son statut est « inconnu » depuis des années, et aucun résultat n’a été publié.</w:t>
      </w:r>
    </w:p>
    <w:p>
      <w:pPr>
        <w:pStyle w:val="BodyText"/>
      </w:pPr>
      <w:r>
        <w:t xml:space="preserve">Pour les lecteurs, cela signifie : lorsque des sites Internet affirment que le BPC-157 s’est révélé « sûr dans des essais cliniques », ils se réfèrent à des études dont personne ne peut vérifier les données de manière indépendante.</w:t>
      </w:r>
    </w:p>
    <w:bookmarkEnd w:id="917"/>
    <w:bookmarkEnd w:id="918"/>
    <w:bookmarkStart w:id="927" w:name="études-animales-et-de-laboratoire-15"/>
    <w:p>
      <w:pPr>
        <w:pStyle w:val="Heading3"/>
      </w:pPr>
      <w:r>
        <w:t xml:space="preserve">Études animales et de laboratoire</w:t>
      </w:r>
    </w:p>
    <w:p>
      <w:pPr>
        <w:pStyle w:val="FirstParagraph"/>
      </w:pPr>
      <w:r>
        <w:t xml:space="preserve">Les données précliniques sont la raison pour laquelle le BPC-157 est devenu si connu. Elles sont abondantes, mais d’une provenance inhabituellement unilatérale.</w:t>
      </w:r>
    </w:p>
    <w:bookmarkStart w:id="922" w:name="un-groupe-de-recherche-domine"/>
    <w:p>
      <w:pPr>
        <w:pStyle w:val="Heading4"/>
      </w:pPr>
      <w:r>
        <w:t xml:space="preserve">Un groupe de recherche domine</w:t>
      </w:r>
    </w:p>
    <w:p>
      <w:pPr>
        <w:pStyle w:val="FirstParagraph"/>
      </w:pPr>
      <w:r>
        <w:t xml:space="preserve">Sur les quelque 230 résultats dans PubMed (requête d’octobre 2026), environ 175 citent le pharmacologue zagrébois Predrag Sikirić comme auteur – soit environ les trois quarts. Une synthèse sur la cicatrisation des tendons et des muscles a relevé qu’en deux décennies, seule une poignée de groupes de recherche avait étudié le BPC-157 en profondeur</w:t>
      </w:r>
      <w:r>
        <w:rPr>
          <w:rStyle w:val="FootnoteReference"/>
        </w:rPr>
        <w:footnoteReference w:id="919"/>
      </w:r>
      <w:r>
        <w:t xml:space="preserve">. C’est important pour l’évaluation : des résultats scientifiques ne sont considérés comme solides que lorsque des groupes indépendants les reproduisent. Une synthèse critique de 2026 sur les troubles circulatoires chez les rongeurs déplore des durées d’observation courtes, des expériences à dose unique, des risques de biais incomplètement décrits, et réclame des réplications indépendantes en aveugle</w:t>
      </w:r>
      <w:r>
        <w:rPr>
          <w:rStyle w:val="FootnoteReference"/>
        </w:rPr>
        <w:footnoteReference w:id="920"/>
      </w:r>
      <w:r>
        <w:t xml:space="preserve">. Une brève prise de position dans la revue Inflammopharmacology a discuté spécifiquement en 2025 un long article de synthèse de ce groupe</w:t>
      </w:r>
      <w:r>
        <w:rPr>
          <w:rStyle w:val="FootnoteReference"/>
        </w:rPr>
        <w:footnoteReference w:id="921"/>
      </w:r>
      <w:r>
        <w:t xml:space="preserve">.</w:t>
      </w:r>
    </w:p>
    <w:p>
      <w:pPr>
        <w:pStyle w:val="BodyText"/>
      </w:pPr>
      <w:r>
        <w:t xml:space="preserve">Des travaux indépendants existent bel et bien – surtout de Taïwan (cellules tendineuses, vaisseaux), de Corée du Sud et de Chine –, mais ils sont nettement plus rares et consistent surtout en expériences de laboratoire ou sur cellules.</w:t>
      </w:r>
    </w:p>
    <w:bookmarkEnd w:id="922"/>
    <w:bookmarkStart w:id="923" w:name="vue-densemble-par-système-dorganes"/>
    <w:p>
      <w:pPr>
        <w:pStyle w:val="Heading4"/>
      </w:pPr>
      <w:r>
        <w:t xml:space="preserve">Vue d’ensemble par système d’organes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Domaine</w:t>
            </w:r>
          </w:p>
        </w:tc>
        <w:tc>
          <w:tcPr/>
          <w:p>
            <w:pPr>
              <w:pStyle w:val="Compact"/>
              <w:jc w:val="left"/>
            </w:pPr>
            <w:r>
              <w:t xml:space="preserve">Modèle typique</w:t>
            </w:r>
          </w:p>
        </w:tc>
        <w:tc>
          <w:tcPr/>
          <w:p>
            <w:pPr>
              <w:pStyle w:val="Compact"/>
              <w:jc w:val="left"/>
            </w:pPr>
            <w:r>
              <w:t xml:space="preserve">Résultat rapporté</w:t>
            </w:r>
          </w:p>
        </w:tc>
        <w:tc>
          <w:tcPr/>
          <w:p>
            <w:pPr>
              <w:pStyle w:val="Compact"/>
              <w:jc w:val="left"/>
            </w:pPr>
            <w:r>
              <w:t xml:space="preserve">Exemple</w:t>
            </w:r>
          </w:p>
        </w:tc>
      </w:tr>
      <w:tr>
        <w:tc>
          <w:tcPr/>
          <w:p>
            <w:pPr>
              <w:pStyle w:val="Compact"/>
              <w:jc w:val="left"/>
            </w:pPr>
            <w:r>
              <w:t xml:space="preserve">Tendon</w:t>
            </w:r>
          </w:p>
        </w:tc>
        <w:tc>
          <w:tcPr/>
          <w:p>
            <w:pPr>
              <w:pStyle w:val="Compact"/>
              <w:jc w:val="left"/>
            </w:pPr>
            <w:r>
              <w:t xml:space="preserve">tendon d’Achille sectionné chez le rat</w:t>
            </w:r>
          </w:p>
        </w:tc>
        <w:tc>
          <w:tcPr/>
          <w:p>
            <w:pPr>
              <w:pStyle w:val="Compact"/>
              <w:jc w:val="left"/>
            </w:pPr>
            <w:r>
              <w:t xml:space="preserve">meilleure résistance, meilleure fonction et structure tissulaire</w:t>
            </w:r>
          </w:p>
        </w:tc>
        <w:tc>
          <w:tcPr/>
          <w:p>
            <w:pPr>
              <w:pStyle w:val="Compact"/>
              <w:jc w:val="left"/>
            </w:pPr>
            <w:r>
              <w:t xml:space="preserve">Staresinic 2003, PMID 14554208</w:t>
            </w:r>
          </w:p>
        </w:tc>
      </w:tr>
      <w:tr>
        <w:tc>
          <w:tcPr/>
          <w:p>
            <w:pPr>
              <w:pStyle w:val="Compact"/>
              <w:jc w:val="left"/>
            </w:pPr>
            <w:r>
              <w:t xml:space="preserve">Ligament</w:t>
            </w:r>
          </w:p>
        </w:tc>
        <w:tc>
          <w:tcPr/>
          <w:p>
            <w:pPr>
              <w:pStyle w:val="Compact"/>
              <w:jc w:val="left"/>
            </w:pPr>
            <w:r>
              <w:t xml:space="preserve">ligament interne du genou lésé chez le rat</w:t>
            </w:r>
          </w:p>
        </w:tc>
        <w:tc>
          <w:tcPr/>
          <w:p>
            <w:pPr>
              <w:pStyle w:val="Compact"/>
              <w:jc w:val="left"/>
            </w:pPr>
            <w:r>
              <w:t xml:space="preserve">meilleure cicatrisation</w:t>
            </w:r>
          </w:p>
        </w:tc>
        <w:tc>
          <w:tcPr/>
          <w:p>
            <w:pPr>
              <w:pStyle w:val="Compact"/>
              <w:jc w:val="left"/>
            </w:pPr>
            <w:r>
              <w:t xml:space="preserve">Cerovecki 2010, PMID 20225319</w:t>
            </w:r>
          </w:p>
        </w:tc>
      </w:tr>
      <w:tr>
        <w:tc>
          <w:tcPr/>
          <w:p>
            <w:pPr>
              <w:pStyle w:val="Compact"/>
              <w:jc w:val="left"/>
            </w:pPr>
            <w:r>
              <w:t xml:space="preserve">Muscle</w:t>
            </w:r>
          </w:p>
        </w:tc>
        <w:tc>
          <w:tcPr/>
          <w:p>
            <w:pPr>
              <w:pStyle w:val="Compact"/>
              <w:jc w:val="left"/>
            </w:pPr>
            <w:r>
              <w:t xml:space="preserve">muscle de la cuisse sectionné chez le rat</w:t>
            </w:r>
          </w:p>
        </w:tc>
        <w:tc>
          <w:tcPr/>
          <w:p>
            <w:pPr>
              <w:pStyle w:val="Compact"/>
              <w:jc w:val="left"/>
            </w:pPr>
            <w:r>
              <w:t xml:space="preserve">meilleure fonction</w:t>
            </w:r>
          </w:p>
        </w:tc>
        <w:tc>
          <w:tcPr/>
          <w:p>
            <w:pPr>
              <w:pStyle w:val="Compact"/>
              <w:jc w:val="left"/>
            </w:pPr>
            <w:r>
              <w:t xml:space="preserve">Staresinic 2006, PMID 16609979</w:t>
            </w:r>
          </w:p>
        </w:tc>
      </w:tr>
      <w:tr>
        <w:tc>
          <w:tcPr/>
          <w:p>
            <w:pPr>
              <w:pStyle w:val="Compact"/>
              <w:jc w:val="left"/>
            </w:pPr>
            <w:r>
              <w:t xml:space="preserve">Os</w:t>
            </w:r>
          </w:p>
        </w:tc>
        <w:tc>
          <w:tcPr/>
          <w:p>
            <w:pPr>
              <w:pStyle w:val="Compact"/>
              <w:jc w:val="left"/>
            </w:pPr>
            <w:r>
              <w:t xml:space="preserve">défaut osseux chez le lapin</w:t>
            </w:r>
          </w:p>
        </w:tc>
        <w:tc>
          <w:tcPr/>
          <w:p>
            <w:pPr>
              <w:pStyle w:val="Compact"/>
              <w:jc w:val="left"/>
            </w:pPr>
            <w:r>
              <w:t xml:space="preserve">consolidation nettement meilleure à la radiographie et dans les tissus</w:t>
            </w:r>
          </w:p>
        </w:tc>
        <w:tc>
          <w:tcPr/>
          <w:p>
            <w:pPr>
              <w:pStyle w:val="Compact"/>
              <w:jc w:val="left"/>
            </w:pPr>
            <w:r>
              <w:t xml:space="preserve">Sebecić 1999, PMID 10071911</w:t>
            </w:r>
          </w:p>
        </w:tc>
      </w:tr>
      <w:tr>
        <w:tc>
          <w:tcPr/>
          <w:p>
            <w:pPr>
              <w:pStyle w:val="Compact"/>
              <w:jc w:val="left"/>
            </w:pPr>
            <w:r>
              <w:t xml:space="preserve">Peau</w:t>
            </w:r>
          </w:p>
        </w:tc>
        <w:tc>
          <w:tcPr/>
          <w:p>
            <w:pPr>
              <w:pStyle w:val="Compact"/>
              <w:jc w:val="left"/>
            </w:pPr>
            <w:r>
              <w:t xml:space="preserve">plaies par incision, brûlures et plaies diabétiques chez le rat</w:t>
            </w:r>
          </w:p>
        </w:tc>
        <w:tc>
          <w:tcPr/>
          <w:p>
            <w:pPr>
              <w:pStyle w:val="Compact"/>
              <w:jc w:val="left"/>
            </w:pPr>
            <w:r>
              <w:t xml:space="preserve">cicatrisation plus rapide</w:t>
            </w:r>
          </w:p>
        </w:tc>
        <w:tc>
          <w:tcPr/>
          <w:p>
            <w:pPr>
              <w:pStyle w:val="Compact"/>
              <w:jc w:val="left"/>
            </w:pPr>
            <w:r>
              <w:t xml:space="preserve">Seiwerth 2021, PMID 34267654</w:t>
            </w:r>
          </w:p>
        </w:tc>
      </w:tr>
      <w:tr>
        <w:tc>
          <w:tcPr/>
          <w:p>
            <w:pPr>
              <w:pStyle w:val="Compact"/>
              <w:jc w:val="left"/>
            </w:pPr>
            <w:r>
              <w:t xml:space="preserve">Intestin</w:t>
            </w:r>
          </w:p>
        </w:tc>
        <w:tc>
          <w:tcPr/>
          <w:p>
            <w:pPr>
              <w:pStyle w:val="Compact"/>
              <w:jc w:val="left"/>
            </w:pPr>
            <w:r>
              <w:t xml:space="preserve">fistules, colite, anastomoses chez le rat</w:t>
            </w:r>
          </w:p>
        </w:tc>
        <w:tc>
          <w:tcPr/>
          <w:p>
            <w:pPr>
              <w:pStyle w:val="Compact"/>
              <w:jc w:val="left"/>
            </w:pPr>
            <w:r>
              <w:t xml:space="preserve">cicatrisation des fistules et des sutures</w:t>
            </w:r>
          </w:p>
        </w:tc>
        <w:tc>
          <w:tcPr/>
          <w:p>
            <w:pPr>
              <w:pStyle w:val="Compact"/>
              <w:jc w:val="left"/>
            </w:pPr>
            <w:r>
              <w:t xml:space="preserve">Sikiric 2020, PMID 32329684</w:t>
            </w:r>
          </w:p>
        </w:tc>
      </w:tr>
      <w:tr>
        <w:tc>
          <w:tcPr/>
          <w:p>
            <w:pPr>
              <w:pStyle w:val="Compact"/>
              <w:jc w:val="left"/>
            </w:pPr>
            <w:r>
              <w:t xml:space="preserve">Estomac</w:t>
            </w:r>
          </w:p>
        </w:tc>
        <w:tc>
          <w:tcPr/>
          <w:p>
            <w:pPr>
              <w:pStyle w:val="Compact"/>
              <w:jc w:val="left"/>
            </w:pPr>
            <w:r>
              <w:t xml:space="preserve">lésions dues aux antalgiques et à l’alcool</w:t>
            </w:r>
          </w:p>
        </w:tc>
        <w:tc>
          <w:tcPr/>
          <w:p>
            <w:pPr>
              <w:pStyle w:val="Compact"/>
              <w:jc w:val="left"/>
            </w:pPr>
            <w:r>
              <w:t xml:space="preserve">protection de la muqueuse</w:t>
            </w:r>
          </w:p>
        </w:tc>
        <w:tc>
          <w:tcPr/>
          <w:p>
            <w:pPr>
              <w:pStyle w:val="Compact"/>
              <w:jc w:val="left"/>
            </w:pPr>
            <w:r>
              <w:t xml:space="preserve">Ilic 2011, PMID 21295044</w:t>
            </w:r>
          </w:p>
        </w:tc>
      </w:tr>
      <w:tr>
        <w:tc>
          <w:tcPr/>
          <w:p>
            <w:pPr>
              <w:pStyle w:val="Compact"/>
              <w:jc w:val="left"/>
            </w:pPr>
            <w:r>
              <w:t xml:space="preserve">Vaisseaux</w:t>
            </w:r>
          </w:p>
        </w:tc>
        <w:tc>
          <w:tcPr/>
          <w:p>
            <w:pPr>
              <w:pStyle w:val="Compact"/>
              <w:jc w:val="left"/>
            </w:pPr>
            <w:r>
              <w:t xml:space="preserve">artères et veines ligaturées</w:t>
            </w:r>
          </w:p>
        </w:tc>
        <w:tc>
          <w:tcPr/>
          <w:p>
            <w:pPr>
              <w:pStyle w:val="Compact"/>
              <w:jc w:val="left"/>
            </w:pPr>
            <w:r>
              <w:t xml:space="preserve">circulations collatérales, meilleure perfusion</w:t>
            </w:r>
          </w:p>
        </w:tc>
        <w:tc>
          <w:tcPr/>
          <w:p>
            <w:pPr>
              <w:pStyle w:val="Compact"/>
              <w:jc w:val="left"/>
            </w:pPr>
            <w:r>
              <w:t xml:space="preserve">Sikiric 2022, PMID 35125818</w:t>
            </w:r>
          </w:p>
        </w:tc>
      </w:tr>
    </w:tbl>
    <w:p>
      <w:pPr>
        <w:pStyle w:val="BodyText"/>
      </w:pPr>
      <w:r>
        <w:t xml:space="preserve">S’y ajoutent des travaux sur le cerveau, l’œil, le cœur, la vessie, les intoxications et les déséquilibres métaboliques – chez le rat et la souris. Cette énorme diversité est lue par les partisans comme une force. D’un point de vue méthodologique, c’est plutôt un signal d’alerte : une substance qui améliore presque tous les troubles dans presque chaque modèle testé exige une vérification particulièrement soigneuse et indépendante.</w:t>
      </w:r>
    </w:p>
    <w:bookmarkEnd w:id="923"/>
    <w:bookmarkStart w:id="926" w:name="pharmacocinétique-et-toxicologie"/>
    <w:p>
      <w:pPr>
        <w:pStyle w:val="Heading4"/>
      </w:pPr>
      <w:r>
        <w:t xml:space="preserve">Pharmacocinétique et toxicologie</w:t>
      </w:r>
    </w:p>
    <w:p>
      <w:pPr>
        <w:pStyle w:val="FirstParagraph"/>
      </w:pPr>
      <w:r>
        <w:t xml:space="preserve">Un groupe de travail chinois a étudié le BPC-157 selon les règles habituelles du développement des médicaments. Chez le rat et le chien beagle, la demi-vie du peptide inchangé était inférieure à 30 minutes ; après injection intramusculaire, environ 14 à 19 pour cent passaient dans la circulation sanguine chez le rat, 45 à 51 pour cent chez le chien. Le BPC-157 était rapidement découpé en petits fragments et en acides aminés et éliminé par l’urine et la bile</w:t>
      </w:r>
      <w:r>
        <w:rPr>
          <w:rStyle w:val="FootnoteReference"/>
        </w:rPr>
        <w:footnoteReference w:id="924"/>
      </w:r>
      <w:r>
        <w:t xml:space="preserve">. Dans des essais de toxicité chez la souris, le rat, le lapin et le chien, les mêmes chercheurs n’ont trouvé ni lésions graves, ni atteinte du matériel génétique, ni atteinte embryonnaire ; chez le chien, la créatinine a baissé de façon transitoire à la dose la plus élevée</w:t>
      </w:r>
      <w:r>
        <w:rPr>
          <w:rStyle w:val="FootnoteReference"/>
        </w:rPr>
        <w:footnoteReference w:id="925"/>
      </w:r>
      <w:r>
        <w:t xml:space="preserve">. De telles données animales sont une condition préalable aux études chez l’humain, mais ne les remplacent pas.</w:t>
      </w:r>
    </w:p>
    <w:bookmarkEnd w:id="926"/>
    <w:bookmarkEnd w:id="927"/>
    <w:bookmarkStart w:id="940" w:name="risques-et-effets-indésirables-15"/>
    <w:p>
      <w:pPr>
        <w:pStyle w:val="Heading3"/>
      </w:pPr>
      <w:r>
        <w:t xml:space="preserve">Risques et effets indésirables</w:t>
      </w:r>
    </w:p>
    <w:bookmarkStart w:id="929" w:name="établi"/>
    <w:p>
      <w:pPr>
        <w:pStyle w:val="Heading4"/>
      </w:pPr>
      <w:r>
        <w:t xml:space="preserve">Établi</w:t>
      </w:r>
    </w:p>
    <w:p>
      <w:pPr>
        <w:pStyle w:val="FirstParagraph"/>
      </w:pPr>
      <w:r>
        <w:t xml:space="preserve">Il n’existe pratiquement pas d’effets indésirables établis chez l’humain – non pas parce que le BPC-157 serait démontré sûr, mais parce que presque personne ne les a recherchés systématiquement. Les trois investigations pilotes, avec environ 30 personnes au total, n’ont rapporté aucun effet indésirable</w:t>
      </w:r>
      <w:r>
        <w:rPr>
          <w:rStyle w:val="FootnoteReference"/>
        </w:rPr>
        <w:footnoteReference w:id="928"/>
      </w:r>
      <w:r>
        <w:t xml:space="preserve">. Avec 30 personnes, on ne peut détecter que des problèmes fréquents et immédiats. Un effet indésirable touchant une personne sur mille resterait invisible.</w:t>
      </w:r>
    </w:p>
    <w:bookmarkEnd w:id="929"/>
    <w:bookmarkStart w:id="933" w:name="X403808e6f377af191bef2ffb8b0888e4d24490d"/>
    <w:p>
      <w:pPr>
        <w:pStyle w:val="Heading4"/>
      </w:pPr>
      <w:r>
        <w:t xml:space="preserve">Théorique : formation de vaisseaux et croissance tumorale</w:t>
      </w:r>
    </w:p>
    <w:p>
      <w:pPr>
        <w:pStyle w:val="FirstParagraph"/>
      </w:pPr>
      <w:r>
        <w:t xml:space="preserve">Le risque théorique le plus souvent discuté découle directement du mécanisme d’action supposé. Si le BPC-157 favorise la formation de nouveaux vaisseaux sanguins, il pourrait – c’est la crainte – améliorer aussi l’irrigation de tumeurs déjà présentes, peut-être encore non détectées. Les tumeurs dépassant quelques millimètres ont besoin de leurs propres vaisseaux sanguins pour continuer à croître. C’est pourquoi les inhibiteurs de la voie du VEGF sont des anticancéreux établis. Une substance qui augmente l’expression du récepteur 2 du VEGF en culture cellulaire</w:t>
      </w:r>
      <w:r>
        <w:rPr>
          <w:rStyle w:val="FootnoteReference"/>
        </w:rPr>
        <w:footnoteReference w:id="930"/>
      </w:r>
      <w:r>
        <w:t xml:space="preserve"> </w:t>
      </w:r>
      <w:r>
        <w:t xml:space="preserve">mérite ici de la prudence. Plusieurs synthèses citent expressément la néovascularisation pathologique et une possible promotion du cancer comme un risque non élucidé</w:t>
      </w:r>
      <w:r>
        <w:rPr>
          <w:rStyle w:val="FootnoteReference"/>
        </w:rPr>
        <w:footnoteReference w:id="931"/>
      </w:r>
      <w:r>
        <w:t xml:space="preserve">.</w:t>
      </w:r>
    </w:p>
    <w:p>
      <w:pPr>
        <w:pStyle w:val="BodyText"/>
      </w:pPr>
      <w:r>
        <w:t xml:space="preserve">Le groupe de Zagreb le conteste : le BPC-157 régulerait la formation de vaisseaux au lieu de la stimuler aveuglément, empêcherait par exemple une néovascularisation pathologique de la cornée et montrerait même des effets antitumoraux dans des expériences animales et cellulaires</w:t>
      </w:r>
      <w:r>
        <w:rPr>
          <w:rStyle w:val="FootnoteReference"/>
        </w:rPr>
        <w:footnoteReference w:id="932"/>
      </w:r>
      <w:r>
        <w:t xml:space="preserve">. Ces données proviennent à nouveau majoritairement du même groupe. Des études à long terme sur la cancérogenèse (études de cancérogénicité), habituelles pour les médicaments autorisés, n’ont pas été publiées pour le BPC-157. La question reste donc ouverte – ni confirmée ni réfutée. La partie IV de ce livre traite en détail le thème des signaux de croissance et du risque de cancer.</w:t>
      </w:r>
    </w:p>
    <w:bookmarkEnd w:id="933"/>
    <w:bookmarkStart w:id="936" w:name="risques-du-marché-gris"/>
    <w:p>
      <w:pPr>
        <w:pStyle w:val="Heading4"/>
      </w:pPr>
      <w:r>
        <w:t xml:space="preserve">Risques du marché gris</w:t>
      </w:r>
    </w:p>
    <w:p>
      <w:pPr>
        <w:pStyle w:val="FirstParagraph"/>
      </w:pPr>
      <w:r>
        <w:t xml:space="preserve">Le plus grand risque pratique ne réside probablement pas dans la substance elle-même, mais dans les produits. Le BPC-157 est principalement vendu comme « research chemical » sans qualité pharmaceutique. Des synthèses citent comme dangers concrets les impuretés, les concentrations erronées, l’absence de stérilité et une qualité de fabrication variable</w:t>
      </w:r>
      <w:r>
        <w:rPr>
          <w:rStyle w:val="FootnoteReference"/>
        </w:rPr>
        <w:footnoteReference w:id="934"/>
      </w:r>
      <w:r>
        <w:t xml:space="preserve">. Dès 2017, un laboratoire antidopage a décrit du BPC-157 provenant de flacons saisis</w:t>
      </w:r>
      <w:r>
        <w:rPr>
          <w:rStyle w:val="FootnoteReference"/>
        </w:rPr>
        <w:footnoteReference w:id="935"/>
      </w:r>
      <w:r>
        <w:t xml:space="preserve">. Avec les injections s’ajoutent des risques infectieux liés aux solutions non stériles. Le chapitre I.5 et la partie IV traitent en détail des analyses de laboratoire de peptides du marché gris.</w:t>
      </w:r>
    </w:p>
    <w:bookmarkEnd w:id="936"/>
    <w:bookmarkStart w:id="939" w:name="autres-questions-ouvertes"/>
    <w:p>
      <w:pPr>
        <w:pStyle w:val="Heading4"/>
      </w:pPr>
      <w:r>
        <w:t xml:space="preserve">Autres questions ouvertes</w:t>
      </w:r>
    </w:p>
    <w:p>
      <w:pPr>
        <w:numPr>
          <w:ilvl w:val="0"/>
          <w:numId w:val="1117"/>
        </w:numPr>
        <w:pStyle w:val="Compact"/>
      </w:pPr>
      <w:r>
        <w:rPr>
          <w:bCs/>
          <w:b/>
        </w:rPr>
        <w:t xml:space="preserve">Interactions :</w:t>
      </w:r>
      <w:r>
        <w:t xml:space="preserve"> </w:t>
      </w:r>
      <w:r>
        <w:t xml:space="preserve">dans des expériences animales, le BPC-157 a influencé la coagulation sanguine, la pression artérielle et les neurotransmetteurs</w:t>
      </w:r>
      <w:r>
        <w:rPr>
          <w:rStyle w:val="FootnoteReference"/>
        </w:rPr>
        <w:footnoteReference w:id="937"/>
      </w:r>
      <w:r>
        <w:t xml:space="preserve">. Personne ne sait si cela est pertinent chez l’humain pour les personnes sous anticoagulants, atteintes de maladies cardiovasculaires ou traitées par psychotropes.</w:t>
      </w:r>
    </w:p>
    <w:p>
      <w:pPr>
        <w:numPr>
          <w:ilvl w:val="0"/>
          <w:numId w:val="1117"/>
        </w:numPr>
        <w:pStyle w:val="Compact"/>
      </w:pPr>
      <w:r>
        <w:rPr>
          <w:bCs/>
          <w:b/>
        </w:rPr>
        <w:t xml:space="preserve">Grossesse et allaitement, enfants et adolescents :</w:t>
      </w:r>
      <w:r>
        <w:t xml:space="preserve"> </w:t>
      </w:r>
      <w:r>
        <w:t xml:space="preserve">aucune donnée chez l’humain.</w:t>
      </w:r>
    </w:p>
    <w:p>
      <w:pPr>
        <w:numPr>
          <w:ilvl w:val="0"/>
          <w:numId w:val="1117"/>
        </w:numPr>
        <w:pStyle w:val="Compact"/>
      </w:pPr>
      <w:r>
        <w:rPr>
          <w:bCs/>
          <w:b/>
        </w:rPr>
        <w:t xml:space="preserve">Effet placebo :</w:t>
      </w:r>
      <w:r>
        <w:t xml:space="preserve"> </w:t>
      </w:r>
      <w:r>
        <w:t xml:space="preserve">une synthèse de médecine du sport souligne que les réseaux sociaux peuvent renforcer l’effet placebo de tels peptides</w:t>
      </w:r>
      <w:r>
        <w:rPr>
          <w:rStyle w:val="FootnoteReference"/>
        </w:rPr>
        <w:footnoteReference w:id="938"/>
      </w:r>
      <w:r>
        <w:t xml:space="preserve">. Les témoignages personnels de succès ne sont donc pas une preuve d’efficacité.</w:t>
      </w:r>
    </w:p>
    <w:bookmarkEnd w:id="939"/>
    <w:bookmarkEnd w:id="940"/>
    <w:bookmarkStart w:id="944" w:name="statut-juridique-15"/>
    <w:p>
      <w:pPr>
        <w:pStyle w:val="Heading3"/>
      </w:pPr>
      <w:r>
        <w:t xml:space="preserve">Statut juridique</w:t>
      </w:r>
    </w:p>
    <w:p>
      <w:pPr>
        <w:pStyle w:val="FirstParagraph"/>
      </w:pPr>
      <w:r>
        <w:rPr>
          <w:iCs/>
          <w:i/>
        </w:rPr>
        <w:t xml:space="preserve">État 2026, à vérifier.</w:t>
      </w:r>
    </w:p>
    <w:p>
      <w:pPr>
        <w:numPr>
          <w:ilvl w:val="0"/>
          <w:numId w:val="1118"/>
        </w:numPr>
        <w:pStyle w:val="Compact"/>
      </w:pPr>
      <w:r>
        <w:rPr>
          <w:bCs/>
          <w:b/>
        </w:rPr>
        <w:t xml:space="preserve">UE :</w:t>
      </w:r>
      <w:r>
        <w:t xml:space="preserve"> </w:t>
      </w:r>
      <w:r>
        <w:t xml:space="preserve">le BPC-157 n’est autorisé comme médicament dans aucun État membre. Une substance proposée pour traiter des maladies chez l’humain est juridiquement un médicament ; sans autorisation, elle ne peut pas être mise sur le marché. La mention « uniquement à des fins de recherche » n’y change rien lorsque le produit est manifestement destiné à un usage humain.</w:t>
      </w:r>
    </w:p>
    <w:p>
      <w:pPr>
        <w:numPr>
          <w:ilvl w:val="0"/>
          <w:numId w:val="1118"/>
        </w:numPr>
        <w:pStyle w:val="Compact"/>
      </w:pPr>
      <w:r>
        <w:rPr>
          <w:bCs/>
          <w:b/>
        </w:rPr>
        <w:t xml:space="preserve">Allemagne et Autriche :</w:t>
      </w:r>
      <w:r>
        <w:t xml:space="preserve"> </w:t>
      </w:r>
      <w:r>
        <w:t xml:space="preserve">pas d’autorisation, ni de base pour une préparation magistrale. La délivrance en vue d’un usage humain est illégale selon la loi sur les médicaments de chaque pays. Dans le sport s’appliquent en outre les règles antidopage.</w:t>
      </w:r>
    </w:p>
    <w:p>
      <w:pPr>
        <w:numPr>
          <w:ilvl w:val="0"/>
          <w:numId w:val="1118"/>
        </w:numPr>
        <w:pStyle w:val="Compact"/>
      </w:pPr>
      <w:r>
        <w:rPr>
          <w:bCs/>
          <w:b/>
        </w:rPr>
        <w:t xml:space="preserve">États-Unis :</w:t>
      </w:r>
      <w:r>
        <w:t xml:space="preserve"> </w:t>
      </w:r>
      <w:r>
        <w:t xml:space="preserve">pas d’autorisation de la FDA. En 2023, la FDA a classé le BPC-157 parmi les substances de base pour les préparations magistrales (« compounding ») de catégorie 2 – des substances pour lesquelles il existe d’importantes préoccupations de sécurité. Selon l’autorité, les pharmacies de préparations magistrales ne peuvent donc pas le transformer. Le classement des peptides a depuis fait l’objet de débats controversés au sein du comité consultatif de la FDA sur les préparations magistrales (PCAC) et dans les milieux spécialisés</w:t>
      </w:r>
      <w:r>
        <w:rPr>
          <w:rStyle w:val="FootnoteReference"/>
        </w:rPr>
        <w:footnoteReference w:id="941"/>
      </w:r>
      <w:r>
        <w:t xml:space="preserve"> </w:t>
      </w:r>
      <w:r>
        <w:t xml:space="preserve">; des changements sont possibles.</w:t>
      </w:r>
    </w:p>
    <w:p>
      <w:pPr>
        <w:numPr>
          <w:ilvl w:val="0"/>
          <w:numId w:val="1118"/>
        </w:numPr>
        <w:pStyle w:val="Compact"/>
      </w:pPr>
      <w:r>
        <w:rPr>
          <w:bCs/>
          <w:b/>
        </w:rPr>
        <w:t xml:space="preserve">AMA (WADA) :</w:t>
      </w:r>
      <w:r>
        <w:t xml:space="preserve"> </w:t>
      </w:r>
      <w:r>
        <w:t xml:space="preserve">le BPC-157 figure nommément depuis 2022 dans le groupe S0 (substances non approuvées) de la liste des interdictions et est donc interdit en compétition et hors compétition. Une synthèse de 2025 indique à l’inverse que le BPC-157 ne serait actuellement pas listé</w:t>
      </w:r>
      <w:r>
        <w:rPr>
          <w:rStyle w:val="FootnoteReference"/>
        </w:rPr>
        <w:footnoteReference w:id="942"/>
      </w:r>
      <w:r>
        <w:t xml:space="preserve"> </w:t>
      </w:r>
      <w:r>
        <w:t xml:space="preserve">– à la connaissance de l’auteur, ce n’est pas exact pour la liste actuelle. Des laboratoires antidopage ont développé des méthodes de détection dans l’urine</w:t>
      </w:r>
      <w:r>
        <w:rPr>
          <w:rStyle w:val="FootnoteReference"/>
        </w:rPr>
        <w:footnoteReference w:id="943"/>
      </w:r>
      <w:r>
        <w:t xml:space="preserve">.</w:t>
      </w:r>
    </w:p>
    <w:bookmarkEnd w:id="944"/>
    <w:bookmarkStart w:id="950" w:name="études-en-cours-et-perspectives-15"/>
    <w:p>
      <w:pPr>
        <w:pStyle w:val="Heading3"/>
      </w:pPr>
      <w:r>
        <w:t xml:space="preserve">Études en cours et perspectives</w:t>
      </w:r>
    </w:p>
    <w:p>
      <w:pPr>
        <w:pStyle w:val="FirstParagraph"/>
      </w:pPr>
      <w:r>
        <w:t xml:space="preserve">En octobre 2026, quatre études sur le BPC-157 sont inscrites sur ClinicalTrials.gov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Schéma</w:t>
            </w:r>
          </w:p>
        </w:tc>
        <w:tc>
          <w:tcPr/>
          <w:p>
            <w:pPr>
              <w:pStyle w:val="Compact"/>
              <w:jc w:val="left"/>
            </w:pPr>
            <w:r>
              <w:t xml:space="preserve">Statut</w:t>
            </w:r>
          </w:p>
        </w:tc>
        <w:tc>
          <w:tcPr/>
          <w:p>
            <w:pPr>
              <w:pStyle w:val="Compact"/>
              <w:jc w:val="left"/>
            </w:pPr>
            <w:r>
              <w:t xml:space="preserve">Thème</w:t>
            </w:r>
          </w:p>
        </w:tc>
      </w:tr>
      <w:tr>
        <w:tc>
          <w:tcPr/>
          <w:p>
            <w:pPr>
              <w:pStyle w:val="Compact"/>
              <w:jc w:val="left"/>
            </w:pPr>
            <w:r>
              <w:t xml:space="preserve">NCT07437547</w:t>
            </w:r>
          </w:p>
        </w:tc>
        <w:tc>
          <w:tcPr/>
          <w:p>
            <w:pPr>
              <w:pStyle w:val="Compact"/>
              <w:jc w:val="left"/>
            </w:pPr>
            <w:r>
              <w:t xml:space="preserve">phase 2, randomisée, en double aveugle, placebo, 120 personnes prévues</w:t>
            </w:r>
          </w:p>
        </w:tc>
        <w:tc>
          <w:tcPr/>
          <w:p>
            <w:pPr>
              <w:pStyle w:val="Compact"/>
              <w:jc w:val="left"/>
            </w:pPr>
            <w:r>
              <w:t xml:space="preserve">selon le registre, en recrutement depuis février 2026 ; authenticité douteuse (voir texte)</w:t>
            </w:r>
          </w:p>
        </w:tc>
        <w:tc>
          <w:tcPr/>
          <w:p>
            <w:pPr>
              <w:pStyle w:val="Compact"/>
              <w:jc w:val="left"/>
            </w:pPr>
            <w:r>
              <w:t xml:space="preserve">élongation aiguë des ischio-jambiers ; délai de retour au sport, résultat IRM</w:t>
            </w:r>
          </w:p>
        </w:tc>
      </w:tr>
      <w:tr>
        <w:tc>
          <w:tcPr/>
          <w:p>
            <w:pPr>
              <w:pStyle w:val="Compact"/>
              <w:jc w:val="left"/>
            </w:pPr>
            <w:r>
              <w:t xml:space="preserve">NCT07803250</w:t>
            </w:r>
          </w:p>
        </w:tc>
        <w:tc>
          <w:tcPr/>
          <w:p>
            <w:pPr>
              <w:pStyle w:val="Compact"/>
              <w:jc w:val="left"/>
            </w:pPr>
            <w:r>
              <w:t xml:space="preserve">phase 1, randomisée, 30 personnes prévues</w:t>
            </w:r>
          </w:p>
        </w:tc>
        <w:tc>
          <w:tcPr/>
          <w:p>
            <w:pPr>
              <w:pStyle w:val="Compact"/>
              <w:jc w:val="left"/>
            </w:pPr>
            <w:r>
              <w:t xml:space="preserve">pas encore en recrutement, début prévu en 2027</w:t>
            </w:r>
          </w:p>
        </w:tc>
        <w:tc>
          <w:tcPr/>
          <w:p>
            <w:pPr>
              <w:pStyle w:val="Compact"/>
              <w:jc w:val="left"/>
            </w:pPr>
            <w:r>
              <w:t xml:space="preserve">cicatrisation après chirurgie de la coiffe des rotateurs (épaule)</w:t>
            </w:r>
          </w:p>
        </w:tc>
      </w:tr>
      <w:tr>
        <w:tc>
          <w:tcPr/>
          <w:p>
            <w:pPr>
              <w:pStyle w:val="Compact"/>
              <w:jc w:val="left"/>
            </w:pPr>
            <w:r>
              <w:t xml:space="preserve">NCT07752381</w:t>
            </w:r>
          </w:p>
        </w:tc>
        <w:tc>
          <w:tcPr/>
          <w:p>
            <w:pPr>
              <w:pStyle w:val="Compact"/>
              <w:jc w:val="left"/>
            </w:pPr>
            <w:r>
              <w:t xml:space="preserve">un seul groupe sans contrôle, 40 personnes</w:t>
            </w:r>
          </w:p>
        </w:tc>
        <w:tc>
          <w:tcPr/>
          <w:p>
            <w:pPr>
              <w:pStyle w:val="Compact"/>
              <w:jc w:val="left"/>
            </w:pPr>
            <w:r>
              <w:t xml:space="preserve">terminée en 2025, aucun résultat dans le registre</w:t>
            </w:r>
          </w:p>
        </w:tc>
        <w:tc>
          <w:tcPr/>
          <w:p>
            <w:pPr>
              <w:pStyle w:val="Compact"/>
              <w:jc w:val="left"/>
            </w:pPr>
            <w:r>
              <w:t xml:space="preserve">gommes à mâcher d’un fabricant ; marqueurs inflammatoires et auto-évaluation</w:t>
            </w:r>
          </w:p>
        </w:tc>
      </w:tr>
      <w:tr>
        <w:tc>
          <w:tcPr/>
          <w:p>
            <w:pPr>
              <w:pStyle w:val="Compact"/>
              <w:jc w:val="left"/>
            </w:pPr>
            <w:r>
              <w:t xml:space="preserve">NCT02637284</w:t>
            </w:r>
          </w:p>
        </w:tc>
        <w:tc>
          <w:tcPr/>
          <w:p>
            <w:pPr>
              <w:pStyle w:val="Compact"/>
              <w:jc w:val="left"/>
            </w:pPr>
            <w:r>
              <w:t xml:space="preserve">phase 1, comprimés, 42 volontaires sains prévus</w:t>
            </w:r>
          </w:p>
        </w:tc>
        <w:tc>
          <w:tcPr/>
          <w:p>
            <w:pPr>
              <w:pStyle w:val="Compact"/>
              <w:jc w:val="left"/>
            </w:pPr>
            <w:r>
              <w:t xml:space="preserve">statut inconnu depuis 2016</w:t>
            </w:r>
          </w:p>
        </w:tc>
        <w:tc>
          <w:tcPr/>
          <w:p>
            <w:pPr>
              <w:pStyle w:val="Compact"/>
              <w:jc w:val="left"/>
            </w:pPr>
            <w:r>
              <w:t xml:space="preserve">sécurité et pharmacocinétique</w:t>
            </w:r>
          </w:p>
        </w:tc>
      </w:tr>
    </w:tbl>
    <w:p>
      <w:pPr>
        <w:pStyle w:val="BodyText"/>
      </w:pPr>
      <w:r>
        <w:t xml:space="preserve">Peu de choses sont</w:t>
      </w:r>
      <w:r>
        <w:t xml:space="preserve"> </w:t>
      </w:r>
      <w:r>
        <w:rPr>
          <w:bCs/>
          <w:b/>
        </w:rPr>
        <w:t xml:space="preserve">établies</w:t>
      </w:r>
      <w:r>
        <w:t xml:space="preserve">. Sur le papier, l’étude de phase 2 sur les élongations des ischio-jambiers</w:t>
      </w:r>
      <w:r>
        <w:rPr>
          <w:rStyle w:val="FootnoteReference"/>
        </w:rPr>
        <w:footnoteReference w:id="945"/>
      </w:r>
      <w:r>
        <w:t xml:space="preserve"> </w:t>
      </w:r>
      <w:r>
        <w:t xml:space="preserve">serait la première étude randomisée contrôlée contre placebo avec un critère objectif (IRM) et une taille suffisante. Lors de la vérification pour ce livre, un point est toutefois apparu : le même promoteur (« Hudson Biotech ») a créé, avec un centre d’étude et une personne de contact identiques, une seconde entrée sur le TB-500</w:t>
      </w:r>
      <w:r>
        <w:rPr>
          <w:rStyle w:val="FootnoteReference"/>
        </w:rPr>
        <w:footnoteReference w:id="946"/>
      </w:r>
      <w:r>
        <w:t xml:space="preserve">, qui se désigne expressément dans sa propre description comme un exemple « fictif » d’entrée de registre. On ne peut donc pas dire de manière fiable si l’étude sur le BPC-157 sera réellement menée. ClinicalTrials.gov ne vérifie les entrées que sur la forme, pas sur le fond – un enregistrement ne prouve pas à lui seul qu’une étude a lieu.</w:t>
      </w:r>
    </w:p>
    <w:p>
      <w:pPr>
        <w:pStyle w:val="BodyText"/>
      </w:pPr>
      <w:r>
        <w:t xml:space="preserve">L’étude sur l’épaule de l’University of Arkansas</w:t>
      </w:r>
      <w:r>
        <w:rPr>
          <w:rStyle w:val="FootnoteReference"/>
        </w:rPr>
        <w:footnoteReference w:id="947"/>
      </w:r>
      <w:r>
        <w:t xml:space="preserve"> </w:t>
      </w:r>
      <w:r>
        <w:t xml:space="preserve">est randomisée et en aveugle, mais petite, et n’a pas encore commencé. L’étude d’un fabricant sur les gommes à mâcher</w:t>
      </w:r>
      <w:r>
        <w:rPr>
          <w:rStyle w:val="FootnoteReference"/>
        </w:rPr>
        <w:footnoteReference w:id="948"/>
      </w:r>
      <w:r>
        <w:t xml:space="preserve"> </w:t>
      </w:r>
      <w:r>
        <w:t xml:space="preserve">n’a pas de groupe témoin et mesure surtout des déclarations subjectives ; elle ne répondra pas aux questions ouvertes.</w:t>
      </w:r>
    </w:p>
    <w:p>
      <w:pPr>
        <w:pStyle w:val="BodyText"/>
      </w:pPr>
      <w:r>
        <w:rPr>
          <w:bCs/>
          <w:b/>
        </w:rPr>
        <w:t xml:space="preserve">Appréciation de l’auteur :</w:t>
      </w:r>
      <w:r>
        <w:t xml:space="preserve"> </w:t>
      </w:r>
      <w:r>
        <w:t xml:space="preserve">il ne faut pas s’attendre à des données d’efficacité fiables chez l’humain avant 2028. Même un résultat positif d’une petite étude pilote ne serait qu’un premier indice – pas encore une base pour une autorisation, qui exige plusieurs études plus grandes et des données de sécurité à long terme. Un résultat négatif ne changerait sans doute pas grand-chose à la réputation du peptide sur Internet. Une synthèse pharmaceutique souligne qu’il n’existe à ce jour aucune forme pharmaceutique standardisée et validée</w:t>
      </w:r>
      <w:r>
        <w:rPr>
          <w:rStyle w:val="FootnoteReference"/>
        </w:rPr>
        <w:footnoteReference w:id="949"/>
      </w:r>
      <w:r>
        <w:t xml:space="preserve"> </w:t>
      </w:r>
      <w:r>
        <w:t xml:space="preserve">– cela aussi doit être résolu avant une autorisation.</w:t>
      </w:r>
    </w:p>
    <w:bookmarkEnd w:id="950"/>
    <w:bookmarkStart w:id="953" w:name="conclusion-15"/>
    <w:p>
      <w:pPr>
        <w:pStyle w:val="Heading3"/>
      </w:pPr>
      <w:r>
        <w:t xml:space="preserve">Conclusion</w:t>
      </w:r>
    </w:p>
    <w:p>
      <w:pPr>
        <w:pStyle w:val="FirstParagraph"/>
      </w:pPr>
      <w:r>
        <w:t xml:space="preserve">Le BPC-157 est un peptide doté d’un nombre exceptionnellement élevé d’études animales, qui rapportent presque toutes des résultats positifs – provenant majoritairement d’un seul groupe de recherche de Zagreb et sans réplication indépendante suffisante. Chez l’humain, il n’existe que trois petites investigations non contrôlées, avec environ 30 personnes au total, dont la qualité est jugée très faible</w:t>
      </w:r>
      <w:r>
        <w:rPr>
          <w:rStyle w:val="FootnoteReference"/>
        </w:rPr>
        <w:footnoteReference w:id="951"/>
      </w:r>
      <w:r>
        <w:t xml:space="preserve">. La sécurité à long terme, en particulier la question théorique d’une promotion de la croissance tumorale par la formation de vaisseaux, n’a pas été étudiée, et les produits du marché gris comportent leurs propres risques. Les études randomisées ne sont encore qu’enregistrées ou prévues</w:t>
      </w:r>
      <w:r>
        <w:rPr>
          <w:rStyle w:val="FootnoteReference"/>
        </w:rPr>
        <w:footnoteReference w:id="952"/>
      </w:r>
      <w:r>
        <w:t xml:space="preserve"> </w:t>
      </w:r>
      <w:r>
        <w:t xml:space="preserve">; tant qu’aucun résultat fiable n’est disponible, le BPC-157 reste une substance expérimentale dont le bénéfice chez l’humain n’est pas démontré. Pour les sportives et sportifs, il est interdit selon les règles de la WADA.</w:t>
      </w:r>
    </w:p>
    <w:bookmarkEnd w:id="953"/>
    <w:bookmarkEnd w:id="954"/>
    <w:bookmarkStart w:id="1004" w:name="tb-500-et-thymosine-bêta-4"/>
    <w:p>
      <w:pPr>
        <w:pStyle w:val="Heading2"/>
      </w:pPr>
      <w:r>
        <w:t xml:space="preserve">TB-500 et thymosine bêta 4</w:t>
      </w:r>
    </w:p>
    <w:p>
      <w:pPr>
        <w:pStyle w:val="FirstParagraph"/>
      </w:pPr>
      <w:r>
        <w:t xml:space="preserve">Sur Internet, « TB-500 » et « thymosine bêta 4 » sont le plus souvent vendus comme une seule et même chose. C’est faux, et la différence est déterminante pour l’évaluation. La thymosine bêta 4 est une protéine endogène de 43 acides aminés qui a été étudiée dans plusieurs essais cliniques – surtout en collyre et en perfusion après un infarctus du myocarde. Le TB-500, en revanche, est un court fragment de celle-ci, modifié artificiellement, qui n’a jamais été testé dans une étude publiée chez l’humain. Ce chapitre distingue clairement les deux.</w:t>
      </w:r>
    </w:p>
    <w:bookmarkStart w:id="956" w:name="fiche-signalétique-16"/>
    <w:p>
      <w:pPr>
        <w:pStyle w:val="Heading3"/>
      </w:pPr>
      <w:r>
        <w:t xml:space="preserve">Fiche signalétique</w:t>
      </w:r>
    </w:p>
    <w:p>
      <w:pPr>
        <w:numPr>
          <w:ilvl w:val="0"/>
          <w:numId w:val="1119"/>
        </w:numPr>
        <w:pStyle w:val="Compact"/>
      </w:pPr>
      <w:r>
        <w:rPr>
          <w:bCs/>
          <w:b/>
        </w:rPr>
        <w:t xml:space="preserve">Thymosine bêta 4 (Tβ4) :</w:t>
      </w:r>
      <w:r>
        <w:t xml:space="preserve"> </w:t>
      </w:r>
      <w:r>
        <w:t xml:space="preserve">peptide endogène de 43 acides aminés, présent dans presque toutes les cellules ; fonction principale : lie la protéine structurale actine et régule ainsi la forme et le mouvement des cellules. Produite pour les études par synthèse chimique ou par génie génétique (recombinante) ; noms de développement RGN-259 (collyre), RGN-352 (injection), NL005 (recombinante, Chine).</w:t>
      </w:r>
    </w:p>
    <w:p>
      <w:pPr>
        <w:numPr>
          <w:ilvl w:val="0"/>
          <w:numId w:val="1119"/>
        </w:numPr>
        <w:pStyle w:val="Compact"/>
      </w:pPr>
      <w:r>
        <w:rPr>
          <w:bCs/>
          <w:b/>
        </w:rPr>
        <w:t xml:space="preserve">TB-500 :</w:t>
      </w:r>
      <w:r>
        <w:t xml:space="preserve"> </w:t>
      </w:r>
      <w:r>
        <w:t xml:space="preserve">fragment des acides aminés 17 à 23 de la Tβ4, chimiquement modifié à son extrémité initiale (acétylé), séquence Ac-LKKTETQ</w:t>
      </w:r>
      <w:r>
        <w:rPr>
          <w:rStyle w:val="FootnoteReference"/>
        </w:rPr>
        <w:footnoteReference w:id="955"/>
      </w:r>
      <w:r>
        <w:t xml:space="preserve">. Apparu à l’origine comme médicament vétérinaire dans le sport hippique.</w:t>
      </w:r>
    </w:p>
    <w:p>
      <w:pPr>
        <w:numPr>
          <w:ilvl w:val="0"/>
          <w:numId w:val="1119"/>
        </w:numPr>
        <w:pStyle w:val="Compact"/>
      </w:pPr>
      <w:r>
        <w:rPr>
          <w:bCs/>
          <w:b/>
        </w:rPr>
        <w:t xml:space="preserve">Principe d’action (supposé) :</w:t>
      </w:r>
      <w:r>
        <w:t xml:space="preserve"> </w:t>
      </w:r>
      <w:r>
        <w:t xml:space="preserve">stimulation de la migration cellulaire, de la formation de nouveaux vaisseaux et de la cicatrisation, atténuation de l’inflammation.</w:t>
      </w:r>
    </w:p>
    <w:p>
      <w:pPr>
        <w:numPr>
          <w:ilvl w:val="0"/>
          <w:numId w:val="1119"/>
        </w:numPr>
        <w:pStyle w:val="Compact"/>
      </w:pPr>
      <w:r>
        <w:rPr>
          <w:bCs/>
          <w:b/>
        </w:rPr>
        <w:t xml:space="preserve">Autorisation UE/États-Unis :</w:t>
      </w:r>
      <w:r>
        <w:t xml:space="preserve"> </w:t>
      </w:r>
      <w:r>
        <w:t xml:space="preserve">ni la Tβ4 ni le TB-500 ne sont autorisés.</w:t>
      </w:r>
    </w:p>
    <w:p>
      <w:pPr>
        <w:numPr>
          <w:ilvl w:val="0"/>
          <w:numId w:val="1119"/>
        </w:numPr>
        <w:pStyle w:val="Compact"/>
      </w:pPr>
      <w:r>
        <w:rPr>
          <w:bCs/>
          <w:b/>
        </w:rPr>
        <w:t xml:space="preserve">AMA (WADA) :</w:t>
      </w:r>
      <w:r>
        <w:t xml:space="preserve"> </w:t>
      </w:r>
      <w:r>
        <w:t xml:space="preserve">interdit (S2, facteurs de croissance ; « la thymosine-β4 et ses dérivés, p. ex. le TB-500 » sont expressément cités).</w:t>
      </w:r>
    </w:p>
    <w:p>
      <w:pPr>
        <w:numPr>
          <w:ilvl w:val="0"/>
          <w:numId w:val="1119"/>
        </w:numPr>
        <w:pStyle w:val="Compact"/>
      </w:pPr>
      <w:r>
        <w:rPr>
          <w:bCs/>
          <w:b/>
        </w:rPr>
        <w:t xml:space="preserve">Niveau de preuve :</w:t>
      </w:r>
      <w:r>
        <w:t xml:space="preserve"> </w:t>
      </w:r>
      <w:r>
        <w:rPr>
          <w:bCs/>
          <w:b/>
        </w:rPr>
        <w:t xml:space="preserve">B</w:t>
      </w:r>
      <w:r>
        <w:t xml:space="preserve"> </w:t>
      </w:r>
      <w:r>
        <w:t xml:space="preserve">pour la thymosine bêta 4 (études randomisées, majoritairement petites ; grandes études de phase 3 dans la sécheresse oculaire sans bénéfice clair) ·</w:t>
      </w:r>
      <w:r>
        <w:t xml:space="preserve"> </w:t>
      </w:r>
      <w:r>
        <w:rPr>
          <w:bCs/>
          <w:b/>
        </w:rPr>
        <w:t xml:space="preserve">D</w:t>
      </w:r>
      <w:r>
        <w:t xml:space="preserve"> </w:t>
      </w:r>
      <w:r>
        <w:t xml:space="preserve">pour le TB-500 (aucune étude publiée chez l’humain).</w:t>
      </w:r>
    </w:p>
    <w:bookmarkEnd w:id="956"/>
    <w:bookmarkStart w:id="961" w:name="mode-daction-supposé-16"/>
    <w:p>
      <w:pPr>
        <w:pStyle w:val="Heading3"/>
      </w:pPr>
      <w:r>
        <w:t xml:space="preserve">Mode d’action supposé</w:t>
      </w:r>
    </w:p>
    <w:p>
      <w:pPr>
        <w:pStyle w:val="FirstParagraph"/>
      </w:pPr>
      <w:r>
        <w:t xml:space="preserve">Dans les cellules, la Tβ4 est la principale protéine qui lie les monomères d’actine et les « met en réserve ». L’actine forme le squelette interne de la cellule ; lorsqu’une cellule doit se déplacer – par exemple pour fermer une plaie –, ce squelette doit être rapidement remanié. La Tβ4 fournit les éléments nécessaires.</w:t>
      </w:r>
    </w:p>
    <w:p>
      <w:pPr>
        <w:pStyle w:val="BodyText"/>
      </w:pPr>
      <w:r>
        <w:t xml:space="preserve">Par ailleurs, la Tβ4 semble avoir ses propres effets de signalisation à l’extérieur de la cellule. Un article de synthèse décrit plusieurs segments actifs dans la molécule : le court fragment initial (Ac-SDKP) agit en laboratoire comme anti-inflammatoire et antifibrosant, le segment 17 à 23 (LKKTETQ) favorise la formation de vaisseaux, la cicatrisation et la migration cellulaire</w:t>
      </w:r>
      <w:r>
        <w:rPr>
          <w:rStyle w:val="FootnoteReference"/>
        </w:rPr>
        <w:footnoteReference w:id="957"/>
      </w:r>
      <w:r>
        <w:t xml:space="preserve">. Dans des essais sur cellules, le motif de liaison à l’actine, long de sept acides aminés, a montré le même effet sur la migration des cellules vasculaires que la molécule entière</w:t>
      </w:r>
      <w:r>
        <w:rPr>
          <w:rStyle w:val="FootnoteReference"/>
        </w:rPr>
        <w:footnoteReference w:id="958"/>
      </w:r>
      <w:r>
        <w:t xml:space="preserve">.</w:t>
      </w:r>
    </w:p>
    <w:p>
      <w:pPr>
        <w:pStyle w:val="BodyText"/>
      </w:pPr>
      <w:r>
        <w:t xml:space="preserve">C’est sur ce résultat de laboratoire que repose l’idée du TB-500 : si le court fragment porte l’effet, il suffit de ne produire que lui – moins cher et plus simple que la protéine entière. Toutefois, ce n’est pas exactement la séquence naturelle qui a été utilisée, mais une forme acétylée à son extrémité initiale. Une étude de dégradation a montré que le TB-500 est rapidement découpé et que, dans des essais sur cellules, ce n’est pas le peptide de départ mais un produit de dégradation (Ac-LKKTE) qui favorisait la cicatrisation</w:t>
      </w:r>
      <w:r>
        <w:rPr>
          <w:rStyle w:val="FootnoteReference"/>
        </w:rPr>
        <w:footnoteReference w:id="959"/>
      </w:r>
      <w:r>
        <w:t xml:space="preserve">. Il n’est donc pas démontré que le TB-500 accomplit dans l’organisme la même chose que la Tβ4. Une synthèse orthopédique de 2026 souligne que le TB-500 est souvent assimilé à la Tβ4, alors qu’aucune équivalence biologique ou clinique n’est établie</w:t>
      </w:r>
      <w:r>
        <w:rPr>
          <w:rStyle w:val="FootnoteReference"/>
        </w:rPr>
        <w:footnoteReference w:id="960"/>
      </w:r>
      <w:r>
        <w:t xml:space="preserve">.</w:t>
      </w:r>
    </w:p>
    <w:bookmarkEnd w:id="961"/>
    <w:bookmarkStart w:id="976" w:name="études-chez-lhumain-16"/>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9</w:t>
      </w:r>
      <w:r>
        <w:t xml:space="preserve"> </w:t>
      </w:r>
      <w:r>
        <w:t xml:space="preserve">publications classées comme études chez l’humain et</w:t>
      </w:r>
      <w:r>
        <w:t xml:space="preserve"> </w:t>
      </w:r>
      <w:r>
        <w:rPr>
          <w:bCs/>
          <w:b/>
        </w:rPr>
        <w:t xml:space="preserve">18</w:t>
      </w:r>
      <w:r>
        <w:t xml:space="preserve"> </w:t>
      </w:r>
      <w:r>
        <w:t xml:space="preserve">entrées sur ClinicalTrials.gov. Sur les neuf publications, seules six étudient réellement la Tβ4 comme substance active ; les autres mesurent la Tβ4 dans le sang ou portent sur d’autres questions.</w:t>
      </w:r>
      <w:r>
        <w:t xml:space="preserve"> </w:t>
      </w:r>
      <w:r>
        <w:rPr>
          <w:bCs/>
          <w:b/>
        </w:rPr>
        <w:t xml:space="preserve">Aucune</w:t>
      </w:r>
      <w:r>
        <w:t xml:space="preserve"> </w:t>
      </w:r>
      <w:r>
        <w:t xml:space="preserve">étude publiée n’a examiné le TB-500 chez l’humain.</w:t>
      </w:r>
    </w:p>
    <w:bookmarkStart w:id="967" w:name="collyre-rgn-259"/>
    <w:p>
      <w:pPr>
        <w:pStyle w:val="Heading4"/>
      </w:pPr>
      <w:r>
        <w:t xml:space="preserve">Collyre (RGN-259)</w:t>
      </w:r>
    </w:p>
    <w:p>
      <w:pPr>
        <w:pStyle w:val="FirstParagraph"/>
      </w:pPr>
      <w:r>
        <w:t xml:space="preserve">C’est sous forme de collyre que la Tβ4 est la plus avancée. La société RegeneRx et son partenaire ReGenTree l’ont évaluée dans la sécheresse oculaire et dans la kératopathie neurotrophique – une maladie rare dans laquelle la cornée cicatrise mal en raison de nerfs lésés.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Sécheresse oculaire sévère (Sosne 2015, PMID 25826322 ; NCT01393132)</w:t>
            </w:r>
          </w:p>
        </w:tc>
        <w:tc>
          <w:tcPr/>
          <w:p>
            <w:pPr>
              <w:pStyle w:val="Compact"/>
              <w:jc w:val="left"/>
            </w:pPr>
            <w:r>
              <w:t xml:space="preserve">9 personnes, randomisées contre véhicule</w:t>
            </w:r>
          </w:p>
        </w:tc>
        <w:tc>
          <w:tcPr/>
          <w:p>
            <w:pPr>
              <w:pStyle w:val="Compact"/>
              <w:jc w:val="left"/>
            </w:pPr>
            <w:r>
              <w:t xml:space="preserve">28 jours plus 28 jours de suivi</w:t>
            </w:r>
          </w:p>
        </w:tc>
        <w:tc>
          <w:tcPr/>
          <w:p>
            <w:pPr>
              <w:pStyle w:val="Compact"/>
              <w:jc w:val="left"/>
            </w:pPr>
            <w:r>
              <w:t xml:space="preserve">au jour 56, symptômes inférieurs de 35,1 % et coloration cornéenne de 59,1 % par rapport au véhicule</w:t>
            </w:r>
          </w:p>
        </w:tc>
      </w:tr>
      <w:tr>
        <w:tc>
          <w:tcPr/>
          <w:p>
            <w:pPr>
              <w:pStyle w:val="Compact"/>
              <w:jc w:val="left"/>
            </w:pPr>
            <w:r>
              <w:t xml:space="preserve">Sécheresse oculaire, modèle de provocation (Sosne 2015, PMID 26056426)</w:t>
            </w:r>
          </w:p>
        </w:tc>
        <w:tc>
          <w:tcPr/>
          <w:p>
            <w:pPr>
              <w:pStyle w:val="Compact"/>
              <w:jc w:val="left"/>
            </w:pPr>
            <w:r>
              <w:t xml:space="preserve">72 personnes, ECR</w:t>
            </w:r>
          </w:p>
        </w:tc>
        <w:tc>
          <w:tcPr/>
          <w:p>
            <w:pPr>
              <w:pStyle w:val="Compact"/>
              <w:jc w:val="left"/>
            </w:pPr>
            <w:r>
              <w:t xml:space="preserve">28 jours</w:t>
            </w:r>
          </w:p>
        </w:tc>
        <w:tc>
          <w:tcPr/>
          <w:p>
            <w:pPr>
              <w:pStyle w:val="Compact"/>
              <w:jc w:val="left"/>
            </w:pPr>
            <w:r>
              <w:t xml:space="preserve">les deux critères principaux non significatifs ; quelques critères secondaires meilleurs</w:t>
            </w:r>
          </w:p>
        </w:tc>
      </w:tr>
      <w:tr>
        <w:tc>
          <w:tcPr/>
          <w:p>
            <w:pPr>
              <w:pStyle w:val="Compact"/>
              <w:jc w:val="left"/>
            </w:pPr>
            <w:r>
              <w:t xml:space="preserve">ARISE-2 (NCT02974907)</w:t>
            </w:r>
          </w:p>
        </w:tc>
        <w:tc>
          <w:tcPr/>
          <w:p>
            <w:pPr>
              <w:pStyle w:val="Compact"/>
              <w:jc w:val="left"/>
            </w:pPr>
            <w:r>
              <w:t xml:space="preserve">601 personnes, phase 3, ECR</w:t>
            </w:r>
          </w:p>
        </w:tc>
        <w:tc>
          <w:tcPr/>
          <w:p>
            <w:pPr>
              <w:pStyle w:val="Compact"/>
              <w:jc w:val="left"/>
            </w:pPr>
            <w:r>
              <w:t xml:space="preserve">28 jours</w:t>
            </w:r>
          </w:p>
        </w:tc>
        <w:tc>
          <w:tcPr/>
          <w:p>
            <w:pPr>
              <w:pStyle w:val="Compact"/>
              <w:jc w:val="left"/>
            </w:pPr>
            <w:r>
              <w:t xml:space="preserve">critères principaux pratiquement identiques dans les deux groupes selon les résultats du registre</w:t>
            </w:r>
          </w:p>
        </w:tc>
      </w:tr>
      <w:tr>
        <w:tc>
          <w:tcPr/>
          <w:p>
            <w:pPr>
              <w:pStyle w:val="Compact"/>
              <w:jc w:val="left"/>
            </w:pPr>
            <w:r>
              <w:t xml:space="preserve">ARISE-3 (NCT03937882)</w:t>
            </w:r>
          </w:p>
        </w:tc>
        <w:tc>
          <w:tcPr/>
          <w:p>
            <w:pPr>
              <w:pStyle w:val="Compact"/>
              <w:jc w:val="left"/>
            </w:pPr>
            <w:r>
              <w:t xml:space="preserve">700 personnes, phase 3, ECR</w:t>
            </w:r>
          </w:p>
        </w:tc>
        <w:tc>
          <w:tcPr/>
          <w:p>
            <w:pPr>
              <w:pStyle w:val="Compact"/>
              <w:jc w:val="left"/>
            </w:pPr>
            <w:r>
              <w:t xml:space="preserve">14 jours</w:t>
            </w:r>
          </w:p>
        </w:tc>
        <w:tc>
          <w:tcPr/>
          <w:p>
            <w:pPr>
              <w:pStyle w:val="Compact"/>
              <w:jc w:val="left"/>
            </w:pPr>
            <w:r>
              <w:t xml:space="preserve">coloration cornéenne −0,41 vs −0,46 point, symptômes −0,4 vs −0,4 point (Tβ4 vs placebo)</w:t>
            </w:r>
          </w:p>
        </w:tc>
      </w:tr>
      <w:tr>
        <w:tc>
          <w:tcPr/>
          <w:p>
            <w:pPr>
              <w:pStyle w:val="Compact"/>
              <w:jc w:val="left"/>
            </w:pPr>
            <w:r>
              <w:t xml:space="preserve">SEER-1, kératopathie neurotrophique (Sosne 2022, PMID 36613994)</w:t>
            </w:r>
          </w:p>
        </w:tc>
        <w:tc>
          <w:tcPr/>
          <w:p>
            <w:pPr>
              <w:pStyle w:val="Compact"/>
              <w:jc w:val="left"/>
            </w:pPr>
            <w:r>
              <w:t xml:space="preserve">18 personnes, phase 3, ECR</w:t>
            </w:r>
          </w:p>
        </w:tc>
        <w:tc>
          <w:tcPr/>
          <w:p>
            <w:pPr>
              <w:pStyle w:val="Compact"/>
              <w:jc w:val="left"/>
            </w:pPr>
            <w:r>
              <w:t xml:space="preserve">4 semaines plus 2 semaines</w:t>
            </w:r>
          </w:p>
        </w:tc>
        <w:tc>
          <w:tcPr/>
          <w:p>
            <w:pPr>
              <w:pStyle w:val="Compact"/>
              <w:jc w:val="left"/>
            </w:pPr>
            <w:r>
              <w:t xml:space="preserve">guérison complète chez 6 sur 10 vs 1 sur 8 (p = 0,0656, non significatif)</w:t>
            </w:r>
          </w:p>
        </w:tc>
      </w:tr>
    </w:tbl>
    <w:p>
      <w:pPr>
        <w:pStyle w:val="BodyText"/>
      </w:pPr>
      <w:r>
        <w:t xml:space="preserve">Le schéma est typique d’un médicament au bénéfice incertain : de petites études montrent des signaux favorables, de grandes études ne les confirment pas. La petite étude avec neuf personnes a trouvé des améliorations nettes</w:t>
      </w:r>
      <w:r>
        <w:rPr>
          <w:rStyle w:val="FootnoteReference"/>
        </w:rPr>
        <w:footnoteReference w:id="962"/>
      </w:r>
      <w:r>
        <w:t xml:space="preserve">. Mais dès l’étude avec 72 personnes, les deux critères principaux définis à l’avance n’ont pas été atteints ; les auteurs ont mis en avant à la place des améliorations sur des critères secondaires</w:t>
      </w:r>
      <w:r>
        <w:rPr>
          <w:rStyle w:val="FootnoteReference"/>
        </w:rPr>
        <w:footnoteReference w:id="963"/>
      </w:r>
      <w:r>
        <w:t xml:space="preserve">. Dans les deux grandes études de phase 3 ARISE-2 et ARISE-3, avec environ 1 300 participants au total, les valeurs des critères principaux étaient quasiment identiques dans les groupes Tβ4 et placebo selon les résultats publiés dans le registre</w:t>
      </w:r>
      <w:r>
        <w:rPr>
          <w:rStyle w:val="FootnoteReference"/>
        </w:rPr>
        <w:footnoteReference w:id="964"/>
      </w:r>
      <w:r>
        <w:t xml:space="preserve">. Aucune publication de ces résultats dans une revue n’a été trouvée dans PubMed.</w:t>
      </w:r>
    </w:p>
    <w:p>
      <w:pPr>
        <w:pStyle w:val="BodyText"/>
      </w:pPr>
      <w:r>
        <w:t xml:space="preserve">Dans la kératopathie neurotrophique, davantage d’yeux ont guéri sous Tβ4 que sous placebo dans la petite étude de phase 3 SEER-1 ; la différence a cependant manqué de peu la significativité statistique, et l’étude ne comptait que 18 personnes</w:t>
      </w:r>
      <w:r>
        <w:rPr>
          <w:rStyle w:val="FootnoteReference"/>
        </w:rPr>
        <w:footnoteReference w:id="965"/>
      </w:r>
      <w:r>
        <w:t xml:space="preserve">. Une revue Cochrane de 2025 a évalué l’étude comme de « faible fiabilité » et n’a pas trouvé de différence établie</w:t>
      </w:r>
      <w:r>
        <w:rPr>
          <w:rStyle w:val="FootnoteReference"/>
        </w:rPr>
        <w:footnoteReference w:id="966"/>
      </w:r>
      <w:r>
        <w:t xml:space="preserve">. Une étude de suivi plus grande (SEER-2) est en cours.</w:t>
      </w:r>
    </w:p>
    <w:bookmarkEnd w:id="967"/>
    <w:bookmarkStart w:id="969" w:name="cœur"/>
    <w:p>
      <w:pPr>
        <w:pStyle w:val="Heading4"/>
      </w:pPr>
      <w:r>
        <w:t xml:space="preserve">Cœur</w:t>
      </w:r>
    </w:p>
    <w:p>
      <w:pPr>
        <w:pStyle w:val="FirstParagraph"/>
      </w:pPr>
      <w:r>
        <w:t xml:space="preserve">La Tβ4 a été développée comme médicament cardiaque en raison d’expériences spectaculaires chez la souris (voir Études animales et de laboratoire).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Sécurité, perfusion (Ruff 2010, PMID 20536472)</w:t>
            </w:r>
          </w:p>
        </w:tc>
        <w:tc>
          <w:tcPr/>
          <w:p>
            <w:pPr>
              <w:pStyle w:val="Compact"/>
              <w:jc w:val="left"/>
            </w:pPr>
            <w:r>
              <w:t xml:space="preserve">40 volontaires sains répartis en 4 groupes de dose, ECR</w:t>
            </w:r>
          </w:p>
        </w:tc>
        <w:tc>
          <w:tcPr/>
          <w:p>
            <w:pPr>
              <w:pStyle w:val="Compact"/>
              <w:jc w:val="left"/>
            </w:pPr>
            <w:r>
              <w:t xml:space="preserve">dose unique, puis quotidienne pendant 14 jours</w:t>
            </w:r>
          </w:p>
        </w:tc>
        <w:tc>
          <w:tcPr/>
          <w:p>
            <w:pPr>
              <w:pStyle w:val="Compact"/>
              <w:jc w:val="left"/>
            </w:pPr>
            <w:r>
              <w:t xml:space="preserve">aucune toxicité limitant la dose, aucun effet indésirable grave</w:t>
            </w:r>
          </w:p>
        </w:tc>
      </w:tr>
      <w:tr>
        <w:tc>
          <w:tcPr/>
          <w:p>
            <w:pPr>
              <w:pStyle w:val="Compact"/>
              <w:jc w:val="left"/>
            </w:pPr>
            <w:r>
              <w:t xml:space="preserve">Tβ4 recombinante NL005, phase 1 (Wang 2021, PMID 34346165)</w:t>
            </w:r>
          </w:p>
        </w:tc>
        <w:tc>
          <w:tcPr/>
          <w:p>
            <w:pPr>
              <w:pStyle w:val="Compact"/>
              <w:jc w:val="left"/>
            </w:pPr>
            <w:r>
              <w:t xml:space="preserve">54 volontaires sains (dose unique) et 30 volontaires sains (doses répétées), ECR</w:t>
            </w:r>
          </w:p>
        </w:tc>
        <w:tc>
          <w:tcPr/>
          <w:p>
            <w:pPr>
              <w:pStyle w:val="Compact"/>
              <w:jc w:val="left"/>
            </w:pPr>
            <w:r>
              <w:t xml:space="preserve">jusqu’à 10 jours plus 28 jours</w:t>
            </w:r>
          </w:p>
        </w:tc>
        <w:tc>
          <w:tcPr/>
          <w:p>
            <w:pPr>
              <w:pStyle w:val="Compact"/>
              <w:jc w:val="left"/>
            </w:pPr>
            <w:r>
              <w:t xml:space="preserve">effets indésirables légers à modérés, aucun grave</w:t>
            </w:r>
          </w:p>
        </w:tc>
      </w:tr>
      <w:tr>
        <w:tc>
          <w:tcPr/>
          <w:p>
            <w:pPr>
              <w:pStyle w:val="Compact"/>
              <w:jc w:val="left"/>
            </w:pPr>
            <w:r>
              <w:t xml:space="preserve">NL005 dans l’infarctus du myocarde (Zhang 2025, PMID 41229390)</w:t>
            </w:r>
          </w:p>
        </w:tc>
        <w:tc>
          <w:tcPr/>
          <w:p>
            <w:pPr>
              <w:pStyle w:val="Compact"/>
              <w:jc w:val="left"/>
            </w:pPr>
            <w:r>
              <w:t xml:space="preserve">96 personnes avec STEMI après traitement par cathéter, ECR contre placebo</w:t>
            </w:r>
          </w:p>
        </w:tc>
        <w:tc>
          <w:tcPr/>
          <w:p>
            <w:pPr>
              <w:pStyle w:val="Compact"/>
              <w:jc w:val="left"/>
            </w:pPr>
            <w:r>
              <w:t xml:space="preserve">90 jours</w:t>
            </w:r>
          </w:p>
        </w:tc>
        <w:tc>
          <w:tcPr/>
          <w:p>
            <w:pPr>
              <w:pStyle w:val="Compact"/>
              <w:jc w:val="left"/>
            </w:pPr>
            <w:r>
              <w:t xml:space="preserve">dans l’ensemble, pas de différence significative de taille d’infarctus ; avantage seulement dans le sous-groupe traité dans les 8 heures (n = 43)</w:t>
            </w:r>
          </w:p>
        </w:tc>
      </w:tr>
      <w:tr>
        <w:tc>
          <w:tcPr/>
          <w:p>
            <w:pPr>
              <w:pStyle w:val="Compact"/>
              <w:jc w:val="left"/>
            </w:pPr>
            <w:r>
              <w:t xml:space="preserve">Cellules souches prétraitées par Tβ4 (Zhu 2016, PMID 27288307)</w:t>
            </w:r>
          </w:p>
        </w:tc>
        <w:tc>
          <w:tcPr/>
          <w:p>
            <w:pPr>
              <w:pStyle w:val="Compact"/>
              <w:jc w:val="left"/>
            </w:pPr>
            <w:r>
              <w:t xml:space="preserve">10 personnes ayant eu un infarctus, étude pilote randomisée</w:t>
            </w:r>
          </w:p>
        </w:tc>
        <w:tc>
          <w:tcPr/>
          <w:p>
            <w:pPr>
              <w:pStyle w:val="Compact"/>
              <w:jc w:val="left"/>
            </w:pPr>
            <w:r>
              <w:t xml:space="preserve">6 mois</w:t>
            </w:r>
          </w:p>
        </w:tc>
        <w:tc>
          <w:tcPr/>
          <w:p>
            <w:pPr>
              <w:pStyle w:val="Compact"/>
              <w:jc w:val="left"/>
            </w:pPr>
            <w:r>
              <w:t xml:space="preserve">distance de marche davantage améliorée ; la Tβ4 n’a été ajoutée qu’aux cellules en laboratoire, pas administrée aux patients</w:t>
            </w:r>
          </w:p>
        </w:tc>
      </w:tr>
    </w:tbl>
    <w:p>
      <w:pPr>
        <w:pStyle w:val="BodyText"/>
      </w:pPr>
      <w:r>
        <w:t xml:space="preserve">L’étude cardiaque la plus importante est l’étude chinoise menée chez 96 patients victimes d’un infarctus. Sur l’ensemble des participants, la Tβ4 recombinante n’a pas réduit significativement la taille de l’infarctus après 90 jours ; un avantage n’est apparu que dans le sous-groupe qui avait reçu la première dose dans les huit heures</w:t>
      </w:r>
      <w:r>
        <w:rPr>
          <w:rStyle w:val="FootnoteReference"/>
        </w:rPr>
        <w:footnoteReference w:id="968"/>
      </w:r>
      <w:r>
        <w:t xml:space="preserve">. Les résultats de sous-groupes sont considérés comme des indices, pas comme des preuves. Les auteurs réclament eux-mêmes d’autres études randomisées.</w:t>
      </w:r>
    </w:p>
    <w:bookmarkEnd w:id="969"/>
    <w:bookmarkStart w:id="972" w:name="peau-et-plaies"/>
    <w:p>
      <w:pPr>
        <w:pStyle w:val="Heading4"/>
      </w:pPr>
      <w:r>
        <w:t xml:space="preserve">Peau et plaies</w:t>
      </w:r>
    </w:p>
    <w:p>
      <w:pPr>
        <w:pStyle w:val="FirstParagraph"/>
      </w:pPr>
      <w:r>
        <w:t xml:space="preserve">Dans les années 2000, RegeneRx a évalué un gel de Tβ4 dans les ulcères veineux de jambe, les escarres et la maladie bulleuse héréditaire épidermolyse bulleuse. L’étude sur les ulcères veineux a randomisé 73 personnes ; la sécurité était comparable au placebo, un effet ne pouvait être décrit que comme une tendance pour la concentration de 0,03 %</w:t>
      </w:r>
      <w:r>
        <w:rPr>
          <w:rStyle w:val="FootnoteReference"/>
        </w:rPr>
        <w:footnoteReference w:id="970"/>
      </w:r>
      <w:r>
        <w:t xml:space="preserve">. L’étude sur l’épidermolyse bulleuse a été arrêtée prématurément</w:t>
      </w:r>
      <w:r>
        <w:rPr>
          <w:rStyle w:val="FootnoteReference"/>
        </w:rPr>
        <w:footnoteReference w:id="971"/>
      </w:r>
      <w:r>
        <w:t xml:space="preserve">. Aucune de ces études n’a abouti à une autorisation.</w:t>
      </w:r>
    </w:p>
    <w:bookmarkEnd w:id="972"/>
    <w:bookmarkStart w:id="975" w:name="le-tb-500-chez-lhumain"/>
    <w:p>
      <w:pPr>
        <w:pStyle w:val="Heading4"/>
      </w:pPr>
      <w:r>
        <w:t xml:space="preserve">Le TB-500 chez l’humain</w:t>
      </w:r>
    </w:p>
    <w:p>
      <w:pPr>
        <w:pStyle w:val="FirstParagraph"/>
      </w:pPr>
      <w:r>
        <w:t xml:space="preserve">Pour le fragment TB-500, il n’existe aucune étude publiée chez l’humain. Une entrée de registre sur le TB-500 dans les maladies cardiovasculaires, inscrite en 2026</w:t>
      </w:r>
      <w:r>
        <w:rPr>
          <w:rStyle w:val="FootnoteReference"/>
        </w:rPr>
        <w:footnoteReference w:id="973"/>
      </w:r>
      <w:r>
        <w:t xml:space="preserve">, se désigne elle-même dans sa description comme un exemple « fictif » d’entrée de registre ; elle ne doit donc pas être considérée comme une véritable étude. La seule publication chez l’humain qui mentionne la Tβ4 dans les troubles articulaires est un sondage téléphonique rétrospectif dans lequel quatre personnes ont reçu du BPC-157 avec de la Tβ4 en injection dans le genou</w:t>
      </w:r>
      <w:r>
        <w:rPr>
          <w:rStyle w:val="FootnoteReference"/>
        </w:rPr>
        <w:footnoteReference w:id="974"/>
      </w:r>
      <w:r>
        <w:t xml:space="preserve"> </w:t>
      </w:r>
      <w:r>
        <w:t xml:space="preserve">– trop peu pour en tirer la moindre conclusion.</w:t>
      </w:r>
    </w:p>
    <w:bookmarkEnd w:id="975"/>
    <w:bookmarkEnd w:id="976"/>
    <w:bookmarkStart w:id="984" w:name="études-animales-et-de-laboratoire-16"/>
    <w:p>
      <w:pPr>
        <w:pStyle w:val="Heading3"/>
      </w:pPr>
      <w:r>
        <w:t xml:space="preserve">Études animales et de laboratoire</w:t>
      </w:r>
    </w:p>
    <w:p>
      <w:pPr>
        <w:pStyle w:val="FirstParagraph"/>
      </w:pPr>
      <w:r>
        <w:t xml:space="preserve">La réputation de la Tβ4 comme « peptide réparateur » repose surtout sur deux travaux parus dans la revue Nature. Chez des souris ayant subi un infarctus provoqué artificiellement, la Tβ4 a amélioré la survie des cellules musculaires cardiaques et la fonction cardiaque</w:t>
      </w:r>
      <w:r>
        <w:rPr>
          <w:rStyle w:val="FootnoteReference"/>
        </w:rPr>
        <w:footnoteReference w:id="977"/>
      </w:r>
      <w:r>
        <w:t xml:space="preserve">. Un travail ultérieur a montré chez la souris que la Tβ4 active des cellules progénitrices de l’enveloppe externe du cœur et stimule la formation de nouveaux vaisseaux</w:t>
      </w:r>
      <w:r>
        <w:rPr>
          <w:rStyle w:val="FootnoteReference"/>
        </w:rPr>
        <w:footnoteReference w:id="978"/>
      </w:r>
      <w:r>
        <w:t xml:space="preserve">. Un groupe indépendant n’a toutefois pas pu confirmer qu’après un infarctus, la Tβ4 fait naître de nouvelles cellules musculaires cardiaques à partir de ces cellules</w:t>
      </w:r>
      <w:r>
        <w:rPr>
          <w:rStyle w:val="FootnoteReference"/>
        </w:rPr>
        <w:footnoteReference w:id="979"/>
      </w:r>
      <w:r>
        <w:t xml:space="preserve"> </w:t>
      </w:r>
      <w:r>
        <w:t xml:space="preserve">– un exemple de l’importance des réplications indépendantes.</w:t>
      </w:r>
    </w:p>
    <w:p>
      <w:pPr>
        <w:pStyle w:val="BodyText"/>
      </w:pPr>
      <w:r>
        <w:t xml:space="preserve">D’autres résultats animaux et de laboratoire concernent la peau, la cornée, le cerveau, le rein et le foie. Chez le rat, la Tβ4 a amélioré la survie des lambeaux cutanés</w:t>
      </w:r>
      <w:r>
        <w:rPr>
          <w:rStyle w:val="FootnoteReference"/>
        </w:rPr>
        <w:footnoteReference w:id="980"/>
      </w:r>
      <w:r>
        <w:t xml:space="preserve">, chez la souris la consolidation des fractures</w:t>
      </w:r>
      <w:r>
        <w:rPr>
          <w:rStyle w:val="FootnoteReference"/>
        </w:rPr>
        <w:footnoteReference w:id="981"/>
      </w:r>
      <w:r>
        <w:t xml:space="preserve">. Pour les tendons, les ligaments et les muscles – c’est-à-dire précisément les domaines pour lesquels le TB-500 est promu sur Internet –, il n’existe que des données sur cellules et chez les rongeurs</w:t>
      </w:r>
      <w:r>
        <w:rPr>
          <w:rStyle w:val="FootnoteReference"/>
        </w:rPr>
        <w:footnoteReference w:id="982"/>
      </w:r>
      <w:r>
        <w:t xml:space="preserve">. Une étude chez le rat de 2026 a trouvé, après section du tendon d’Achille chez 32 animaux, une résistance à la rupture plus élevée et une meilleure structure tissulaire dans le groupe TB-500 que dans le groupe témoin</w:t>
      </w:r>
      <w:r>
        <w:rPr>
          <w:rStyle w:val="FootnoteReference"/>
        </w:rPr>
        <w:footnoteReference w:id="983"/>
      </w:r>
      <w:r>
        <w:t xml:space="preserve">. C’est l’une des rares études animales avec le fragment effectivement vendu.</w:t>
      </w:r>
    </w:p>
    <w:bookmarkEnd w:id="984"/>
    <w:bookmarkStart w:id="994" w:name="risques-et-effets-indésirables-16"/>
    <w:p>
      <w:pPr>
        <w:pStyle w:val="Heading3"/>
      </w:pPr>
      <w:r>
        <w:t xml:space="preserve">Risques et effets indésirables</w:t>
      </w:r>
    </w:p>
    <w:bookmarkStart w:id="987" w:name="établi-thymosine-bêta-4"/>
    <w:p>
      <w:pPr>
        <w:pStyle w:val="Heading4"/>
      </w:pPr>
      <w:r>
        <w:t xml:space="preserve">Établi (thymosine bêta 4)</w:t>
      </w:r>
    </w:p>
    <w:p>
      <w:pPr>
        <w:pStyle w:val="FirstParagraph"/>
      </w:pPr>
      <w:r>
        <w:t xml:space="preserve">Dans les études randomisées avec collyre, gel et perfusion, la Tβ4 a été bien tolérée. Chez 40 volontaires sains, des perfusions allant jusqu’à 1 260 mg par jour pendant 14 jours n’ont entraîné aucun effet indésirable limitant la dose</w:t>
      </w:r>
      <w:r>
        <w:rPr>
          <w:rStyle w:val="FootnoteReference"/>
        </w:rPr>
        <w:footnoteReference w:id="985"/>
      </w:r>
      <w:r>
        <w:t xml:space="preserve">. Dans l’étude chinoise de phase 1, les effets indésirables étaient légers à modérés</w:t>
      </w:r>
      <w:r>
        <w:rPr>
          <w:rStyle w:val="FootnoteReference"/>
        </w:rPr>
        <w:footnoteReference w:id="986"/>
      </w:r>
      <w:r>
        <w:t xml:space="preserve">. Ces études sont toutefois courtes, et elles concernent la protéine entière de qualité pharmaceutique – pas des produits du marché gris.</w:t>
      </w:r>
    </w:p>
    <w:bookmarkEnd w:id="987"/>
    <w:bookmarkStart w:id="990" w:name="théorique-cancer"/>
    <w:p>
      <w:pPr>
        <w:pStyle w:val="Heading4"/>
      </w:pPr>
      <w:r>
        <w:t xml:space="preserve">Théorique : cancer</w:t>
      </w:r>
    </w:p>
    <w:p>
      <w:pPr>
        <w:pStyle w:val="FirstParagraph"/>
      </w:pPr>
      <w:r>
        <w:t xml:space="preserve">La Tβ4 favorise la migration cellulaire et la formation de nouveaux vaisseaux – deux propriétés que les tumeurs exploitent aussi pour croître et se disséminer. Dans des échantillons tissulaires de 138 patients atteints de cancer de la vessie, une forte production de Tβ4 était associée à un stade avancé, à une atteinte ganglionnaire et à une survie plus courte</w:t>
      </w:r>
      <w:r>
        <w:rPr>
          <w:rStyle w:val="FootnoteReference"/>
        </w:rPr>
        <w:footnoteReference w:id="988"/>
      </w:r>
      <w:r>
        <w:t xml:space="preserve">. Dans des cultures de cellules de cancer du sein, l’ajout de Tβ4 a augmenté le nombre de cellules</w:t>
      </w:r>
      <w:r>
        <w:rPr>
          <w:rStyle w:val="FootnoteReference"/>
        </w:rPr>
        <w:footnoteReference w:id="989"/>
      </w:r>
      <w:r>
        <w:t xml:space="preserve">. De telles associations ne prouvent pas que la Tβ4 apportée de l’extérieur provoque un cancer. Elles sont toutefois une raison pour laquelle les spécialistes conseillent la prudence chez les personnes atteintes d’un cancer ou présentant un risque accru de cancer. Les données à long terme manquent. La partie IV traite le sujet en détail.</w:t>
      </w:r>
    </w:p>
    <w:bookmarkEnd w:id="990"/>
    <w:bookmarkStart w:id="993" w:name="marché-gris"/>
    <w:p>
      <w:pPr>
        <w:pStyle w:val="Heading4"/>
      </w:pPr>
      <w:r>
        <w:t xml:space="preserve">Marché gris</w:t>
      </w:r>
    </w:p>
    <w:p>
      <w:pPr>
        <w:pStyle w:val="FirstParagraph"/>
      </w:pPr>
      <w:r>
        <w:t xml:space="preserve">Ce qui est vendu comme « TB-500 » ne contient pas de façon fiable ce qui figure sur l’étiquette. Un laboratoire de dopage équin a analysé des produits proposés sur Internet et constaté que le contenu de « TB500 » et « TB1000 » ne correspondait pas toujours à la composition déclarée</w:t>
      </w:r>
      <w:r>
        <w:rPr>
          <w:rStyle w:val="FootnoteReference"/>
        </w:rPr>
        <w:footnoteReference w:id="991"/>
      </w:r>
      <w:r>
        <w:t xml:space="preserve">. Certains produits contiennent le fragment, d’autres peut-être la Tβ4 entière, d’autres encore des impuretés. S’y ajoutent les risques connus des injections non stériles. Le fait que des laboratoires de dopage équin aient développé dès 2012 des méthodes de détection du TB-500</w:t>
      </w:r>
      <w:r>
        <w:rPr>
          <w:rStyle w:val="FootnoteReference"/>
        </w:rPr>
        <w:footnoteReference w:id="992"/>
      </w:r>
      <w:r>
        <w:t xml:space="preserve"> </w:t>
      </w:r>
      <w:r>
        <w:t xml:space="preserve">montre d’où vient le produit : du domaine vétérinaire, et non de la médecine humaine.</w:t>
      </w:r>
    </w:p>
    <w:bookmarkEnd w:id="993"/>
    <w:bookmarkEnd w:id="994"/>
    <w:bookmarkStart w:id="997" w:name="statut-juridique-16"/>
    <w:p>
      <w:pPr>
        <w:pStyle w:val="Heading3"/>
      </w:pPr>
      <w:r>
        <w:t xml:space="preserve">Statut juridique</w:t>
      </w:r>
    </w:p>
    <w:p>
      <w:pPr>
        <w:pStyle w:val="FirstParagraph"/>
      </w:pPr>
      <w:r>
        <w:rPr>
          <w:iCs/>
          <w:i/>
        </w:rPr>
        <w:t xml:space="preserve">État 2026, à vérifier.</w:t>
      </w:r>
    </w:p>
    <w:p>
      <w:pPr>
        <w:numPr>
          <w:ilvl w:val="0"/>
          <w:numId w:val="1120"/>
        </w:numPr>
        <w:pStyle w:val="Compact"/>
      </w:pPr>
      <w:r>
        <w:rPr>
          <w:bCs/>
          <w:b/>
        </w:rPr>
        <w:t xml:space="preserve">UE, Allemagne, Autriche :</w:t>
      </w:r>
      <w:r>
        <w:t xml:space="preserve"> </w:t>
      </w:r>
      <w:r>
        <w:t xml:space="preserve">ni la Tβ4 ni le TB-500 ne sont autorisés comme médicaments. La délivrance en vue d’un usage humain n’est pas permise ; les produits portant la mention « uniquement à des fins de recherche » n’y changent rien.</w:t>
      </w:r>
    </w:p>
    <w:p>
      <w:pPr>
        <w:numPr>
          <w:ilvl w:val="0"/>
          <w:numId w:val="1120"/>
        </w:numPr>
        <w:pStyle w:val="Compact"/>
      </w:pPr>
      <w:r>
        <w:rPr>
          <w:bCs/>
          <w:b/>
        </w:rPr>
        <w:t xml:space="preserve">États-Unis :</w:t>
      </w:r>
      <w:r>
        <w:t xml:space="preserve"> </w:t>
      </w:r>
      <w:r>
        <w:t xml:space="preserve">pas d’autorisation de la FDA. À la connaissance de l’auteur, la FDA a classé en 2023 le fragment de Tβ4 (TB-500), comme le BPC-157, dans la catégorie 2 des substances de base pour préparations magistrales, c’est-à-dire parmi les substances présentant d’importantes préoccupations de sécurité ; l’évaluation des peptides pour les préparations magistrales fait actuellement l’objet de débats controversés</w:t>
      </w:r>
      <w:r>
        <w:rPr>
          <w:rStyle w:val="FootnoteReference"/>
        </w:rPr>
        <w:footnoteReference w:id="995"/>
      </w:r>
      <w:r>
        <w:t xml:space="preserve">.</w:t>
      </w:r>
    </w:p>
    <w:p>
      <w:pPr>
        <w:numPr>
          <w:ilvl w:val="0"/>
          <w:numId w:val="1120"/>
        </w:numPr>
        <w:pStyle w:val="Compact"/>
      </w:pPr>
      <w:r>
        <w:rPr>
          <w:bCs/>
          <w:b/>
        </w:rPr>
        <w:t xml:space="preserve">AMA (WADA) :</w:t>
      </w:r>
      <w:r>
        <w:t xml:space="preserve"> </w:t>
      </w:r>
      <w:r>
        <w:t xml:space="preserve">la Tβ4 et ses dérivés comme le TB-500 sont expressément interdits dans la classe S2 (hormones peptidiques, facteurs de croissance), en compétition et hors compétition. Ils sont aussi interdits dans le sport hippique</w:t>
      </w:r>
      <w:r>
        <w:rPr>
          <w:rStyle w:val="FootnoteReference"/>
        </w:rPr>
        <w:footnoteReference w:id="996"/>
      </w:r>
      <w:r>
        <w:t xml:space="preserve">.</w:t>
      </w:r>
    </w:p>
    <w:bookmarkEnd w:id="997"/>
    <w:bookmarkStart w:id="1001" w:name="études-en-cours-et-perspectives-16"/>
    <w:p>
      <w:pPr>
        <w:pStyle w:val="Heading3"/>
      </w:pPr>
      <w:r>
        <w:t xml:space="preserve">Études en cours et perspectives</w:t>
      </w:r>
    </w:p>
    <w:p>
      <w:pPr>
        <w:pStyle w:val="FirstParagraph"/>
      </w:pPr>
      <w:r>
        <w:rPr>
          <w:bCs/>
          <w:b/>
        </w:rPr>
        <w:t xml:space="preserve">Établi (selon le registre) :</w:t>
      </w:r>
    </w:p>
    <w:p>
      <w:pPr>
        <w:numPr>
          <w:ilvl w:val="0"/>
          <w:numId w:val="1121"/>
        </w:numPr>
        <w:pStyle w:val="Compact"/>
      </w:pPr>
      <w:r>
        <w:rPr>
          <w:bCs/>
          <w:b/>
        </w:rPr>
        <w:t xml:space="preserve">SEER-2</w:t>
      </w:r>
      <w:r>
        <w:rPr>
          <w:rStyle w:val="FootnoteReference"/>
        </w:rPr>
        <w:footnoteReference w:id="998"/>
      </w:r>
      <w:r>
        <w:rPr>
          <w:bCs/>
          <w:b/>
        </w:rPr>
        <w:t xml:space="preserve"> </w:t>
      </w:r>
      <w:r>
        <w:rPr>
          <w:bCs/>
          <w:b/>
        </w:rPr>
        <w:t xml:space="preserve">:</w:t>
      </w:r>
      <w:r>
        <w:t xml:space="preserve"> </w:t>
      </w:r>
      <w:r>
        <w:t xml:space="preserve">étude de phase 3 avec le collyre RGN-259 dans la kératopathie neurotrophique, 70 personnes prévues, en recrutement, fin d’étude estimée à mai 2026 selon le registre. Les résultats n’étaient pas publiés en octobre 2026.</w:t>
      </w:r>
    </w:p>
    <w:p>
      <w:pPr>
        <w:numPr>
          <w:ilvl w:val="0"/>
          <w:numId w:val="1121"/>
        </w:numPr>
        <w:pStyle w:val="Compact"/>
      </w:pPr>
      <w:r>
        <w:rPr>
          <w:bCs/>
          <w:b/>
        </w:rPr>
        <w:t xml:space="preserve">NL005 dans l’infarctus du myocarde</w:t>
      </w:r>
      <w:r>
        <w:rPr>
          <w:rStyle w:val="FootnoteReference"/>
        </w:rPr>
        <w:footnoteReference w:id="999"/>
      </w:r>
      <w:r>
        <w:rPr>
          <w:bCs/>
          <w:b/>
        </w:rPr>
        <w:t xml:space="preserve"> </w:t>
      </w:r>
      <w:r>
        <w:rPr>
          <w:bCs/>
          <w:b/>
        </w:rPr>
        <w:t xml:space="preserve">:</w:t>
      </w:r>
      <w:r>
        <w:t xml:space="preserve"> </w:t>
      </w:r>
      <w:r>
        <w:t xml:space="preserve">étude chinoise de phase 2c avec la Tβ4 recombinante, 189 personnes prévues, critère principal la taille de l’infarctus à l’IRM cardiaque après 90 jours ; pas encore en recrutement, fin estimée en 2028. Deux études de phase 2 antérieures du même fabricant, avec 62 et 90 personnes, sont terminées selon le registre</w:t>
      </w:r>
      <w:r>
        <w:rPr>
          <w:rStyle w:val="FootnoteReference"/>
        </w:rPr>
        <w:footnoteReference w:id="1000"/>
      </w:r>
      <w:r>
        <w:t xml:space="preserve">.</w:t>
      </w:r>
    </w:p>
    <w:p>
      <w:pPr>
        <w:numPr>
          <w:ilvl w:val="0"/>
          <w:numId w:val="1121"/>
        </w:numPr>
        <w:pStyle w:val="Compact"/>
      </w:pPr>
      <w:r>
        <w:rPr>
          <w:bCs/>
          <w:b/>
        </w:rPr>
        <w:t xml:space="preserve">TB-500 :</w:t>
      </w:r>
      <w:r>
        <w:t xml:space="preserve"> </w:t>
      </w:r>
      <w:r>
        <w:t xml:space="preserve">aucune étude chez l’humain enregistrée crédible.</w:t>
      </w:r>
    </w:p>
    <w:p>
      <w:pPr>
        <w:pStyle w:val="FirstParagraph"/>
      </w:pPr>
      <w:r>
        <w:rPr>
          <w:bCs/>
          <w:b/>
        </w:rPr>
        <w:t xml:space="preserve">Appréciation de l’auteur :</w:t>
      </w:r>
      <w:r>
        <w:t xml:space="preserve"> </w:t>
      </w:r>
      <w:r>
        <w:t xml:space="preserve">la chance la plus réaliste d’autorisation pour la Tβ4 est le collyre dans la kératopathie neurotrophique, une maladie rare pour laquelle de petites études peuvent suffire à une autorisation comme médicament orphelin – si SEER-2 est positive. Dans la sécheresse oculaire, les grandes données de phase 3 plaident contre un bénéfice cliniquement pertinent. Dans l’infarctus du myocarde, tout dépend de l’étude chinoise en cours. Pour le TB-500 comme moyen de cicatrisation des tendons et des muscles, aucune recherche sérieuse chez l’humain n’est en vue dans un avenir prévisible.</w:t>
      </w:r>
    </w:p>
    <w:bookmarkEnd w:id="1001"/>
    <w:bookmarkStart w:id="1003" w:name="conclusion-16"/>
    <w:p>
      <w:pPr>
        <w:pStyle w:val="Heading3"/>
      </w:pPr>
      <w:r>
        <w:t xml:space="preserve">Conclusion</w:t>
      </w:r>
    </w:p>
    <w:p>
      <w:pPr>
        <w:pStyle w:val="FirstParagraph"/>
      </w:pPr>
      <w:r>
        <w:t xml:space="preserve">La thymosine bêta 4 est un peptide endogène qui a été bien toléré dans des études randomisées en collyre et en perfusion, mais dont le bénéfice ne s’est pas confirmé dans les grandes études sur la sécheresse oculaire et ne s’est esquissé jusqu’ici dans l’infarctus du myocarde que dans un sous-groupe</w:t>
      </w:r>
      <w:r>
        <w:rPr>
          <w:rStyle w:val="FootnoteReference"/>
        </w:rPr>
        <w:footnoteReference w:id="1002"/>
      </w:r>
      <w:r>
        <w:t xml:space="preserve">. Le TB-500 est autre chose : un fragment modifié qui n’a jamais été évalué dans une étude publiée chez l’humain et dont les produits du marché gris ne contiennent manifestement pas toujours ce qui est indiqué. La promotion du TB-500 s’appuie sur des études avec la protéine entière – et celles-ci ne concernent guère les tendons, les ligaments ou les muscles. Pour les sportives et sportifs, les deux substances sont interdites.</w:t>
      </w:r>
    </w:p>
    <w:bookmarkEnd w:id="1003"/>
    <w:bookmarkEnd w:id="1004"/>
    <w:bookmarkStart w:id="1064" w:name="thymosine-alpha-1-thymalfasine"/>
    <w:p>
      <w:pPr>
        <w:pStyle w:val="Heading2"/>
      </w:pPr>
      <w:r>
        <w:t xml:space="preserve">Thymosine alpha 1 (thymalfasine)</w:t>
      </w:r>
    </w:p>
    <w:p>
      <w:pPr>
        <w:pStyle w:val="FirstParagraph"/>
      </w:pPr>
      <w:r>
        <w:t xml:space="preserve">La thymosine alpha 1 est un cas particulier dans ce groupe. Contrairement au BPC-157 ou au TB-500, elle est un médicament autorisé dans un certain nombre de pays (nom commercial Zadaxin), elle a été évaluée dans des dizaines d’études randomisées chez des milliers de personnes, et en Chine elle fait partie du quotidien dans certains hôpitaux. En même temps, ce peptide montre précisément comment un tableau change lorsque de petites études anciennes sont remplacées par de grandes études menées avec rigueur. Elle n’est pas autorisée en Europe ni aux États-Unis, mais elle est commercialisée dans les milieux de la « longévité » et du biohacking comme stimulant immunitaire.</w:t>
      </w:r>
    </w:p>
    <w:bookmarkStart w:id="1007" w:name="fiche-signalétique-17"/>
    <w:p>
      <w:pPr>
        <w:pStyle w:val="Heading3"/>
      </w:pPr>
      <w:r>
        <w:t xml:space="preserve">Fiche signalétique</w:t>
      </w:r>
    </w:p>
    <w:p>
      <w:pPr>
        <w:numPr>
          <w:ilvl w:val="0"/>
          <w:numId w:val="1122"/>
        </w:numPr>
        <w:pStyle w:val="Compact"/>
      </w:pPr>
      <w:r>
        <w:rPr>
          <w:bCs/>
          <w:b/>
        </w:rPr>
        <w:t xml:space="preserve">Type et structure :</w:t>
      </w:r>
      <w:r>
        <w:t xml:space="preserve"> </w:t>
      </w:r>
      <w:r>
        <w:t xml:space="preserve">peptide de 28 acides aminés, acétylé à son extrémité initiale</w:t>
      </w:r>
      <w:r>
        <w:rPr>
          <w:rStyle w:val="FootnoteReference"/>
        </w:rPr>
        <w:footnoteReference w:id="1005"/>
      </w:r>
      <w:r>
        <w:t xml:space="preserve"> </w:t>
      </w:r>
      <w:r>
        <w:t xml:space="preserve">; fragment de la protéine plus grande prothymosine alpha.</w:t>
      </w:r>
    </w:p>
    <w:p>
      <w:pPr>
        <w:numPr>
          <w:ilvl w:val="0"/>
          <w:numId w:val="1122"/>
        </w:numPr>
        <w:pStyle w:val="Compact"/>
      </w:pPr>
      <w:r>
        <w:rPr>
          <w:bCs/>
          <w:b/>
        </w:rPr>
        <w:t xml:space="preserve">Origine :</w:t>
      </w:r>
      <w:r>
        <w:t xml:space="preserve"> </w:t>
      </w:r>
      <w:r>
        <w:t xml:space="preserve">isolée dans les années 1970 à partir d’un extrait de thymus (« fraction 5 de thymosine ») ; aujourd’hui obtenue par synthèse chimique. Dénomination de la substance : thymalfasine.</w:t>
      </w:r>
    </w:p>
    <w:p>
      <w:pPr>
        <w:numPr>
          <w:ilvl w:val="0"/>
          <w:numId w:val="1122"/>
        </w:numPr>
        <w:pStyle w:val="Compact"/>
      </w:pPr>
      <w:r>
        <w:rPr>
          <w:bCs/>
          <w:b/>
        </w:rPr>
        <w:t xml:space="preserve">Principe d’action :</w:t>
      </w:r>
      <w:r>
        <w:t xml:space="preserve"> </w:t>
      </w:r>
      <w:r>
        <w:t xml:space="preserve">immunomodulateur – censé favoriser la maturation et l’activité des lymphocytes T et des cellules dendritiques.</w:t>
      </w:r>
    </w:p>
    <w:p>
      <w:pPr>
        <w:numPr>
          <w:ilvl w:val="0"/>
          <w:numId w:val="1122"/>
        </w:numPr>
        <w:pStyle w:val="Compact"/>
      </w:pPr>
      <w:r>
        <w:rPr>
          <w:bCs/>
          <w:b/>
        </w:rPr>
        <w:t xml:space="preserve">Autorisation UE :</w:t>
      </w:r>
      <w:r>
        <w:t xml:space="preserve"> </w:t>
      </w:r>
      <w:r>
        <w:t xml:space="preserve">pas d’autorisation centralisée.</w:t>
      </w:r>
      <w:r>
        <w:t xml:space="preserve"> </w:t>
      </w:r>
      <w:r>
        <w:rPr>
          <w:bCs/>
          <w:b/>
        </w:rPr>
        <w:t xml:space="preserve">États-Unis :</w:t>
      </w:r>
      <w:r>
        <w:t xml:space="preserve"> </w:t>
      </w:r>
      <w:r>
        <w:t xml:space="preserve">non autorisée ; la FDA a restreint en 2023 son utilisation par les pharmacies de préparations magistrales</w:t>
      </w:r>
      <w:r>
        <w:rPr>
          <w:rStyle w:val="FootnoteReference"/>
        </w:rPr>
        <w:footnoteReference w:id="1006"/>
      </w:r>
      <w:r>
        <w:t xml:space="preserve">.</w:t>
      </w:r>
      <w:r>
        <w:t xml:space="preserve"> </w:t>
      </w:r>
      <w:r>
        <w:rPr>
          <w:bCs/>
          <w:b/>
        </w:rPr>
        <w:t xml:space="preserve">Autres pays :</w:t>
      </w:r>
      <w:r>
        <w:t xml:space="preserve"> </w:t>
      </w:r>
      <w:r>
        <w:t xml:space="preserve">autorisée sous le nom Zadaxin, surtout en Chine et dans d’autres pays asiatiques, le plus souvent pour l’hépatite B chronique et comme traitement d’appoint pour renforcer le système immunitaire.</w:t>
      </w:r>
    </w:p>
    <w:p>
      <w:pPr>
        <w:numPr>
          <w:ilvl w:val="0"/>
          <w:numId w:val="1122"/>
        </w:numPr>
        <w:pStyle w:val="Compact"/>
      </w:pPr>
      <w:r>
        <w:rPr>
          <w:bCs/>
          <w:b/>
        </w:rPr>
        <w:t xml:space="preserve">AMA (WADA) :</w:t>
      </w:r>
      <w:r>
        <w:t xml:space="preserve"> </w:t>
      </w:r>
      <w:r>
        <w:t xml:space="preserve">non expressément listée.</w:t>
      </w:r>
    </w:p>
    <w:p>
      <w:pPr>
        <w:numPr>
          <w:ilvl w:val="0"/>
          <w:numId w:val="1122"/>
        </w:numPr>
        <w:pStyle w:val="Compact"/>
      </w:pPr>
      <w:r>
        <w:rPr>
          <w:bCs/>
          <w:b/>
        </w:rPr>
        <w:t xml:space="preserve">Niveau de preuve : B</w:t>
      </w:r>
      <w:r>
        <w:t xml:space="preserve"> </w:t>
      </w:r>
      <w:r>
        <w:t xml:space="preserve">– formellement, de nombreuses études randomisées existent ; mais les grandes études, méthodologiquement les meilleures, n’ont pas atteint leurs critères principaux, et les résultats positifs proviennent majoritairement de petites études à risque de biais élevé.</w:t>
      </w:r>
    </w:p>
    <w:bookmarkEnd w:id="1007"/>
    <w:bookmarkStart w:id="1010" w:name="mode-daction-supposé-17"/>
    <w:p>
      <w:pPr>
        <w:pStyle w:val="Heading3"/>
      </w:pPr>
      <w:r>
        <w:t xml:space="preserve">Mode d’action supposé</w:t>
      </w:r>
    </w:p>
    <w:p>
      <w:pPr>
        <w:pStyle w:val="FirstParagraph"/>
      </w:pPr>
      <w:r>
        <w:t xml:space="preserve">Le thymus, situé derrière le sternum, est l’« école » des lymphocytes T : c’est là que ces globules blancs apprennent à distinguer l’étranger du soi. Le thymus s’atrophie avec l’âge. On a supposé très tôt que des messagers issus du thymus pilotaient les défenses, et on les a recherchés dans des extraits de thymus. La thymosine alpha 1 a été l’une des premières substances ainsi identifiées.</w:t>
      </w:r>
    </w:p>
    <w:p>
      <w:pPr>
        <w:pStyle w:val="BodyText"/>
      </w:pPr>
      <w:r>
        <w:t xml:space="preserve">Dans des expériences de laboratoire et chez l’animal, la thymosine alpha 1 active les cellules dendritiques – les « éclaireurs » du système immunitaire – via les récepteurs dits Toll-like, augmente l’expression de molécules de reconnaissance à la surface des cellules et renforce l’action de l’interféron</w:t>
      </w:r>
      <w:r>
        <w:rPr>
          <w:rStyle w:val="FootnoteReference"/>
        </w:rPr>
        <w:footnoteReference w:id="1008"/>
      </w:r>
      <w:r>
        <w:t xml:space="preserve">. Il en a découlé trois grandes idées d’application :</w:t>
      </w:r>
    </w:p>
    <w:p>
      <w:pPr>
        <w:numPr>
          <w:ilvl w:val="0"/>
          <w:numId w:val="1123"/>
        </w:numPr>
        <w:pStyle w:val="Compact"/>
      </w:pPr>
      <w:r>
        <w:rPr>
          <w:bCs/>
          <w:b/>
        </w:rPr>
        <w:t xml:space="preserve">Infections virales chroniques</w:t>
      </w:r>
      <w:r>
        <w:t xml:space="preserve"> </w:t>
      </w:r>
      <w:r>
        <w:t xml:space="preserve">(hépatites B et C), dans lesquelles le système immunitaire n’élimine pas le virus par ses propres moyens.</w:t>
      </w:r>
    </w:p>
    <w:p>
      <w:pPr>
        <w:numPr>
          <w:ilvl w:val="0"/>
          <w:numId w:val="1123"/>
        </w:numPr>
        <w:pStyle w:val="Compact"/>
      </w:pPr>
      <w:r>
        <w:rPr>
          <w:bCs/>
          <w:b/>
        </w:rPr>
        <w:t xml:space="preserve">Sepsis et infections graves</w:t>
      </w:r>
      <w:r>
        <w:t xml:space="preserve">, dans lesquels une réaction excessive initiale est souvent suivie d’une phase d’immunodépression.</w:t>
      </w:r>
    </w:p>
    <w:p>
      <w:pPr>
        <w:numPr>
          <w:ilvl w:val="0"/>
          <w:numId w:val="1123"/>
        </w:numPr>
        <w:pStyle w:val="Compact"/>
      </w:pPr>
      <w:r>
        <w:rPr>
          <w:bCs/>
          <w:b/>
        </w:rPr>
        <w:t xml:space="preserve">Cancer</w:t>
      </w:r>
      <w:r>
        <w:t xml:space="preserve">, en complément de la chimiothérapie, de la radiothérapie et de l’immunothérapie.</w:t>
      </w:r>
    </w:p>
    <w:p>
      <w:pPr>
        <w:pStyle w:val="FirstParagraph"/>
      </w:pPr>
      <w:r>
        <w:t xml:space="preserve">La demi-vie dans le sang est d’environ deux heures ; après 24 heures, le taux est revenu à sa valeur initiale</w:t>
      </w:r>
      <w:r>
        <w:rPr>
          <w:rStyle w:val="FootnoteReference"/>
        </w:rPr>
        <w:footnoteReference w:id="1009"/>
      </w:r>
      <w:r>
        <w:t xml:space="preserve">.</w:t>
      </w:r>
    </w:p>
    <w:bookmarkEnd w:id="1010"/>
    <w:bookmarkStart w:id="1040" w:name="études-chez-lhumain-17"/>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90</w:t>
      </w:r>
      <w:r>
        <w:t xml:space="preserve"> </w:t>
      </w:r>
      <w:r>
        <w:t xml:space="preserve">études chez l’humain dans PubMed et</w:t>
      </w:r>
      <w:r>
        <w:t xml:space="preserve"> </w:t>
      </w:r>
      <w:r>
        <w:rPr>
          <w:bCs/>
          <w:b/>
        </w:rPr>
        <w:t xml:space="preserve">66</w:t>
      </w:r>
      <w:r>
        <w:t xml:space="preserve"> </w:t>
      </w:r>
      <w:r>
        <w:t xml:space="preserve">entrées sur ClinicalTrials.gov, ainsi que 15 méta-analyses et revues systématiques. Une grande partie des études provient de Chine et est de petite taille. Une synthèse de 2024 regroupant plus de 30 études portant sur plus de 11 000 personnes a été rédigée expressément pour argumenter contre la restriction de la FDA</w:t>
      </w:r>
      <w:r>
        <w:rPr>
          <w:rStyle w:val="FootnoteReference"/>
        </w:rPr>
        <w:footnoteReference w:id="1011"/>
      </w:r>
      <w:r>
        <w:t xml:space="preserve"> </w:t>
      </w:r>
      <w:r>
        <w:t xml:space="preserve">– elle ne doit donc pas être lue comme une évaluation neutre.</w:t>
      </w:r>
    </w:p>
    <w:bookmarkStart w:id="1012" w:name="les-grandes-études-les-plus-importantes"/>
    <w:p>
      <w:pPr>
        <w:pStyle w:val="Heading4"/>
      </w:pPr>
      <w:r>
        <w:t xml:space="preserve">Les grandes études les plus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TESTS, sepsis (Wu 2025, PMID 39814420)</w:t>
            </w:r>
          </w:p>
        </w:tc>
        <w:tc>
          <w:tcPr/>
          <w:p>
            <w:pPr>
              <w:pStyle w:val="Compact"/>
              <w:jc w:val="left"/>
            </w:pPr>
            <w:r>
              <w:t xml:space="preserve">1 106 adultes atteints de sepsis, 22 centres en Chine, ECR en double aveugle contre placebo</w:t>
            </w:r>
          </w:p>
        </w:tc>
        <w:tc>
          <w:tcPr/>
          <w:p>
            <w:pPr>
              <w:pStyle w:val="Compact"/>
              <w:jc w:val="left"/>
            </w:pPr>
            <w:r>
              <w:t xml:space="preserve">7 jours de traitement, 28 jours d’observation</w:t>
            </w:r>
          </w:p>
        </w:tc>
        <w:tc>
          <w:tcPr/>
          <w:p>
            <w:pPr>
              <w:pStyle w:val="Compact"/>
              <w:jc w:val="left"/>
            </w:pPr>
            <w:r>
              <w:t xml:space="preserve">mortalité 23,4 % vs 24,1 % ; aucune différence</w:t>
            </w:r>
          </w:p>
        </w:tc>
      </w:tr>
      <w:tr>
        <w:tc>
          <w:tcPr/>
          <w:p>
            <w:pPr>
              <w:pStyle w:val="Compact"/>
              <w:jc w:val="left"/>
            </w:pPr>
            <w:r>
              <w:t xml:space="preserve">Pancréatite nécrosante (Ke 2022, PMID 35713670)</w:t>
            </w:r>
          </w:p>
        </w:tc>
        <w:tc>
          <w:tcPr/>
          <w:p>
            <w:pPr>
              <w:pStyle w:val="Compact"/>
              <w:jc w:val="left"/>
            </w:pPr>
            <w:r>
              <w:t xml:space="preserve">508 personnes, ECR en double aveugle contre placebo</w:t>
            </w:r>
          </w:p>
        </w:tc>
        <w:tc>
          <w:tcPr/>
          <w:p>
            <w:pPr>
              <w:pStyle w:val="Compact"/>
              <w:jc w:val="left"/>
            </w:pPr>
            <w:r>
              <w:t xml:space="preserve">14 jours de traitement</w:t>
            </w:r>
          </w:p>
        </w:tc>
        <w:tc>
          <w:tcPr/>
          <w:p>
            <w:pPr>
              <w:pStyle w:val="Compact"/>
              <w:jc w:val="left"/>
            </w:pPr>
            <w:r>
              <w:t xml:space="preserve">nécroses infectées 15,7 % vs 18,1 % ; pas de différence significative</w:t>
            </w:r>
          </w:p>
        </w:tc>
      </w:tr>
      <w:tr>
        <w:tc>
          <w:tcPr/>
          <w:p>
            <w:pPr>
              <w:pStyle w:val="Compact"/>
              <w:jc w:val="left"/>
            </w:pPr>
            <w:r>
              <w:t xml:space="preserve">Mélanome (Maio 2010, PMID 20194853)</w:t>
            </w:r>
          </w:p>
        </w:tc>
        <w:tc>
          <w:tcPr/>
          <w:p>
            <w:pPr>
              <w:pStyle w:val="Compact"/>
              <w:jc w:val="left"/>
            </w:pPr>
            <w:r>
              <w:t xml:space="preserve">488 personnes atteintes de mélanome métastatique, ECR à 5 groupes</w:t>
            </w:r>
          </w:p>
        </w:tc>
        <w:tc>
          <w:tcPr/>
          <w:p>
            <w:pPr>
              <w:pStyle w:val="Compact"/>
              <w:jc w:val="left"/>
            </w:pPr>
            <w:r>
              <w:t xml:space="preserve">jusqu’à 24 mois</w:t>
            </w:r>
          </w:p>
        </w:tc>
        <w:tc>
          <w:tcPr/>
          <w:p>
            <w:pPr>
              <w:pStyle w:val="Compact"/>
              <w:jc w:val="left"/>
            </w:pPr>
            <w:r>
              <w:t xml:space="preserve">davantage de réponses tumorales dans deux groupes Tα1 ; survie globale 9,4 vs 6,6 mois, non significatif (p = 0,08)</w:t>
            </w:r>
          </w:p>
        </w:tc>
      </w:tr>
      <w:tr>
        <w:tc>
          <w:tcPr/>
          <w:p>
            <w:pPr>
              <w:pStyle w:val="Compact"/>
              <w:jc w:val="left"/>
            </w:pPr>
            <w:r>
              <w:t xml:space="preserve">Cirrhose liée à l’hépatite B (Wu 2018, PMID 30063860)</w:t>
            </w:r>
          </w:p>
        </w:tc>
        <w:tc>
          <w:tcPr/>
          <w:p>
            <w:pPr>
              <w:pStyle w:val="Compact"/>
              <w:jc w:val="left"/>
            </w:pPr>
            <w:r>
              <w:t xml:space="preserve">690 personnes, ECR en ouvert, Tα1 plus entécavir vs entécavir seul</w:t>
            </w:r>
          </w:p>
        </w:tc>
        <w:tc>
          <w:tcPr/>
          <w:p>
            <w:pPr>
              <w:pStyle w:val="Compact"/>
              <w:jc w:val="left"/>
            </w:pPr>
            <w:r>
              <w:t xml:space="preserve">médiane 38,2 mois</w:t>
            </w:r>
          </w:p>
        </w:tc>
        <w:tc>
          <w:tcPr/>
          <w:p>
            <w:pPr>
              <w:pStyle w:val="Compact"/>
              <w:jc w:val="left"/>
            </w:pPr>
            <w:r>
              <w:t xml:space="preserve">aucune différence en matière d’insuffisance hépatique, de cancer du foie ou de décès</w:t>
            </w:r>
          </w:p>
        </w:tc>
      </w:tr>
      <w:tr>
        <w:tc>
          <w:tcPr/>
          <w:p>
            <w:pPr>
              <w:pStyle w:val="Compact"/>
              <w:jc w:val="left"/>
            </w:pPr>
            <w:r>
              <w:t xml:space="preserve">Hépatite B, Japon (Iino 2005, PMID 15850471)</w:t>
            </w:r>
          </w:p>
        </w:tc>
        <w:tc>
          <w:tcPr/>
          <w:p>
            <w:pPr>
              <w:pStyle w:val="Compact"/>
              <w:jc w:val="left"/>
            </w:pPr>
            <w:r>
              <w:t xml:space="preserve">316 personnes, comparaison de deux doses, sans groupe placebo</w:t>
            </w:r>
          </w:p>
        </w:tc>
        <w:tc>
          <w:tcPr/>
          <w:p>
            <w:pPr>
              <w:pStyle w:val="Compact"/>
              <w:jc w:val="left"/>
            </w:pPr>
            <w:r>
              <w:t xml:space="preserve">24 semaines plus 48 semaines</w:t>
            </w:r>
          </w:p>
        </w:tc>
        <w:tc>
          <w:tcPr/>
          <w:p>
            <w:pPr>
              <w:pStyle w:val="Compact"/>
              <w:jc w:val="left"/>
            </w:pPr>
            <w:r>
              <w:t xml:space="preserve">perte de l’antigène HBe chez 22,8 % à la dose la plus élevée</w:t>
            </w:r>
          </w:p>
        </w:tc>
      </w:tr>
      <w:tr>
        <w:tc>
          <w:tcPr/>
          <w:p>
            <w:pPr>
              <w:pStyle w:val="Compact"/>
              <w:jc w:val="left"/>
            </w:pPr>
            <w:r>
              <w:t xml:space="preserve">Hépatite B, phase 3 (Mutchnick 1999, PMID 10607256)</w:t>
            </w:r>
          </w:p>
        </w:tc>
        <w:tc>
          <w:tcPr/>
          <w:p>
            <w:pPr>
              <w:pStyle w:val="Compact"/>
              <w:jc w:val="left"/>
            </w:pPr>
            <w:r>
              <w:t xml:space="preserve">97 personnes, ECR en double aveugle contre placebo</w:t>
            </w:r>
          </w:p>
        </w:tc>
        <w:tc>
          <w:tcPr/>
          <w:p>
            <w:pPr>
              <w:pStyle w:val="Compact"/>
              <w:jc w:val="left"/>
            </w:pPr>
            <w:r>
              <w:t xml:space="preserve">12 mois</w:t>
            </w:r>
          </w:p>
        </w:tc>
        <w:tc>
          <w:tcPr/>
          <w:p>
            <w:pPr>
              <w:pStyle w:val="Compact"/>
              <w:jc w:val="left"/>
            </w:pPr>
            <w:r>
              <w:t xml:space="preserve">réponse complète 14 % vs 4 %, non significatif</w:t>
            </w:r>
          </w:p>
        </w:tc>
      </w:tr>
    </w:tbl>
    <w:bookmarkEnd w:id="1012"/>
    <w:bookmarkStart w:id="1020" w:name="hépatites-b-et-c"/>
    <w:p>
      <w:pPr>
        <w:pStyle w:val="Heading4"/>
      </w:pPr>
      <w:r>
        <w:t xml:space="preserve">Hépatites B et C</w:t>
      </w:r>
    </w:p>
    <w:p>
      <w:pPr>
        <w:pStyle w:val="FirstParagraph"/>
      </w:pPr>
      <w:r>
        <w:t xml:space="preserve">Les autorisations en Asie reposent surtout sur des études sur l’hépatite B chronique des années 1990. Une étude randomisée chez 98 personnes a trouvé, 18 mois après le début, une réponse virologique complète chez 40,6 pour cent après six mois de traitement, contre 9,4 pour cent dans le groupe témoin non traité</w:t>
      </w:r>
      <w:r>
        <w:rPr>
          <w:rStyle w:val="FootnoteReference"/>
        </w:rPr>
        <w:footnoteReference w:id="1013"/>
      </w:r>
      <w:r>
        <w:t xml:space="preserve">. L’étude de phase 3 en double aveugle contrôlée contre placebo n’a pas pu le confirmer : 14 pour cent vs 4 pour cent, statistiquement non significatif ; les auteurs écrivent eux-mêmes que les résultats ne confirmaient pas les observations antérieures</w:t>
      </w:r>
      <w:r>
        <w:rPr>
          <w:rStyle w:val="FootnoteReference"/>
        </w:rPr>
        <w:footnoteReference w:id="1014"/>
      </w:r>
      <w:r>
        <w:t xml:space="preserve">.</w:t>
      </w:r>
    </w:p>
    <w:p>
      <w:pPr>
        <w:pStyle w:val="BodyText"/>
      </w:pPr>
      <w:r>
        <w:t xml:space="preserve">Une méta-analyse de quatre petites études avec 199 personnes a montré que la thymosine alpha 1 faisait moins bien que l’interféron alpha en fin de traitement, mais mieux six mois après</w:t>
      </w:r>
      <w:r>
        <w:rPr>
          <w:rStyle w:val="FootnoteReference"/>
        </w:rPr>
        <w:footnoteReference w:id="1015"/>
      </w:r>
      <w:r>
        <w:t xml:space="preserve">. Aujourd’hui, la question est largement dépassée : les comprimés modernes contre l’hépatite B (comme l’entécavir) suppriment le virus de manière fiable. Dans la grande étude portant sur 690 personnes atteintes de cirrhose, l’ajout de thymosine alpha 1 à l’entécavir n’a apporté aucun avantage sur le critère principal combinant décompensation hépatique, cancer du foie ou décès</w:t>
      </w:r>
      <w:r>
        <w:rPr>
          <w:rStyle w:val="FootnoteReference"/>
        </w:rPr>
        <w:footnoteReference w:id="1016"/>
      </w:r>
      <w:r>
        <w:t xml:space="preserve">. Une méta-analyse d’études chinoises sur la même association a certes trouvé de meilleurs taux de réponse après 24 semaines, mais plus aucune différence après 48 à 52 semaines</w:t>
      </w:r>
      <w:r>
        <w:rPr>
          <w:rStyle w:val="FootnoteReference"/>
        </w:rPr>
        <w:footnoteReference w:id="1017"/>
      </w:r>
      <w:r>
        <w:t xml:space="preserve">.</w:t>
      </w:r>
    </w:p>
    <w:p>
      <w:pPr>
        <w:pStyle w:val="BodyText"/>
      </w:pPr>
      <w:r>
        <w:t xml:space="preserve">Dans une forme évolutive particulièrement grave – l’insuffisance hépatique aiguë sur chronique liée à l’hépatite B –, la survie sans transplantation à 90 jours était, dans une étude en ouvert chez 120 personnes, de 75,0 pour cent sous thymosine alpha 1 contre 53,4 pour cent ; les nouvelles infections étaient plus rares</w:t>
      </w:r>
      <w:r>
        <w:rPr>
          <w:rStyle w:val="FootnoteReference"/>
        </w:rPr>
        <w:footnoteReference w:id="1018"/>
      </w:r>
      <w:r>
        <w:t xml:space="preserve">. L’étude n’était pas en aveugle et, dans une analyse tenant compte des risques concurrents, la différence de survie n’était pas significative.</w:t>
      </w:r>
    </w:p>
    <w:p>
      <w:pPr>
        <w:pStyle w:val="BodyText"/>
      </w:pPr>
      <w:r>
        <w:t xml:space="preserve">Dans l’hépatite C, l’association avec l’interféron a amélioré les valeurs en fin de traitement dans de petites études</w:t>
      </w:r>
      <w:r>
        <w:rPr>
          <w:rStyle w:val="FootnoteReference"/>
        </w:rPr>
        <w:footnoteReference w:id="1019"/>
      </w:r>
      <w:r>
        <w:t xml:space="preserve">, mais la réponse durable ne différait pas notablement. Depuis l’arrivée des comprimés antiviraux à action directe, qui éliminent l’hépatite C dans la très grande majorité des cas, la thymosine alpha 1 ne joue plus aucun rôle ici.</w:t>
      </w:r>
    </w:p>
    <w:bookmarkEnd w:id="1020"/>
    <w:bookmarkStart w:id="1025" w:name="sepsis"/>
    <w:p>
      <w:pPr>
        <w:pStyle w:val="Heading4"/>
      </w:pPr>
      <w:r>
        <w:t xml:space="preserve">Sepsis</w:t>
      </w:r>
    </w:p>
    <w:p>
      <w:pPr>
        <w:pStyle w:val="FirstParagraph"/>
      </w:pPr>
      <w:r>
        <w:t xml:space="preserve">Le sepsis illustre particulièrement bien l’évolution des preuves. Les premières méta-analyses d’études chinoises, majoritairement petites, ont trouvé une mortalité nettement plus faible (Li 2015, PMID 25532482 : risque relatif 0,68 dans 12 études avec 1 480 personnes), tout en signalant elles-mêmes la mauvaise qualité des études. La première étude randomisée de plus grande taille (ETASS), avec 361 personnes, a trouvé une mortalité à 28 jours de 26,0 vs 35,0 pour cent – juste à la limite de la significativité statistique, en simple aveugle</w:t>
      </w:r>
      <w:r>
        <w:rPr>
          <w:rStyle w:val="FootnoteReference"/>
        </w:rPr>
        <w:footnoteReference w:id="1021"/>
      </w:r>
      <w:r>
        <w:t xml:space="preserve">.</w:t>
      </w:r>
    </w:p>
    <w:p>
      <w:pPr>
        <w:pStyle w:val="BodyText"/>
      </w:pPr>
      <w:r>
        <w:t xml:space="preserve">Le même groupe de travail a alors planifié l’étude la plus grande et la meilleure à ce jour : TESTS, en double aveugle, contrôlée contre placebo, 1 106 adultes dans 22 centres. Résultat : la mortalité à 28 jours était de 23,4 pour cent sous thymosine alpha 1 et de 24,1 pour cent sous placebo – aucune différence. Aucun critère secondaire ne différait non plus</w:t>
      </w:r>
      <w:r>
        <w:rPr>
          <w:rStyle w:val="FootnoteReference"/>
        </w:rPr>
        <w:footnoteReference w:id="1022"/>
      </w:r>
      <w:r>
        <w:t xml:space="preserve">. Dans des sous-groupes, des avantages se dessinaient chez les plus de 60 ans et les personnes diabétiques, mais même des inconvénients chez les moins de 60 ans – de tels résultats de sous-groupes sont incertains.</w:t>
      </w:r>
    </w:p>
    <w:p>
      <w:pPr>
        <w:pStyle w:val="BodyText"/>
      </w:pPr>
      <w:r>
        <w:t xml:space="preserve">Une méta-analyse de 2025 portant sur 11 études randomisées a trouvé globalement une mortalité plus faible, mais pas lorsqu’on ne considérait que les études de haute qualité ou que les études multicentriques ; le volume de données disponible serait trop faible pour une conclusion définitive</w:t>
      </w:r>
      <w:r>
        <w:rPr>
          <w:rStyle w:val="FootnoteReference"/>
        </w:rPr>
        <w:footnoteReference w:id="1023"/>
      </w:r>
      <w:r>
        <w:t xml:space="preserve">. De nombreuses études chinoises associent en outre la thymosine alpha 1 à l’ulinastatine, un autre produit utilisé en Chine ; des méta-analyses en réseau jugent la fiabilité de ces résultats majoritairement faible</w:t>
      </w:r>
      <w:r>
        <w:rPr>
          <w:rStyle w:val="FootnoteReference"/>
        </w:rPr>
        <w:footnoteReference w:id="1024"/>
      </w:r>
      <w:r>
        <w:t xml:space="preserve">.</w:t>
      </w:r>
    </w:p>
    <w:bookmarkEnd w:id="1025"/>
    <w:bookmarkStart w:id="1031" w:name="covid-19"/>
    <w:p>
      <w:pPr>
        <w:pStyle w:val="Heading4"/>
      </w:pPr>
      <w:r>
        <w:t xml:space="preserve">COVID-19</w:t>
      </w:r>
    </w:p>
    <w:p>
      <w:pPr>
        <w:pStyle w:val="FirstParagraph"/>
      </w:pPr>
      <w:r>
        <w:t xml:space="preserve">Pendant la pandémie, la thymosine alpha 1 a été largement utilisée en Chine. Une première analyse rétrospective de 76 patients gravement atteints à Wuhan a rapporté une mortalité de 11,1 vs 30,0 pour cent</w:t>
      </w:r>
      <w:r>
        <w:rPr>
          <w:rStyle w:val="FootnoteReference"/>
        </w:rPr>
        <w:footnoteReference w:id="1026"/>
      </w:r>
      <w:r>
        <w:t xml:space="preserve">. Une étude rétrospective plus grande, dans cinq hôpitaux avec plus de 2 200 personnes, a trouvé l’inverse : après prise en compte des facteurs de confusion, le traitement était associé à un taux plus élevé de non-guérison</w:t>
      </w:r>
      <w:r>
        <w:rPr>
          <w:rStyle w:val="FootnoteReference"/>
        </w:rPr>
        <w:footnoteReference w:id="1027"/>
      </w:r>
      <w:r>
        <w:t xml:space="preserve">. Une petite étude pilote randomisée avec 49 personnes a trouvé une remontée plus rapide des lymphocytes T auxiliaires, mais pas de différence significative de guérison</w:t>
      </w:r>
      <w:r>
        <w:rPr>
          <w:rStyle w:val="FootnoteReference"/>
        </w:rPr>
        <w:footnoteReference w:id="1028"/>
      </w:r>
      <w:r>
        <w:t xml:space="preserve">.</w:t>
      </w:r>
    </w:p>
    <w:p>
      <w:pPr>
        <w:pStyle w:val="BodyText"/>
      </w:pPr>
      <w:r>
        <w:t xml:space="preserve">Deux méta-analyses sont arrivées à des conclusions opposées : l’une, portant sur 9 études et 5 352 personnes, n’a trouvé aucun effet sur la mortalité et déconseille l’utilisation chez les adultes hospitalisés</w:t>
      </w:r>
      <w:r>
        <w:rPr>
          <w:rStyle w:val="FootnoteReference"/>
        </w:rPr>
        <w:footnoteReference w:id="1029"/>
      </w:r>
      <w:r>
        <w:t xml:space="preserve"> </w:t>
      </w:r>
      <w:r>
        <w:t xml:space="preserve">; l’autre, portant sur 8 études, a trouvé une mortalité plus faible, mais avec une très forte hétérogénéité des études</w:t>
      </w:r>
      <w:r>
        <w:rPr>
          <w:rStyle w:val="FootnoteReference"/>
        </w:rPr>
        <w:footnoteReference w:id="1030"/>
      </w:r>
      <w:r>
        <w:t xml:space="preserve">. Presque toutes les données proviennent d’études observationnelles non randomisées. Un bénéfice dans la COVID-19 n’est donc pas démontré.</w:t>
      </w:r>
    </w:p>
    <w:bookmarkEnd w:id="1031"/>
    <w:bookmarkStart w:id="1035" w:name="cancer"/>
    <w:p>
      <w:pPr>
        <w:pStyle w:val="Heading4"/>
      </w:pPr>
      <w:r>
        <w:t xml:space="preserve">Cancer</w:t>
      </w:r>
    </w:p>
    <w:p>
      <w:pPr>
        <w:pStyle w:val="FirstParagraph"/>
      </w:pPr>
      <w:r>
        <w:t xml:space="preserve">La plus grande étude randomisée en cancérologie a évalué la thymosine alpha 1 dans le mélanome métastatique en complément de la chimiothérapie par dacarbazine. Dans deux groupes Tα1, davantage de tumeurs ont répondu que dans le groupe témoin (10 et 12 vs 4 réponses) ; la survie globale médiane était de 9,4 contre 6,6 mois, mais la différence n’était pas significative</w:t>
      </w:r>
      <w:r>
        <w:rPr>
          <w:rStyle w:val="FootnoteReference"/>
        </w:rPr>
        <w:footnoteReference w:id="1032"/>
      </w:r>
      <w:r>
        <w:t xml:space="preserve">. Aucune autorisation n’a suivi, et le traitement du mélanome a depuis été profondément transformé par les inhibiteurs de points de contrôle immunitaire.</w:t>
      </w:r>
    </w:p>
    <w:p>
      <w:pPr>
        <w:pStyle w:val="BodyText"/>
      </w:pPr>
      <w:r>
        <w:t xml:space="preserve">Des méta-analyses d’études chinoises sur les cancers du poumon et de l’estomac rapportent de meilleurs taux de réponse, une meilleure qualité de vie et moins d’effets indésirables de la chimiothérapie lorsque des peptides thymiques étaient ajoutés (Zeng 2019, PMID 31326719 : 27 études, 1 925 personnes ; Wang 2026, PMID 42827862 : 20 études, 1 704 personnes). Les deux travaux jugent toutefois la qualité des preuves moyenne à très faible, et les données de survie à long terme font largement défaut. Une synthèse des études en cancérologie de 2016 à 2026 a trouvé majoritairement des études observationnelles rétrospectives et des rapports de cas provenant de Chine, ainsi qu’un recueil hétérogène des effets indésirables</w:t>
      </w:r>
      <w:r>
        <w:rPr>
          <w:rStyle w:val="FootnoteReference"/>
        </w:rPr>
        <w:footnoteReference w:id="1033"/>
      </w:r>
      <w:r>
        <w:t xml:space="preserve">. Des études de phase 2 plus récentes associent la thymosine alpha 1 aux inhibiteurs de points de contrôle immunitaire, par exemple avant l’opération d’un cancer de l’estomac chez 30 personnes</w:t>
      </w:r>
      <w:r>
        <w:rPr>
          <w:rStyle w:val="FootnoteReference"/>
        </w:rPr>
        <w:footnoteReference w:id="1034"/>
      </w:r>
      <w:r>
        <w:t xml:space="preserve"> </w:t>
      </w:r>
      <w:r>
        <w:t xml:space="preserve">; sans groupe témoin, on ne peut en déduire la contribution de la thymosine alpha 1.</w:t>
      </w:r>
    </w:p>
    <w:bookmarkEnd w:id="1035"/>
    <w:bookmarkStart w:id="1039" w:name="renforcement-de-la-vaccination"/>
    <w:p>
      <w:pPr>
        <w:pStyle w:val="Heading4"/>
      </w:pPr>
      <w:r>
        <w:t xml:space="preserve">Renforcement de la vaccination</w:t>
      </w:r>
    </w:p>
    <w:p>
      <w:pPr>
        <w:pStyle w:val="FirstParagraph"/>
      </w:pPr>
      <w:r>
        <w:t xml:space="preserve">Dès 1989, 90 hommes âgés de 65 à 99 ans ont reçu, en plus du vaccin antigrippal, de la thymosine alpha 1 ou un placebo ; aucun effet indésirable n’a été observé</w:t>
      </w:r>
      <w:r>
        <w:rPr>
          <w:rStyle w:val="FootnoteReference"/>
        </w:rPr>
        <w:footnoteReference w:id="1036"/>
      </w:r>
      <w:r>
        <w:t xml:space="preserve">. Cette idée est aujourd’hui reprise, par exemple chez les patients dialysés dans le contexte de la COVID-19</w:t>
      </w:r>
      <w:r>
        <w:rPr>
          <w:rStyle w:val="FootnoteReference"/>
        </w:rPr>
        <w:footnoteReference w:id="1037"/>
      </w:r>
      <w:r>
        <w:t xml:space="preserve"> </w:t>
      </w:r>
      <w:r>
        <w:t xml:space="preserve">et dans une étude en cours sur la dose de rappel chez les personnes âgées</w:t>
      </w:r>
      <w:r>
        <w:rPr>
          <w:rStyle w:val="FootnoteReference"/>
        </w:rPr>
        <w:footnoteReference w:id="1038"/>
      </w:r>
      <w:r>
        <w:t xml:space="preserve">. Des données fiables sur des critères cliniques – c’est-à-dire moins de maladies ou de décès – font défaut.</w:t>
      </w:r>
    </w:p>
    <w:bookmarkEnd w:id="1039"/>
    <w:bookmarkEnd w:id="1040"/>
    <w:bookmarkStart w:id="1042" w:name="études-animales-et-de-laboratoire-17"/>
    <w:p>
      <w:pPr>
        <w:pStyle w:val="Heading3"/>
      </w:pPr>
      <w:r>
        <w:t xml:space="preserve">Études animales et de laboratoire</w:t>
      </w:r>
    </w:p>
    <w:p>
      <w:pPr>
        <w:pStyle w:val="FirstParagraph"/>
      </w:pPr>
      <w:r>
        <w:t xml:space="preserve">Comme la thymosine alpha 1 est étudiée chez l’humain depuis des décennies, les études animales jouent un rôle moindre dans l’évaluation. Elles ont été importantes pour l’idée anticancéreuse : dans des modèles murins de cancer du poumon, de leucémie et de mélanome ainsi que dans un modèle de métastases hépatiques chez le rat, l’association de la thymosine alpha 1 avec l’interféron ou l’interleukine-2 et une chimiothérapie a mieux fonctionné que les traitements isolés</w:t>
      </w:r>
      <w:r>
        <w:rPr>
          <w:rStyle w:val="FootnoteReference"/>
        </w:rPr>
        <w:footnoteReference w:id="1041"/>
      </w:r>
      <w:r>
        <w:t xml:space="preserve">. Ces résultats n’ont pas pu jusqu’ici être reproduits de manière convaincante chez l’humain.</w:t>
      </w:r>
    </w:p>
    <w:bookmarkEnd w:id="1042"/>
    <w:bookmarkStart w:id="1051" w:name="risques-et-effets-indésirables-17"/>
    <w:p>
      <w:pPr>
        <w:pStyle w:val="Heading3"/>
      </w:pPr>
      <w:r>
        <w:t xml:space="preserve">Risques et effets indésirables</w:t>
      </w:r>
    </w:p>
    <w:bookmarkStart w:id="1046" w:name="établi-1"/>
    <w:p>
      <w:pPr>
        <w:pStyle w:val="Heading4"/>
      </w:pPr>
      <w:r>
        <w:t xml:space="preserve">Établi</w:t>
      </w:r>
    </w:p>
    <w:p>
      <w:pPr>
        <w:pStyle w:val="FirstParagraph"/>
      </w:pPr>
      <w:r>
        <w:t xml:space="preserve">La thymosine alpha 1 est considérée comme bien tolérée dans les études. Dans les études plus anciennes, on n’observait le plus souvent qu’une irritation locale au point d’injection</w:t>
      </w:r>
      <w:r>
        <w:rPr>
          <w:rStyle w:val="FootnoteReference"/>
        </w:rPr>
        <w:footnoteReference w:id="1043"/>
      </w:r>
      <w:r>
        <w:t xml:space="preserve">. Dans la grande étude sur le sepsis TESTS, les critères de sécurité ne différaient pas du placebo</w:t>
      </w:r>
      <w:r>
        <w:rPr>
          <w:rStyle w:val="FootnoteReference"/>
        </w:rPr>
        <w:footnoteReference w:id="1044"/>
      </w:r>
      <w:r>
        <w:t xml:space="preserve">. Dans l’hépatite B, des fluctuations des enzymes hépatiques ont parfois été observées, interprétées comme l’expression de la réaction immunitaire</w:t>
      </w:r>
      <w:r>
        <w:rPr>
          <w:rStyle w:val="FootnoteReference"/>
        </w:rPr>
        <w:footnoteReference w:id="1045"/>
      </w:r>
      <w:r>
        <w:t xml:space="preserve">.</w:t>
      </w:r>
    </w:p>
    <w:bookmarkEnd w:id="1046"/>
    <w:bookmarkStart w:id="1050" w:name="points-dattention"/>
    <w:p>
      <w:pPr>
        <w:pStyle w:val="Heading4"/>
      </w:pPr>
      <w:r>
        <w:t xml:space="preserve">Points d’attention</w:t>
      </w:r>
    </w:p>
    <w:p>
      <w:pPr>
        <w:numPr>
          <w:ilvl w:val="0"/>
          <w:numId w:val="1124"/>
        </w:numPr>
        <w:pStyle w:val="Compact"/>
      </w:pPr>
      <w:r>
        <w:rPr>
          <w:bCs/>
          <w:b/>
        </w:rPr>
        <w:t xml:space="preserve">Sous-groupes avec dommage possible :</w:t>
      </w:r>
      <w:r>
        <w:t xml:space="preserve"> </w:t>
      </w:r>
      <w:r>
        <w:t xml:space="preserve">dans TESTS, la mortalité chez les moins de 60 ans était plus élevée sous thymosine alpha 1 que sous placebo (hazard ratio 1,67)</w:t>
      </w:r>
      <w:r>
        <w:rPr>
          <w:rStyle w:val="FootnoteReference"/>
        </w:rPr>
        <w:footnoteReference w:id="1047"/>
      </w:r>
      <w:r>
        <w:t xml:space="preserve"> </w:t>
      </w:r>
      <w:r>
        <w:t xml:space="preserve">; dans la COVID-19, le traitement était associé à une évolution plus défavorable dans une grande étude observationnelle</w:t>
      </w:r>
      <w:r>
        <w:rPr>
          <w:rStyle w:val="FootnoteReference"/>
        </w:rPr>
        <w:footnoteReference w:id="1048"/>
      </w:r>
      <w:r>
        <w:t xml:space="preserve">. Les deux peuvent relever du hasard ou d’un biais, mais montrent que « stimulant immunitaire inoffensif » n’est pas une description établie.</w:t>
      </w:r>
    </w:p>
    <w:p>
      <w:pPr>
        <w:numPr>
          <w:ilvl w:val="0"/>
          <w:numId w:val="1124"/>
        </w:numPr>
        <w:pStyle w:val="Compact"/>
      </w:pPr>
      <w:r>
        <w:rPr>
          <w:bCs/>
          <w:b/>
        </w:rPr>
        <w:t xml:space="preserve">Maladies auto-immunes et transplantation :</w:t>
      </w:r>
      <w:r>
        <w:t xml:space="preserve"> </w:t>
      </w:r>
      <w:r>
        <w:t xml:space="preserve">une substance censée stimuler le système immunitaire pourrait théoriquement aggraver des maladies auto-immunes ou favoriser le rejet d’organes transplantés. Les données systématiques sur ce point font défaut.</w:t>
      </w:r>
    </w:p>
    <w:p>
      <w:pPr>
        <w:numPr>
          <w:ilvl w:val="0"/>
          <w:numId w:val="1124"/>
        </w:numPr>
        <w:pStyle w:val="Compact"/>
      </w:pPr>
      <w:r>
        <w:rPr>
          <w:bCs/>
          <w:b/>
        </w:rPr>
        <w:t xml:space="preserve">Association avec l’immunothérapie :</w:t>
      </w:r>
      <w:r>
        <w:t xml:space="preserve"> </w:t>
      </w:r>
      <w:r>
        <w:t xml:space="preserve">un article de synthèse renvoie à un rapport de cas dans lequel une réaction immunitaire sévère touchant plusieurs organes est survenue sous un traitement combiné, sans que la thymosine alpha 1 ait pu être établie avec certitude comme cause</w:t>
      </w:r>
      <w:r>
        <w:rPr>
          <w:rStyle w:val="FootnoteReference"/>
        </w:rPr>
        <w:footnoteReference w:id="1049"/>
      </w:r>
      <w:r>
        <w:t xml:space="preserve">.</w:t>
      </w:r>
    </w:p>
    <w:p>
      <w:pPr>
        <w:numPr>
          <w:ilvl w:val="0"/>
          <w:numId w:val="1124"/>
        </w:numPr>
        <w:pStyle w:val="Compact"/>
      </w:pPr>
      <w:r>
        <w:rPr>
          <w:bCs/>
          <w:b/>
        </w:rPr>
        <w:t xml:space="preserve">Marché gris :</w:t>
      </w:r>
      <w:r>
        <w:t xml:space="preserve"> </w:t>
      </w:r>
      <w:r>
        <w:t xml:space="preserve">en dehors des pays où elle est autorisée, la thymosine alpha 1 est vendue comme « peptide de recherche ». Les études sur le Zadaxin ne s’appliquent pas à ces produits – la pureté, la teneur et la stérilité sont inconnues.</w:t>
      </w:r>
    </w:p>
    <w:bookmarkEnd w:id="1050"/>
    <w:bookmarkEnd w:id="1051"/>
    <w:bookmarkStart w:id="1054" w:name="statut-juridique-17"/>
    <w:p>
      <w:pPr>
        <w:pStyle w:val="Heading3"/>
      </w:pPr>
      <w:r>
        <w:t xml:space="preserve">Statut juridique</w:t>
      </w:r>
    </w:p>
    <w:p>
      <w:pPr>
        <w:pStyle w:val="FirstParagraph"/>
      </w:pPr>
      <w:r>
        <w:rPr>
          <w:iCs/>
          <w:i/>
        </w:rPr>
        <w:t xml:space="preserve">État 2026, à vérifier.</w:t>
      </w:r>
    </w:p>
    <w:p>
      <w:pPr>
        <w:numPr>
          <w:ilvl w:val="0"/>
          <w:numId w:val="1125"/>
        </w:numPr>
        <w:pStyle w:val="Compact"/>
      </w:pPr>
      <w:r>
        <w:rPr>
          <w:bCs/>
          <w:b/>
        </w:rPr>
        <w:t xml:space="preserve">UE, Allemagne, Autriche :</w:t>
      </w:r>
      <w:r>
        <w:t xml:space="preserve"> </w:t>
      </w:r>
      <w:r>
        <w:t xml:space="preserve">pas d’autorisation comme médicament. Une prescription au cas par cas via une importation individuelle depuis un pays où elle est autorisée peut être possible, selon le droit national, dans des conditions strictes ; la vente comme « research peptide » en vue d’un usage humain n’est pas autorisée.</w:t>
      </w:r>
    </w:p>
    <w:p>
      <w:pPr>
        <w:numPr>
          <w:ilvl w:val="0"/>
          <w:numId w:val="1125"/>
        </w:numPr>
        <w:pStyle w:val="Compact"/>
      </w:pPr>
      <w:r>
        <w:rPr>
          <w:bCs/>
          <w:b/>
        </w:rPr>
        <w:t xml:space="preserve">États-Unis :</w:t>
      </w:r>
      <w:r>
        <w:t xml:space="preserve"> </w:t>
      </w:r>
      <w:r>
        <w:t xml:space="preserve">pas d’autorisation de la FDA. En 2023, la FDA a inscrit la thymosine alpha 1, avec d’autres peptides, sur la liste des substances présentant des préoccupations de sécurité pour les préparations magistrales ; ses partisans le critiquent</w:t>
      </w:r>
      <w:r>
        <w:rPr>
          <w:rStyle w:val="FootnoteReference"/>
        </w:rPr>
        <w:footnoteReference w:id="1052"/>
      </w:r>
      <w:r>
        <w:t xml:space="preserve">. Le classement des peptides continue d’être discuté au sein du comité consultatif de la FDA</w:t>
      </w:r>
      <w:r>
        <w:rPr>
          <w:rStyle w:val="FootnoteReference"/>
        </w:rPr>
        <w:footnoteReference w:id="1053"/>
      </w:r>
      <w:r>
        <w:t xml:space="preserve">.</w:t>
      </w:r>
    </w:p>
    <w:p>
      <w:pPr>
        <w:numPr>
          <w:ilvl w:val="0"/>
          <w:numId w:val="1125"/>
        </w:numPr>
        <w:pStyle w:val="Compact"/>
      </w:pPr>
      <w:r>
        <w:rPr>
          <w:bCs/>
          <w:b/>
        </w:rPr>
        <w:t xml:space="preserve">Chine et autres pays :</w:t>
      </w:r>
      <w:r>
        <w:t xml:space="preserve"> </w:t>
      </w:r>
      <w:r>
        <w:t xml:space="preserve">autorisée sous le nom de Zadaxin ou de thymalfasine ; il existe aussi en Chine un certain nombre de génériques.</w:t>
      </w:r>
    </w:p>
    <w:p>
      <w:pPr>
        <w:numPr>
          <w:ilvl w:val="0"/>
          <w:numId w:val="1125"/>
        </w:numPr>
        <w:pStyle w:val="Compact"/>
      </w:pPr>
      <w:r>
        <w:rPr>
          <w:bCs/>
          <w:b/>
        </w:rPr>
        <w:t xml:space="preserve">AMA (WADA) :</w:t>
      </w:r>
      <w:r>
        <w:t xml:space="preserve"> </w:t>
      </w:r>
      <w:r>
        <w:t xml:space="preserve">non expressément inscrite sur la liste des interdictions. Les sportives et sportifs devraient néanmoins se renseigner auprès de leur agence nationale antidopage avant toute utilisation.</w:t>
      </w:r>
    </w:p>
    <w:bookmarkEnd w:id="1054"/>
    <w:bookmarkStart w:id="1059" w:name="études-en-cours-et-perspectives-17"/>
    <w:p>
      <w:pPr>
        <w:pStyle w:val="Heading3"/>
      </w:pPr>
      <w:r>
        <w:t xml:space="preserve">Études en cours et perspectives</w:t>
      </w:r>
    </w:p>
    <w:p>
      <w:pPr>
        <w:pStyle w:val="FirstParagraph"/>
      </w:pPr>
      <w:r>
        <w:rPr>
          <w:bCs/>
          <w:b/>
        </w:rPr>
        <w:t xml:space="preserve">Établi (selon le registre) :</w:t>
      </w:r>
    </w:p>
    <w:p>
      <w:pPr>
        <w:numPr>
          <w:ilvl w:val="0"/>
          <w:numId w:val="1126"/>
        </w:numPr>
        <w:pStyle w:val="Compact"/>
      </w:pPr>
      <w:r>
        <w:rPr>
          <w:bCs/>
          <w:b/>
        </w:rPr>
        <w:t xml:space="preserve">Cancer colorectal après chirurgie</w:t>
      </w:r>
      <w:r>
        <w:rPr>
          <w:rStyle w:val="FootnoteReference"/>
        </w:rPr>
        <w:footnoteReference w:id="1055"/>
      </w:r>
      <w:r>
        <w:rPr>
          <w:bCs/>
          <w:b/>
        </w:rPr>
        <w:t xml:space="preserve"> </w:t>
      </w:r>
      <w:r>
        <w:rPr>
          <w:bCs/>
          <w:b/>
        </w:rPr>
        <w:t xml:space="preserve">:</w:t>
      </w:r>
      <w:r>
        <w:t xml:space="preserve"> </w:t>
      </w:r>
      <w:r>
        <w:t xml:space="preserve">étude de phase 3 de l’université Fudan à Shanghai, 2 500 personnes prévues atteintes d’un cancer colorectal de stade II ou III, critère principal la survie sans maladie à trois ans ; fin estimée en mars 2027. L’étude n’est qu’en simple aveugle.</w:t>
      </w:r>
    </w:p>
    <w:p>
      <w:pPr>
        <w:numPr>
          <w:ilvl w:val="0"/>
          <w:numId w:val="1126"/>
        </w:numPr>
        <w:pStyle w:val="Compact"/>
      </w:pPr>
      <w:r>
        <w:rPr>
          <w:bCs/>
          <w:b/>
        </w:rPr>
        <w:t xml:space="preserve">Cancer et immunothérapie :</w:t>
      </w:r>
      <w:r>
        <w:t xml:space="preserve"> </w:t>
      </w:r>
      <w:r>
        <w:t xml:space="preserve">nombreuses petites études chinoises de phase 2 associant la thymosine alpha 1 aux inhibiteurs de points de contrôle immunitaire et à la chimiothérapie ou à la radiothérapie, par exemple dans le cancer du sein triple négatif avec 572 personnes prévues</w:t>
      </w:r>
      <w:r>
        <w:rPr>
          <w:rStyle w:val="FootnoteReference"/>
        </w:rPr>
        <w:footnoteReference w:id="1056"/>
      </w:r>
      <w:r>
        <w:t xml:space="preserve">.</w:t>
      </w:r>
    </w:p>
    <w:p>
      <w:pPr>
        <w:numPr>
          <w:ilvl w:val="0"/>
          <w:numId w:val="1126"/>
        </w:numPr>
        <w:pStyle w:val="Compact"/>
      </w:pPr>
      <w:r>
        <w:rPr>
          <w:bCs/>
          <w:b/>
        </w:rPr>
        <w:t xml:space="preserve">Sepsis :</w:t>
      </w:r>
      <w:r>
        <w:t xml:space="preserve"> </w:t>
      </w:r>
      <w:r>
        <w:t xml:space="preserve">une petite étude sur la récupération de la fonction immunitaire chez 60 personnes</w:t>
      </w:r>
      <w:r>
        <w:rPr>
          <w:rStyle w:val="FootnoteReference"/>
        </w:rPr>
        <w:footnoteReference w:id="1057"/>
      </w:r>
      <w:r>
        <w:t xml:space="preserve">.</w:t>
      </w:r>
    </w:p>
    <w:p>
      <w:pPr>
        <w:numPr>
          <w:ilvl w:val="0"/>
          <w:numId w:val="1126"/>
        </w:numPr>
        <w:pStyle w:val="Compact"/>
      </w:pPr>
      <w:r>
        <w:rPr>
          <w:bCs/>
          <w:b/>
        </w:rPr>
        <w:t xml:space="preserve">Réponse vaccinale chez les personnes âgées</w:t>
      </w:r>
      <w:r>
        <w:rPr>
          <w:rStyle w:val="FootnoteReference"/>
        </w:rPr>
        <w:footnoteReference w:id="1058"/>
      </w:r>
      <w:r>
        <w:rPr>
          <w:bCs/>
          <w:b/>
        </w:rPr>
        <w:t xml:space="preserve"> </w:t>
      </w:r>
      <w:r>
        <w:rPr>
          <w:bCs/>
          <w:b/>
        </w:rPr>
        <w:t xml:space="preserve">:</w:t>
      </w:r>
      <w:r>
        <w:t xml:space="preserve"> </w:t>
      </w:r>
      <w:r>
        <w:t xml:space="preserve">phase 1, 75 personnes prévues.</w:t>
      </w:r>
    </w:p>
    <w:p>
      <w:pPr>
        <w:pStyle w:val="FirstParagraph"/>
      </w:pPr>
      <w:r>
        <w:rPr>
          <w:bCs/>
          <w:b/>
        </w:rPr>
        <w:t xml:space="preserve">Appréciation de l’auteur :</w:t>
      </w:r>
      <w:r>
        <w:t xml:space="preserve"> </w:t>
      </w:r>
      <w:r>
        <w:t xml:space="preserve">la grande étude sur le cancer colorectal est la question ouverte la plus importante. Si elle est positive, ce serait la première grande preuve d’un bénéfice dans une maladie cancéreuse – avec réserve toutefois, faute de double aveugle. Pour le sepsis, TESTS a sans doute répondu pour l’instant à la question d’une utilisation large ; les futures études se concentreront sur des sous-groupes présentant une immunodépression démontrée. Une autorisation dans l’UE ou aux États-Unis n’est pas à attendre dans les prochaines années.</w:t>
      </w:r>
    </w:p>
    <w:bookmarkEnd w:id="1059"/>
    <w:bookmarkStart w:id="1063" w:name="conclusion-17"/>
    <w:p>
      <w:pPr>
        <w:pStyle w:val="Heading3"/>
      </w:pPr>
      <w:r>
        <w:t xml:space="preserve">Conclusion</w:t>
      </w:r>
    </w:p>
    <w:p>
      <w:pPr>
        <w:pStyle w:val="FirstParagraph"/>
      </w:pPr>
      <w:r>
        <w:t xml:space="preserve">La thymosine alpha 1 est le peptide le mieux étudié de ce groupe et un médicament autorisé dans quelques pays. Les premières petites études semblaient prometteuses, mais les grandes études rigoureusement menées en aveugle n’ont montré aucun avantage sur leurs critères principaux dans le sepsis</w:t>
      </w:r>
      <w:r>
        <w:rPr>
          <w:rStyle w:val="FootnoteReference"/>
        </w:rPr>
        <w:footnoteReference w:id="1060"/>
      </w:r>
      <w:r>
        <w:t xml:space="preserve">, la pancréatite sévère</w:t>
      </w:r>
      <w:r>
        <w:rPr>
          <w:rStyle w:val="FootnoteReference"/>
        </w:rPr>
        <w:footnoteReference w:id="1061"/>
      </w:r>
      <w:r>
        <w:t xml:space="preserve"> </w:t>
      </w:r>
      <w:r>
        <w:t xml:space="preserve">et la cirrhose liée à l’hépatite B</w:t>
      </w:r>
      <w:r>
        <w:rPr>
          <w:rStyle w:val="FootnoteReference"/>
        </w:rPr>
        <w:footnoteReference w:id="1062"/>
      </w:r>
      <w:r>
        <w:t xml:space="preserve">. Dans la COVID-19 et le cancer, les affirmations positives reposent majoritairement sur des études observationnelles et des études de faible qualité. Le peptide est bien toléré dans les études – mais un bénéfice démontré comme « stimulant immunitaire » général pour les personnes en bonne santé n’existe pas.</w:t>
      </w:r>
    </w:p>
    <w:bookmarkEnd w:id="1063"/>
    <w:bookmarkEnd w:id="1064"/>
    <w:bookmarkStart w:id="1087" w:name="kpv"/>
    <w:p>
      <w:pPr>
        <w:pStyle w:val="Heading2"/>
      </w:pPr>
      <w:r>
        <w:t xml:space="preserve">KPV</w:t>
      </w:r>
    </w:p>
    <w:p>
      <w:pPr>
        <w:pStyle w:val="FirstParagraph"/>
      </w:pPr>
      <w:r>
        <w:t xml:space="preserve">Le KPV est le plus petit peptide de ce livre : il ne compte que trois acides aminés. Sur Internet, il est proposé comme anti-inflammatoire pour l’intestin et la peau, souvent en gélule ou en crème, parfois en injection. Sa base scientifique se compose d’essais sur cellules et de modèles murins – il n’existe pas d’études chez l’humain.</w:t>
      </w:r>
    </w:p>
    <w:bookmarkStart w:id="1066" w:name="fiche-signalétique-18"/>
    <w:p>
      <w:pPr>
        <w:pStyle w:val="Heading3"/>
      </w:pPr>
      <w:r>
        <w:t xml:space="preserve">Fiche signalétique</w:t>
      </w:r>
    </w:p>
    <w:p>
      <w:pPr>
        <w:numPr>
          <w:ilvl w:val="0"/>
          <w:numId w:val="1127"/>
        </w:numPr>
        <w:pStyle w:val="Compact"/>
      </w:pPr>
      <w:r>
        <w:rPr>
          <w:bCs/>
          <w:b/>
        </w:rPr>
        <w:t xml:space="preserve">Type et structure :</w:t>
      </w:r>
      <w:r>
        <w:t xml:space="preserve"> </w:t>
      </w:r>
      <w:r>
        <w:t xml:space="preserve">tripeptide composé des acides aminés lysine, proline et valine (Lys-Pro-Val, d’où KPV).</w:t>
      </w:r>
    </w:p>
    <w:p>
      <w:pPr>
        <w:numPr>
          <w:ilvl w:val="0"/>
          <w:numId w:val="1127"/>
        </w:numPr>
        <w:pStyle w:val="Compact"/>
      </w:pPr>
      <w:r>
        <w:rPr>
          <w:bCs/>
          <w:b/>
        </w:rPr>
        <w:t xml:space="preserve">Origine :</w:t>
      </w:r>
      <w:r>
        <w:t xml:space="preserve"> </w:t>
      </w:r>
      <w:r>
        <w:t xml:space="preserve">correspond aux trois derniers acides aminés (positions 11 à 13) de l’hormone endogène alpha-MSH (hormone stimulant les mélanocytes alpha), impliquée entre autres dans le bronzage de la peau et dans la régulation de l’inflammation</w:t>
      </w:r>
      <w:r>
        <w:rPr>
          <w:rStyle w:val="FootnoteReference"/>
        </w:rPr>
        <w:footnoteReference w:id="1065"/>
      </w:r>
      <w:r>
        <w:t xml:space="preserve">.</w:t>
      </w:r>
    </w:p>
    <w:p>
      <w:pPr>
        <w:numPr>
          <w:ilvl w:val="0"/>
          <w:numId w:val="1127"/>
        </w:numPr>
        <w:pStyle w:val="Compact"/>
      </w:pPr>
      <w:r>
        <w:rPr>
          <w:bCs/>
          <w:b/>
        </w:rPr>
        <w:t xml:space="preserve">Principe d’action (supposé, d’après des études de laboratoire et animales) :</w:t>
      </w:r>
      <w:r>
        <w:t xml:space="preserve"> </w:t>
      </w:r>
      <w:r>
        <w:t xml:space="preserve">inhibition des voies de signalisation pro-inflammatoires dans les cellules intestinales et immunitaires après absorption par le transporteur de peptides PepT1.</w:t>
      </w:r>
    </w:p>
    <w:p>
      <w:pPr>
        <w:numPr>
          <w:ilvl w:val="0"/>
          <w:numId w:val="1127"/>
        </w:numPr>
        <w:pStyle w:val="Compact"/>
      </w:pPr>
      <w:r>
        <w:rPr>
          <w:bCs/>
          <w:b/>
        </w:rPr>
        <w:t xml:space="preserve">Autorisation UE/États-Unis :</w:t>
      </w:r>
      <w:r>
        <w:t xml:space="preserve"> </w:t>
      </w:r>
      <w:r>
        <w:t xml:space="preserve">non.</w:t>
      </w:r>
    </w:p>
    <w:p>
      <w:pPr>
        <w:numPr>
          <w:ilvl w:val="0"/>
          <w:numId w:val="1127"/>
        </w:numPr>
        <w:pStyle w:val="Compact"/>
      </w:pPr>
      <w:r>
        <w:rPr>
          <w:bCs/>
          <w:b/>
        </w:rPr>
        <w:t xml:space="preserve">AMA (WADA) :</w:t>
      </w:r>
      <w:r>
        <w:t xml:space="preserve"> </w:t>
      </w:r>
      <w:r>
        <w:t xml:space="preserve">non expressément listé ; en tant que substance non approuvée, il relève selon l’auteur du groupe S0.</w:t>
      </w:r>
    </w:p>
    <w:p>
      <w:pPr>
        <w:numPr>
          <w:ilvl w:val="0"/>
          <w:numId w:val="1127"/>
        </w:numPr>
        <w:pStyle w:val="Compact"/>
      </w:pPr>
      <w:r>
        <w:rPr>
          <w:bCs/>
          <w:b/>
        </w:rPr>
        <w:t xml:space="preserve">Niveau de preuve : D</w:t>
      </w:r>
      <w:r>
        <w:t xml:space="preserve"> </w:t>
      </w:r>
      <w:r>
        <w:t xml:space="preserve">– aucune étude publiée chez l’humain.</w:t>
      </w:r>
    </w:p>
    <w:bookmarkEnd w:id="1066"/>
    <w:bookmarkStart w:id="1071" w:name="mode-daction-supposé-18"/>
    <w:p>
      <w:pPr>
        <w:pStyle w:val="Heading3"/>
      </w:pPr>
      <w:r>
        <w:t xml:space="preserve">Mode d’action supposé</w:t>
      </w:r>
    </w:p>
    <w:p>
      <w:pPr>
        <w:pStyle w:val="FirstParagraph"/>
      </w:pPr>
      <w:r>
        <w:t xml:space="preserve">L’alpha-MSH est surtout connue comme hormone du bronzage, mais elle a aussi un effet anti-inflammatoire. Dès les années 1990, des chercheurs ont remarqué qu’une partie de cet effet tenait aux trois derniers acides aminés. Dans du sang humain de personnes infectées par le VIH, l’alpha-MSH et son fragment terminal KPV ont réduit in vitro la production des messagers inflammatoires interleukine-1 et TNF-alpha</w:t>
      </w:r>
      <w:r>
        <w:rPr>
          <w:rStyle w:val="FootnoteReference"/>
        </w:rPr>
        <w:footnoteReference w:id="1067"/>
      </w:r>
      <w:r>
        <w:t xml:space="preserve">.</w:t>
      </w:r>
    </w:p>
    <w:p>
      <w:pPr>
        <w:pStyle w:val="BodyText"/>
      </w:pPr>
      <w:r>
        <w:t xml:space="preserve">Contrairement à l’hormone complète, le KPV n’agit apparemment pas via les récepteurs classiques de la mélanocortine. Chez des souris atteintes de péritonite, le KPV a inhibé l’afflux de cellules inflammatoires sans augmenter le messager typique AMPc ; les auteurs supposent une inhibition de l’action de l’interleukine-1</w:t>
      </w:r>
      <w:r>
        <w:rPr>
          <w:rStyle w:val="FootnoteReference"/>
        </w:rPr>
        <w:footnoteReference w:id="1068"/>
      </w:r>
      <w:r>
        <w:t xml:space="preserve">. Cela présente un avantage pratique : contrairement au mélanotan ou aux dérivés de l’alpha-MSH, le KPV ne devrait pas bronzer la peau.</w:t>
      </w:r>
    </w:p>
    <w:p>
      <w:pPr>
        <w:pStyle w:val="BodyText"/>
      </w:pPr>
      <w:r>
        <w:t xml:space="preserve">Un second mécanisme concerne l’intestin. On y trouve le transporteur PepT1, qui absorbe normalement de petits fragments protéiques issus de l’alimentation. Dans les maladies inflammatoires chroniques de l’intestin, PepT1 est aussi produit en plus grande quantité dans le côlon. Dans des cultures de cellules intestinales et immunitaires humaines, le KPV a été absorbé via PepT1 et a inhibé, à de très faibles concentrations, les commutateurs inflammatoires NF-kappaB et MAP kinases</w:t>
      </w:r>
      <w:r>
        <w:rPr>
          <w:rStyle w:val="FootnoteReference"/>
        </w:rPr>
        <w:footnoteReference w:id="1069"/>
      </w:r>
      <w:r>
        <w:t xml:space="preserve">. D’où l’idée d’utiliser le KPV en comprimé contre les inflammations intestinales.</w:t>
      </w:r>
    </w:p>
    <w:p>
      <w:pPr>
        <w:pStyle w:val="BodyText"/>
      </w:pPr>
      <w:r>
        <w:t xml:space="preserve">En outre, l’alpha-MSH et le KPV ont inhibé en laboratoire la croissance de la bactérie Staphylococcus aureus et de la levure Candida albicans</w:t>
      </w:r>
      <w:r>
        <w:rPr>
          <w:rStyle w:val="FootnoteReference"/>
        </w:rPr>
        <w:footnoteReference w:id="1070"/>
      </w:r>
      <w:r>
        <w:t xml:space="preserve">.</w:t>
      </w:r>
    </w:p>
    <w:bookmarkEnd w:id="1071"/>
    <w:bookmarkStart w:id="1076" w:name="études-chez-lhumain-18"/>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0</w:t>
      </w:r>
      <w:r>
        <w:t xml:space="preserve"> </w:t>
      </w:r>
      <w:r>
        <w:t xml:space="preserve">étude chez l’humain dans PubMed et</w:t>
      </w:r>
      <w:r>
        <w:t xml:space="preserve"> </w:t>
      </w:r>
      <w:r>
        <w:rPr>
          <w:bCs/>
          <w:b/>
        </w:rPr>
        <w:t xml:space="preserve">0</w:t>
      </w:r>
      <w:r>
        <w:t xml:space="preserve"> </w:t>
      </w:r>
      <w:r>
        <w:t xml:space="preserve">entrée sur ClinicalTrials.gov. Une recherche ciblée complémentaire d’études pilotes, de rapports de cas ou de déclarations d’effets indésirables n’a pas non plus trouvé de publication dans laquelle des personnes auraient reçu du KPV.</w:t>
      </w:r>
    </w:p>
    <w:p>
      <w:pPr>
        <w:pStyle w:val="BodyText"/>
      </w:pPr>
      <w:r>
        <w:t xml:space="preserve">Ce qui existe, ce sont des expériences de laboratoire sur des cellules ou des tissus humains, par exemple :</w:t>
      </w:r>
    </w:p>
    <w:p>
      <w:pPr>
        <w:numPr>
          <w:ilvl w:val="0"/>
          <w:numId w:val="1128"/>
        </w:numPr>
        <w:pStyle w:val="Compact"/>
      </w:pPr>
      <w:r>
        <w:t xml:space="preserve">des échantillons sanguins de personnes infectées par le VIH, dans lesquels le KPV a réduit la production de messagers inflammatoires</w:t>
      </w:r>
      <w:r>
        <w:rPr>
          <w:rStyle w:val="FootnoteReference"/>
        </w:rPr>
        <w:footnoteReference w:id="1072"/>
      </w:r>
      <w:r>
        <w:t xml:space="preserve">,</w:t>
      </w:r>
    </w:p>
    <w:p>
      <w:pPr>
        <w:numPr>
          <w:ilvl w:val="0"/>
          <w:numId w:val="1128"/>
        </w:numPr>
        <w:pStyle w:val="Compact"/>
      </w:pPr>
      <w:r>
        <w:t xml:space="preserve">des lignées de cellules cutanées humaines</w:t>
      </w:r>
      <w:r>
        <w:rPr>
          <w:rStyle w:val="FootnoteReference"/>
        </w:rPr>
        <w:footnoteReference w:id="1073"/>
      </w:r>
      <w:r>
        <w:t xml:space="preserve">,</w:t>
      </w:r>
    </w:p>
    <w:p>
      <w:pPr>
        <w:numPr>
          <w:ilvl w:val="0"/>
          <w:numId w:val="1128"/>
        </w:numPr>
        <w:pStyle w:val="Compact"/>
      </w:pPr>
      <w:r>
        <w:t xml:space="preserve">de la peau humaine issue de dons, sur laquelle on a testé si le KPV traversait la peau à l’aide de micro-aiguilles et d’un faible courant électrique – sans ces aides, il ne pénétrait pas de façon mesurable</w:t>
      </w:r>
      <w:r>
        <w:rPr>
          <w:rStyle w:val="FootnoteReference"/>
        </w:rPr>
        <w:footnoteReference w:id="1074"/>
      </w:r>
      <w:r>
        <w:t xml:space="preserve">.</w:t>
      </w:r>
    </w:p>
    <w:p>
      <w:pPr>
        <w:pStyle w:val="FirstParagraph"/>
      </w:pPr>
      <w:r>
        <w:t xml:space="preserve">Ces travaux renseignent sur les mécanismes et les formes pharmaceutiques, mais rien sur l’efficacité ou la sécurité chez l’humain.</w:t>
      </w:r>
    </w:p>
    <w:p>
      <w:pPr>
        <w:pStyle w:val="BodyText"/>
      </w:pPr>
      <w:r>
        <w:t xml:space="preserve">Un proche parent, la molécule double artificielle (CKPV)2, a été étudié cliniquement au milieu des années 2000 comme antifongique ; un travail de 2006 mentionne qu’il se trouvait « actuellement en évaluation clinique »</w:t>
      </w:r>
      <w:r>
        <w:rPr>
          <w:rStyle w:val="FootnoteReference"/>
        </w:rPr>
        <w:footnoteReference w:id="1075"/>
      </w:r>
      <w:r>
        <w:t xml:space="preserve">. Les résultats de ces études n’ont pas été publiés dans PubMed. Le (CKPV)2 est en outre une substance différente du KPV vendu sur Internet.</w:t>
      </w:r>
    </w:p>
    <w:bookmarkEnd w:id="1076"/>
    <w:bookmarkStart w:id="1077" w:name="études-animales-et-de-laboratoire-18"/>
    <w:p>
      <w:pPr>
        <w:pStyle w:val="Heading3"/>
      </w:pPr>
      <w:r>
        <w:t xml:space="preserve">Études animales et de laboratoire</w:t>
      </w:r>
    </w:p>
    <w:p>
      <w:pPr>
        <w:pStyle w:val="FirstParagraph"/>
      </w:pPr>
      <w:r>
        <w:t xml:space="preserve">La recherche se concentre sur les maladies inflammatoires chroniques de l’intestin. Tous les résultats suivants proviennent d’expériences sur la souris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Étude</w:t>
            </w:r>
          </w:p>
        </w:tc>
        <w:tc>
          <w:tcPr/>
          <w:p>
            <w:pPr>
              <w:pStyle w:val="Compact"/>
              <w:jc w:val="left"/>
            </w:pPr>
            <w:r>
              <w:t xml:space="preserve">Modèle</w:t>
            </w:r>
          </w:p>
        </w:tc>
        <w:tc>
          <w:tcPr/>
          <w:p>
            <w:pPr>
              <w:pStyle w:val="Compact"/>
              <w:jc w:val="left"/>
            </w:pPr>
            <w:r>
              <w:t xml:space="preserve">Résultat</w:t>
            </w:r>
          </w:p>
        </w:tc>
      </w:tr>
      <w:tr>
        <w:tc>
          <w:tcPr/>
          <w:p>
            <w:pPr>
              <w:pStyle w:val="Compact"/>
              <w:jc w:val="left"/>
            </w:pPr>
            <w:r>
              <w:t xml:space="preserve">Dalmasso 2008, PMID 18061177</w:t>
            </w:r>
          </w:p>
        </w:tc>
        <w:tc>
          <w:tcPr/>
          <w:p>
            <w:pPr>
              <w:pStyle w:val="Compact"/>
              <w:jc w:val="left"/>
            </w:pPr>
            <w:r>
              <w:t xml:space="preserve">colite induite chimiquement chez la souris, KPV dans l’eau de boisson</w:t>
            </w:r>
          </w:p>
        </w:tc>
        <w:tc>
          <w:tcPr/>
          <w:p>
            <w:pPr>
              <w:pStyle w:val="Compact"/>
              <w:jc w:val="left"/>
            </w:pPr>
            <w:r>
              <w:t xml:space="preserve">moins d’inflammation, moins de messagers inflammatoires</w:t>
            </w:r>
          </w:p>
        </w:tc>
      </w:tr>
      <w:tr>
        <w:tc>
          <w:tcPr/>
          <w:p>
            <w:pPr>
              <w:pStyle w:val="Compact"/>
              <w:jc w:val="left"/>
            </w:pPr>
            <w:r>
              <w:t xml:space="preserve">Kannengiesser 2008, PMID 18092346</w:t>
            </w:r>
          </w:p>
        </w:tc>
        <w:tc>
          <w:tcPr/>
          <w:p>
            <w:pPr>
              <w:pStyle w:val="Compact"/>
              <w:jc w:val="left"/>
            </w:pPr>
            <w:r>
              <w:t xml:space="preserve">deux modèles de colite chez la souris</w:t>
            </w:r>
          </w:p>
        </w:tc>
        <w:tc>
          <w:tcPr/>
          <w:p>
            <w:pPr>
              <w:pStyle w:val="Compact"/>
              <w:jc w:val="left"/>
            </w:pPr>
            <w:r>
              <w:t xml:space="preserve">récupération plus rapide, moins de cellules inflammatoires ; dans un modèle, tous les animaux traités ont survécu</w:t>
            </w:r>
          </w:p>
        </w:tc>
      </w:tr>
      <w:tr>
        <w:tc>
          <w:tcPr/>
          <w:p>
            <w:pPr>
              <w:pStyle w:val="Compact"/>
              <w:jc w:val="left"/>
            </w:pPr>
            <w:r>
              <w:t xml:space="preserve">Viennois 2016, PMID 27458604</w:t>
            </w:r>
          </w:p>
        </w:tc>
        <w:tc>
          <w:tcPr/>
          <w:p>
            <w:pPr>
              <w:pStyle w:val="Compact"/>
              <w:jc w:val="left"/>
            </w:pPr>
            <w:r>
              <w:t xml:space="preserve">cancer colorectal lié à l’inflammation chez la souris</w:t>
            </w:r>
          </w:p>
        </w:tc>
        <w:tc>
          <w:tcPr/>
          <w:p>
            <w:pPr>
              <w:pStyle w:val="Compact"/>
              <w:jc w:val="left"/>
            </w:pPr>
            <w:r>
              <w:t xml:space="preserve">le KPV a empêché l’apparition de tumeurs, mais seulement chez des souris dotées d’un PepT1 fonctionnel</w:t>
            </w:r>
          </w:p>
        </w:tc>
      </w:tr>
      <w:tr>
        <w:tc>
          <w:tcPr/>
          <w:p>
            <w:pPr>
              <w:pStyle w:val="Compact"/>
              <w:jc w:val="left"/>
            </w:pPr>
            <w:r>
              <w:t xml:space="preserve">Xiao 2017, PMID 28143741</w:t>
            </w:r>
          </w:p>
        </w:tc>
        <w:tc>
          <w:tcPr/>
          <w:p>
            <w:pPr>
              <w:pStyle w:val="Compact"/>
              <w:jc w:val="left"/>
            </w:pPr>
            <w:r>
              <w:t xml:space="preserve">colite chez la souris, KPV dans des nanoparticules</w:t>
            </w:r>
          </w:p>
        </w:tc>
        <w:tc>
          <w:tcPr/>
          <w:p>
            <w:pPr>
              <w:pStyle w:val="Compact"/>
              <w:jc w:val="left"/>
            </w:pPr>
            <w:r>
              <w:t xml:space="preserve">effet plus marqué que le KPV libre</w:t>
            </w:r>
          </w:p>
        </w:tc>
      </w:tr>
    </w:tbl>
    <w:p>
      <w:pPr>
        <w:pStyle w:val="BodyText"/>
      </w:pPr>
      <w:r>
        <w:t xml:space="preserve">D’autres travaux étudient le KPV dans des hydrogels pour les plaies et les muqueuses, dans des nanoparticules contre la calcification vasculaire ou dans le métabolisme des adipocytes – presque exclusivement en culture cellulaire ou chez le rongeur. Il est frappant qu’une grande partie de la littérature récente développe des formes pharmaceutiques (nanoparticules, gels, patchs). Cela montre que le KPV seul, en comprimé ou en crème, n’atteint apparemment pas assez bien son site d’action – un point pertinent pour les produits vendus librement.</w:t>
      </w:r>
    </w:p>
    <w:bookmarkEnd w:id="1077"/>
    <w:bookmarkStart w:id="1082" w:name="risques-et-effets-indésirables-18"/>
    <w:p>
      <w:pPr>
        <w:pStyle w:val="Heading3"/>
      </w:pPr>
      <w:r>
        <w:t xml:space="preserve">Risques et effets indésirables</w:t>
      </w:r>
    </w:p>
    <w:bookmarkStart w:id="1078" w:name="établi-2"/>
    <w:p>
      <w:pPr>
        <w:pStyle w:val="Heading4"/>
      </w:pPr>
      <w:r>
        <w:t xml:space="preserve">Établi</w:t>
      </w:r>
    </w:p>
    <w:p>
      <w:pPr>
        <w:pStyle w:val="FirstParagraph"/>
      </w:pPr>
      <w:r>
        <w:t xml:space="preserve">Aucun – parce qu’il n’existe pas d’études chez l’humain. L’absence d’effets indésirables signalés n’est ici pas un indice de sécurité.</w:t>
      </w:r>
    </w:p>
    <w:bookmarkEnd w:id="1078"/>
    <w:bookmarkStart w:id="1081" w:name="théorique"/>
    <w:p>
      <w:pPr>
        <w:pStyle w:val="Heading4"/>
      </w:pPr>
      <w:r>
        <w:t xml:space="preserve">Théorique</w:t>
      </w:r>
    </w:p>
    <w:p>
      <w:pPr>
        <w:numPr>
          <w:ilvl w:val="0"/>
          <w:numId w:val="1129"/>
        </w:numPr>
        <w:pStyle w:val="Compact"/>
      </w:pPr>
      <w:r>
        <w:rPr>
          <w:bCs/>
          <w:b/>
        </w:rPr>
        <w:t xml:space="preserve">Affaiblissement des défenses :</w:t>
      </w:r>
      <w:r>
        <w:t xml:space="preserve"> </w:t>
      </w:r>
      <w:r>
        <w:t xml:space="preserve">une substance qui inhibe les signaux inflammatoires pourrait en principe aussi altérer la défense contre les infections. Les résultats de laboratoire suggèrent plutôt un effet antimicrobien propre</w:t>
      </w:r>
      <w:r>
        <w:rPr>
          <w:rStyle w:val="FootnoteReference"/>
        </w:rPr>
        <w:footnoteReference w:id="1079"/>
      </w:r>
      <w:r>
        <w:t xml:space="preserve">, mais les données chez l’humain manquent.</w:t>
      </w:r>
    </w:p>
    <w:p>
      <w:pPr>
        <w:numPr>
          <w:ilvl w:val="0"/>
          <w:numId w:val="1129"/>
        </w:numPr>
        <w:pStyle w:val="Compact"/>
      </w:pPr>
      <w:r>
        <w:rPr>
          <w:bCs/>
          <w:b/>
        </w:rPr>
        <w:t xml:space="preserve">Absorption et dose incertaines :</w:t>
      </w:r>
      <w:r>
        <w:t xml:space="preserve"> </w:t>
      </w:r>
      <w:r>
        <w:t xml:space="preserve">la quantité de KPV d’une gélule ou d’une crème qui devient réellement active n’a pas été étudiée chez l’humain.</w:t>
      </w:r>
    </w:p>
    <w:p>
      <w:pPr>
        <w:numPr>
          <w:ilvl w:val="0"/>
          <w:numId w:val="1129"/>
        </w:numPr>
        <w:pStyle w:val="Compact"/>
      </w:pPr>
      <w:r>
        <w:rPr>
          <w:bCs/>
          <w:b/>
        </w:rPr>
        <w:t xml:space="preserve">Qualité du marché gris :</w:t>
      </w:r>
      <w:r>
        <w:t xml:space="preserve"> </w:t>
      </w:r>
      <w:r>
        <w:t xml:space="preserve">le KPV est vendu comme « peptide de recherche » sans contrôle pharmaceutique. Une synthèse de médecine du sport cite expressément le KPV parmi les fragments peptidiques qui circulent dans les milieux du bodybuilding et met en garde contre des produits mal étiquetés ou contaminés</w:t>
      </w:r>
      <w:r>
        <w:rPr>
          <w:rStyle w:val="FootnoteReference"/>
        </w:rPr>
        <w:footnoteReference w:id="1080"/>
      </w:r>
      <w:r>
        <w:t xml:space="preserve">.</w:t>
      </w:r>
    </w:p>
    <w:bookmarkEnd w:id="1081"/>
    <w:bookmarkEnd w:id="1082"/>
    <w:bookmarkStart w:id="1083" w:name="statut-juridique-18"/>
    <w:p>
      <w:pPr>
        <w:pStyle w:val="Heading3"/>
      </w:pPr>
      <w:r>
        <w:t xml:space="preserve">Statut juridique</w:t>
      </w:r>
    </w:p>
    <w:p>
      <w:pPr>
        <w:pStyle w:val="FirstParagraph"/>
      </w:pPr>
      <w:r>
        <w:rPr>
          <w:iCs/>
          <w:i/>
        </w:rPr>
        <w:t xml:space="preserve">État 2026, à vérifier.</w:t>
      </w:r>
    </w:p>
    <w:p>
      <w:pPr>
        <w:numPr>
          <w:ilvl w:val="0"/>
          <w:numId w:val="1130"/>
        </w:numPr>
        <w:pStyle w:val="Compact"/>
      </w:pPr>
      <w:r>
        <w:rPr>
          <w:bCs/>
          <w:b/>
        </w:rPr>
        <w:t xml:space="preserve">UE, Allemagne, Autriche :</w:t>
      </w:r>
      <w:r>
        <w:t xml:space="preserve"> </w:t>
      </w:r>
      <w:r>
        <w:t xml:space="preserve">non autorisé comme médicament. Si le KPV est proposé avec des allégations de soulagement de maladies, il est considéré comme un médicament non autorisé. En tant qu’ingrédient cosmétique, il relève du règlement européen sur les cosmétiques ; les promesses de guérison y sont interdites.</w:t>
      </w:r>
    </w:p>
    <w:p>
      <w:pPr>
        <w:numPr>
          <w:ilvl w:val="0"/>
          <w:numId w:val="1130"/>
        </w:numPr>
        <w:pStyle w:val="Compact"/>
      </w:pPr>
      <w:r>
        <w:rPr>
          <w:bCs/>
          <w:b/>
        </w:rPr>
        <w:t xml:space="preserve">États-Unis :</w:t>
      </w:r>
      <w:r>
        <w:t xml:space="preserve"> </w:t>
      </w:r>
      <w:r>
        <w:t xml:space="preserve">pas d’autorisation de la FDA.</w:t>
      </w:r>
    </w:p>
    <w:p>
      <w:pPr>
        <w:numPr>
          <w:ilvl w:val="0"/>
          <w:numId w:val="1130"/>
        </w:numPr>
        <w:pStyle w:val="Compact"/>
      </w:pPr>
      <w:r>
        <w:rPr>
          <w:bCs/>
          <w:b/>
        </w:rPr>
        <w:t xml:space="preserve">AMA (WADA) :</w:t>
      </w:r>
      <w:r>
        <w:t xml:space="preserve"> </w:t>
      </w:r>
      <w:r>
        <w:t xml:space="preserve">non cité nommément. En tant que substance pharmacologiquement active sans autorisation, le KPV relève selon l’auteur de S0 (substances non approuvées).</w:t>
      </w:r>
    </w:p>
    <w:bookmarkEnd w:id="1083"/>
    <w:bookmarkStart w:id="1084" w:name="études-en-cours-et-perspectives-18"/>
    <w:p>
      <w:pPr>
        <w:pStyle w:val="Heading3"/>
      </w:pPr>
      <w:r>
        <w:t xml:space="preserve">Études en cours et perspectives</w:t>
      </w:r>
    </w:p>
    <w:p>
      <w:pPr>
        <w:pStyle w:val="FirstParagraph"/>
      </w:pPr>
      <w:r>
        <w:rPr>
          <w:bCs/>
          <w:b/>
        </w:rPr>
        <w:t xml:space="preserve">Établi :</w:t>
      </w:r>
      <w:r>
        <w:t xml:space="preserve"> </w:t>
      </w:r>
      <w:r>
        <w:t xml:space="preserve">en octobre 2026, aucune étude sur le KPV n’est enregistrée sur ClinicalTrials.gov.</w:t>
      </w:r>
    </w:p>
    <w:p>
      <w:pPr>
        <w:pStyle w:val="BodyText"/>
      </w:pPr>
      <w:r>
        <w:rPr>
          <w:bCs/>
          <w:b/>
        </w:rPr>
        <w:t xml:space="preserve">Appréciation de l’auteur :</w:t>
      </w:r>
      <w:r>
        <w:t xml:space="preserve"> </w:t>
      </w:r>
      <w:r>
        <w:t xml:space="preserve">les données murines sur les inflammations intestinales sont cohérentes et proviennent de plusieurs groupes indépendants – c’est plus que ce que beaucoup d’autres « peptides de recherche » peuvent présenter. Mais sans entreprise développant le KPV comme médicament, aucune étude chez l’humain n’est en vue. Il est plus probable que le KPV continue d’être étudié en laboratoire comme brique de nouvelles formes pharmaceutiques (nanoparticules, gels).</w:t>
      </w:r>
    </w:p>
    <w:bookmarkEnd w:id="1084"/>
    <w:bookmarkStart w:id="1086" w:name="conclusion-18"/>
    <w:p>
      <w:pPr>
        <w:pStyle w:val="Heading3"/>
      </w:pPr>
      <w:r>
        <w:t xml:space="preserve">Conclusion</w:t>
      </w:r>
    </w:p>
    <w:p>
      <w:pPr>
        <w:pStyle w:val="FirstParagraph"/>
      </w:pPr>
      <w:r>
        <w:t xml:space="preserve">Le KPV est un fragment de trois acides aminés de l’hormone endogène alpha-MSH qui, en culture cellulaire et chez la souris, a nettement réduit les inflammations intestinales</w:t>
      </w:r>
      <w:r>
        <w:rPr>
          <w:rStyle w:val="FootnoteReference"/>
        </w:rPr>
        <w:footnoteReference w:id="1085"/>
      </w:r>
      <w:r>
        <w:t xml:space="preserve">. Le KPV n’a jamais été étudié chez l’humain – ni pour son efficacité, ni pour sa sécurité. Toutes les affirmations sur des effets intestinaux ou cutanés chez l’humain sont donc des suppositions fondées sur des expériences animales. Quiconque utilise des produits KPV achetés sur Internet participe à une auto-expérimentation non contrôlée avec des produits de qualité inconnue.</w:t>
      </w:r>
    </w:p>
    <w:bookmarkEnd w:id="1086"/>
    <w:bookmarkEnd w:id="1087"/>
    <w:bookmarkStart w:id="1122" w:name="ll-37"/>
    <w:p>
      <w:pPr>
        <w:pStyle w:val="Heading2"/>
      </w:pPr>
      <w:r>
        <w:t xml:space="preserve">LL-37</w:t>
      </w:r>
    </w:p>
    <w:p>
      <w:pPr>
        <w:pStyle w:val="FirstParagraph"/>
      </w:pPr>
      <w:r>
        <w:t xml:space="preserve">Le LL-37 est un peptide de défense endogène. La peau, les muqueuses et les globules blancs le produisent pour tuer les bactéries, les champignons et les virus. Dans le milieu des peptides, il est proposé comme « antibiotique naturel » et comme remède contre les infections chroniques, la borréliose ou l’« immunodépression ». Face aux données, il faut distinguer soigneusement : il existe de très nombreuses études dans lesquelles le LL-37 a été</w:t>
      </w:r>
      <w:r>
        <w:t xml:space="preserve"> </w:t>
      </w:r>
      <w:r>
        <w:rPr>
          <w:iCs/>
          <w:i/>
        </w:rPr>
        <w:t xml:space="preserve">mesuré</w:t>
      </w:r>
      <w:r>
        <w:t xml:space="preserve"> </w:t>
      </w:r>
      <w:r>
        <w:t xml:space="preserve">dans le sang ou les tissus – mais seulement une poignée dans lesquelles des personnes ont</w:t>
      </w:r>
      <w:r>
        <w:t xml:space="preserve"> </w:t>
      </w:r>
      <w:r>
        <w:rPr>
          <w:iCs/>
          <w:i/>
        </w:rPr>
        <w:t xml:space="preserve">reçu</w:t>
      </w:r>
      <w:r>
        <w:t xml:space="preserve"> </w:t>
      </w:r>
      <w:r>
        <w:t xml:space="preserve">du LL-37 comme substance active.</w:t>
      </w:r>
    </w:p>
    <w:bookmarkStart w:id="1089" w:name="fiche-signalétique-19"/>
    <w:p>
      <w:pPr>
        <w:pStyle w:val="Heading3"/>
      </w:pPr>
      <w:r>
        <w:t xml:space="preserve">Fiche signalétique</w:t>
      </w:r>
    </w:p>
    <w:p>
      <w:pPr>
        <w:numPr>
          <w:ilvl w:val="0"/>
          <w:numId w:val="1131"/>
        </w:numPr>
        <w:pStyle w:val="Compact"/>
      </w:pPr>
      <w:r>
        <w:rPr>
          <w:bCs/>
          <w:b/>
        </w:rPr>
        <w:t xml:space="preserve">Type et structure :</w:t>
      </w:r>
      <w:r>
        <w:t xml:space="preserve"> </w:t>
      </w:r>
      <w:r>
        <w:t xml:space="preserve">peptide de 37 acides aminés, dont les deux premiers sont des leucines (d’où « LL »). Unique cathélicidine humaine – c’est le nom d’une famille de peptides de défense.</w:t>
      </w:r>
    </w:p>
    <w:p>
      <w:pPr>
        <w:numPr>
          <w:ilvl w:val="0"/>
          <w:numId w:val="1131"/>
        </w:numPr>
        <w:pStyle w:val="Compact"/>
      </w:pPr>
      <w:r>
        <w:rPr>
          <w:bCs/>
          <w:b/>
        </w:rPr>
        <w:t xml:space="preserve">Origine :</w:t>
      </w:r>
      <w:r>
        <w:t xml:space="preserve"> </w:t>
      </w:r>
      <w:r>
        <w:t xml:space="preserve">clivé à partir de la protéine précurseur hCAP18 ; le gène correspondant (CAMP) est activé notamment par la vitamine D</w:t>
      </w:r>
      <w:r>
        <w:rPr>
          <w:rStyle w:val="FootnoteReference"/>
        </w:rPr>
        <w:footnoteReference w:id="1088"/>
      </w:r>
      <w:r>
        <w:t xml:space="preserve">.</w:t>
      </w:r>
    </w:p>
    <w:p>
      <w:pPr>
        <w:numPr>
          <w:ilvl w:val="0"/>
          <w:numId w:val="1131"/>
        </w:numPr>
        <w:pStyle w:val="Compact"/>
      </w:pPr>
      <w:r>
        <w:rPr>
          <w:bCs/>
          <w:b/>
        </w:rPr>
        <w:t xml:space="preserve">Principe d’action :</w:t>
      </w:r>
      <w:r>
        <w:t xml:space="preserve"> </w:t>
      </w:r>
      <w:r>
        <w:t xml:space="preserve">détruit l’enveloppe des microbes ; attire en même temps les cellules immunitaires, favorise la formation de vaisseaux et la cicatrisation et influence les réactions inflammatoires.</w:t>
      </w:r>
    </w:p>
    <w:p>
      <w:pPr>
        <w:numPr>
          <w:ilvl w:val="0"/>
          <w:numId w:val="1131"/>
        </w:numPr>
        <w:pStyle w:val="Compact"/>
      </w:pPr>
      <w:r>
        <w:rPr>
          <w:bCs/>
          <w:b/>
        </w:rPr>
        <w:t xml:space="preserve">Autorisation UE/États-Unis :</w:t>
      </w:r>
      <w:r>
        <w:t xml:space="preserve"> </w:t>
      </w:r>
      <w:r>
        <w:t xml:space="preserve">non.</w:t>
      </w:r>
    </w:p>
    <w:p>
      <w:pPr>
        <w:numPr>
          <w:ilvl w:val="0"/>
          <w:numId w:val="1131"/>
        </w:numPr>
        <w:pStyle w:val="Compact"/>
      </w:pPr>
      <w:r>
        <w:rPr>
          <w:bCs/>
          <w:b/>
        </w:rPr>
        <w:t xml:space="preserve">AMA (WADA) :</w:t>
      </w:r>
      <w:r>
        <w:t xml:space="preserve"> </w:t>
      </w:r>
      <w:r>
        <w:t xml:space="preserve">non expressément listé ; en tant que substance non approuvée, relève selon l’auteur de S0.</w:t>
      </w:r>
    </w:p>
    <w:p>
      <w:pPr>
        <w:numPr>
          <w:ilvl w:val="0"/>
          <w:numId w:val="1131"/>
        </w:numPr>
        <w:pStyle w:val="Compact"/>
      </w:pPr>
      <w:r>
        <w:rPr>
          <w:bCs/>
          <w:b/>
        </w:rPr>
        <w:t xml:space="preserve">Niveau de preuve : B</w:t>
      </w:r>
      <w:r>
        <w:t xml:space="preserve"> </w:t>
      </w:r>
      <w:r>
        <w:t xml:space="preserve">– quelques études randomisées de petite à moyenne taille avec application locale sur des plaies ; la plus grande d’entre elles n’a pas atteint son objectif principal.</w:t>
      </w:r>
    </w:p>
    <w:bookmarkEnd w:id="1089"/>
    <w:bookmarkStart w:id="1094" w:name="mode-daction-supposé-19"/>
    <w:p>
      <w:pPr>
        <w:pStyle w:val="Heading3"/>
      </w:pPr>
      <w:r>
        <w:t xml:space="preserve">Mode d’action supposé</w:t>
      </w:r>
    </w:p>
    <w:p>
      <w:pPr>
        <w:pStyle w:val="FirstParagraph"/>
      </w:pPr>
      <w:r>
        <w:t xml:space="preserve">Le LL-37 appartient au système immunitaire inné, la première ligne de défense, non spécifique. Le peptide est chargé positivement et se fixe sur les enveloppes chargées négativement des bactéries, qui deviennent ainsi perméables. Il agit en outre comme substance de signalisation : il attire les globules blancs et incite les cellules cutanées à migrer – c’est pourquoi il est devenu intéressant pour la cicatrisation.</w:t>
      </w:r>
    </w:p>
    <w:p>
      <w:pPr>
        <w:pStyle w:val="BodyText"/>
      </w:pPr>
      <w:r>
        <w:t xml:space="preserve">Chez l’humain, la production de LL-37 est étroitement liée à la vitamine D. Le gène de la protéine précurseur porte un commutateur auquel se lie le récepteur de la vitamine D ; ce commutateur se trouve chez les primates, mais pas chez la souris, le rat ou le chien</w:t>
      </w:r>
      <w:r>
        <w:rPr>
          <w:rStyle w:val="FootnoteReference"/>
        </w:rPr>
        <w:footnoteReference w:id="1090"/>
      </w:r>
      <w:r>
        <w:t xml:space="preserve">. Cela explique pourquoi de nombreuses études administrent de la vitamine D et mesurent le LL-37 – et pourquoi les expériences animales sur le LL-37 ne sont que partiellement transposables à l’humain.</w:t>
      </w:r>
    </w:p>
    <w:p>
      <w:pPr>
        <w:pStyle w:val="BodyText"/>
      </w:pPr>
      <w:r>
        <w:t xml:space="preserve">Le revers de la médaille : le LL-37 peut aussi attiser l’inflammation. Dans le psoriasis, le LL-37 lie le matériel génétique propre provenant de cellules désagrégées et le rend « visible » pour certaines cellules immunitaires, qui libèrent alors de l’interféron</w:t>
      </w:r>
      <w:r>
        <w:rPr>
          <w:rStyle w:val="FootnoteReference"/>
        </w:rPr>
        <w:footnoteReference w:id="1091"/>
      </w:r>
      <w:r>
        <w:t xml:space="preserve">. Chez les deux tiers des personnes étudiées atteintes de psoriasis modéré à sévère, on a trouvé des lymphocytes T dirigés contre le LL-37 lui-même</w:t>
      </w:r>
      <w:r>
        <w:rPr>
          <w:rStyle w:val="FootnoteReference"/>
        </w:rPr>
        <w:footnoteReference w:id="1092"/>
      </w:r>
      <w:r>
        <w:t xml:space="preserve">. Dans la rosacée, les personnes concernées produisent une quantité inhabituellement élevée de LL-37 dans la peau du visage, et chez la souris, l’injection de ces peptides a déclenché des inflammations cutanées</w:t>
      </w:r>
      <w:r>
        <w:rPr>
          <w:rStyle w:val="FootnoteReference"/>
        </w:rPr>
        <w:footnoteReference w:id="1093"/>
      </w:r>
      <w:r>
        <w:t xml:space="preserve">.</w:t>
      </w:r>
    </w:p>
    <w:bookmarkEnd w:id="1094"/>
    <w:bookmarkStart w:id="1106" w:name="études-chez-lhumain-19"/>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91</w:t>
      </w:r>
      <w:r>
        <w:t xml:space="preserve"> </w:t>
      </w:r>
      <w:r>
        <w:t xml:space="preserve">publications classées comme études chez l’humain et</w:t>
      </w:r>
      <w:r>
        <w:t xml:space="preserve"> </w:t>
      </w:r>
      <w:r>
        <w:rPr>
          <w:bCs/>
          <w:b/>
        </w:rPr>
        <w:t xml:space="preserve">20</w:t>
      </w:r>
      <w:r>
        <w:t xml:space="preserve"> </w:t>
      </w:r>
      <w:r>
        <w:t xml:space="preserve">entrées sur ClinicalTrials.gov. La très grande majorité n’administre</w:t>
      </w:r>
      <w:r>
        <w:t xml:space="preserve"> </w:t>
      </w:r>
      <w:r>
        <w:rPr>
          <w:iCs/>
          <w:i/>
        </w:rPr>
        <w:t xml:space="preserve">pas</w:t>
      </w:r>
      <w:r>
        <w:t xml:space="preserve"> </w:t>
      </w:r>
      <w:r>
        <w:t xml:space="preserve">le LL-37 comme substance active : il s’agit d’études sur la vitamine D ou les probiotiques qui utilisent le LL-37 comme valeur mesurée, ou d’études observationnelles sur les taux de LL-37 dans diverses maladies. Les études dans lesquelles le LL-37 lui-même a été administré ne sont qu’au nombre de cinq dans PubMed ; dans le registre, il y en a deux.</w:t>
      </w:r>
    </w:p>
    <w:bookmarkStart w:id="1099" w:name="X49e5d7449535093bcc693bfa7c79a1c6a1a78ff"/>
    <w:p>
      <w:pPr>
        <w:pStyle w:val="Heading4"/>
      </w:pPr>
      <w:r>
        <w:t xml:space="preserve">Études interventionnelles : le LL-37 comme substance active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Ulcères veineux de jambe (Grönberg 2014, PMID 25041740)</w:t>
            </w:r>
          </w:p>
        </w:tc>
        <w:tc>
          <w:tcPr/>
          <w:p>
            <w:pPr>
              <w:pStyle w:val="Compact"/>
              <w:jc w:val="left"/>
            </w:pPr>
            <w:r>
              <w:t xml:space="preserve">34 personnes, première administration chez l’humain, ECR en double aveugle avec trois concentrations et placebo</w:t>
            </w:r>
          </w:p>
        </w:tc>
        <w:tc>
          <w:tcPr/>
          <w:p>
            <w:pPr>
              <w:pStyle w:val="Compact"/>
              <w:jc w:val="left"/>
            </w:pPr>
            <w:r>
              <w:t xml:space="preserve">4 semaines de traitement</w:t>
            </w:r>
          </w:p>
        </w:tc>
        <w:tc>
          <w:tcPr/>
          <w:p>
            <w:pPr>
              <w:pStyle w:val="Compact"/>
              <w:jc w:val="left"/>
            </w:pPr>
            <w:r>
              <w:t xml:space="preserve">surface de la plaie réduite de 68 % avec la concentration la plus faible, de 50 % avec la concentration intermédiaire ; la concentration la plus élevée n’a pas fait mieux que le placebo</w:t>
            </w:r>
          </w:p>
        </w:tc>
      </w:tr>
      <w:tr>
        <w:tc>
          <w:tcPr/>
          <w:p>
            <w:pPr>
              <w:pStyle w:val="Compact"/>
              <w:jc w:val="left"/>
            </w:pPr>
            <w:r>
              <w:t xml:space="preserve">HEAL LL-37, ulcères veineux de jambe (Mahlapuu 2021, PMID 34687253)</w:t>
            </w:r>
          </w:p>
        </w:tc>
        <w:tc>
          <w:tcPr/>
          <w:p>
            <w:pPr>
              <w:pStyle w:val="Compact"/>
              <w:jc w:val="left"/>
            </w:pPr>
            <w:r>
              <w:t xml:space="preserve">148 personnes, phase 2b, ECR en double aveugle</w:t>
            </w:r>
          </w:p>
        </w:tc>
        <w:tc>
          <w:tcPr/>
          <w:p>
            <w:pPr>
              <w:pStyle w:val="Compact"/>
              <w:jc w:val="left"/>
            </w:pPr>
            <w:r>
              <w:t xml:space="preserve">3 bras, en plus de la compression</w:t>
            </w:r>
          </w:p>
        </w:tc>
        <w:tc>
          <w:tcPr/>
          <w:p>
            <w:pPr>
              <w:pStyle w:val="Compact"/>
              <w:jc w:val="left"/>
            </w:pPr>
            <w:r>
              <w:t xml:space="preserve">aucune différence significative avec le placebo ; avantage seulement dans une analyse de sous-groupe a posteriori des grandes plaies</w:t>
            </w:r>
          </w:p>
        </w:tc>
      </w:tr>
      <w:tr>
        <w:tc>
          <w:tcPr/>
          <w:p>
            <w:pPr>
              <w:pStyle w:val="Compact"/>
              <w:jc w:val="left"/>
            </w:pPr>
            <w:r>
              <w:t xml:space="preserve">Ulcère du pied diabétique (Miranda 2023, PMID 37480520 ; NCT04098562)</w:t>
            </w:r>
          </w:p>
        </w:tc>
        <w:tc>
          <w:tcPr/>
          <w:p>
            <w:pPr>
              <w:pStyle w:val="Compact"/>
              <w:jc w:val="left"/>
            </w:pPr>
            <w:r>
              <w:t xml:space="preserve">personnes avec ulcère du pied légèrement infecté à Jakarta, ECR en double aveugle contre crème placebo</w:t>
            </w:r>
          </w:p>
        </w:tc>
        <w:tc>
          <w:tcPr/>
          <w:p>
            <w:pPr>
              <w:pStyle w:val="Compact"/>
              <w:jc w:val="left"/>
            </w:pPr>
            <w:r>
              <w:t xml:space="preserve">4 semaines</w:t>
            </w:r>
          </w:p>
        </w:tc>
        <w:tc>
          <w:tcPr/>
          <w:p>
            <w:pPr>
              <w:pStyle w:val="Compact"/>
              <w:jc w:val="left"/>
            </w:pPr>
            <w:r>
              <w:t xml:space="preserve">augmentation plus forte du tissu de granulation ; pas de baisse des marqueurs inflammatoires ni de la charge bactérienne</w:t>
            </w:r>
          </w:p>
        </w:tc>
      </w:tr>
      <w:tr>
        <w:tc>
          <w:tcPr/>
          <w:p>
            <w:pPr>
              <w:pStyle w:val="Compact"/>
              <w:jc w:val="left"/>
            </w:pPr>
            <w:r>
              <w:t xml:space="preserve">COVID-19, LL-37 oral produit par des bactéries lactiques (Zhao 2023, PMID 37605995)</w:t>
            </w:r>
          </w:p>
        </w:tc>
        <w:tc>
          <w:tcPr/>
          <w:p>
            <w:pPr>
              <w:pStyle w:val="Compact"/>
              <w:jc w:val="left"/>
            </w:pPr>
            <w:r>
              <w:t xml:space="preserve">238 patients hospitalisés, ECR en ouvert, un seul centre</w:t>
            </w:r>
          </w:p>
        </w:tc>
        <w:tc>
          <w:tcPr/>
          <w:p>
            <w:pPr>
              <w:pStyle w:val="Compact"/>
              <w:jc w:val="left"/>
            </w:pPr>
            <w:r>
              <w:t xml:space="preserve">durée d’hospitalisation</w:t>
            </w:r>
          </w:p>
        </w:tc>
        <w:tc>
          <w:tcPr/>
          <w:p>
            <w:pPr>
              <w:pStyle w:val="Compact"/>
              <w:jc w:val="left"/>
            </w:pPr>
            <w:r>
              <w:t xml:space="preserve">PCR virale négative en moyenne après 9,8 au lieu de 14,0 jours ; aucun effet indésirable grave</w:t>
            </w:r>
          </w:p>
        </w:tc>
      </w:tr>
      <w:tr>
        <w:tc>
          <w:tcPr/>
          <w:p>
            <w:pPr>
              <w:pStyle w:val="Compact"/>
              <w:jc w:val="left"/>
            </w:pPr>
            <w:r>
              <w:t xml:space="preserve">Mélanome, injection intratumorale (NCT02225366)</w:t>
            </w:r>
          </w:p>
        </w:tc>
        <w:tc>
          <w:tcPr/>
          <w:p>
            <w:pPr>
              <w:pStyle w:val="Compact"/>
              <w:jc w:val="left"/>
            </w:pPr>
            <w:r>
              <w:t xml:space="preserve">4 personnes, phase 1/2 sans groupe témoin</w:t>
            </w:r>
          </w:p>
        </w:tc>
        <w:tc>
          <w:tcPr/>
          <w:p>
            <w:pPr>
              <w:pStyle w:val="Compact"/>
              <w:jc w:val="left"/>
            </w:pPr>
            <w:r>
              <w:t xml:space="preserve">jusqu’à 8 semaines</w:t>
            </w:r>
          </w:p>
        </w:tc>
        <w:tc>
          <w:tcPr/>
          <w:p>
            <w:pPr>
              <w:pStyle w:val="Compact"/>
              <w:jc w:val="left"/>
            </w:pPr>
            <w:r>
              <w:t xml:space="preserve">recherche de dose ; petit effectif, voir Risques</w:t>
            </w:r>
          </w:p>
        </w:tc>
      </w:tr>
    </w:tbl>
    <w:p>
      <w:pPr>
        <w:pStyle w:val="BodyText"/>
      </w:pPr>
      <w:r>
        <w:t xml:space="preserve">Les études sur les plaies montrent le schéma connu : la première petite étude était encourageante – fait notable, les concentrations les plus faibles agissaient, pas la plus élevée</w:t>
      </w:r>
      <w:r>
        <w:rPr>
          <w:rStyle w:val="FootnoteReference"/>
        </w:rPr>
        <w:footnoteReference w:id="1095"/>
      </w:r>
      <w:r>
        <w:t xml:space="preserve">. L’étude de phase 2b plus grande HEAL LL-37, avec 148 personnes, n’a trouvé aucun avantage par rapport au placebo dans l’ensemble du groupe. Un bénéfice dans les grandes plaies n’est apparu que dans une analyse de sous-groupe définie a posteriori, que les auteurs eux-mêmes considèrent comme une raison de mener une nouvelle étude, et non comme une preuve</w:t>
      </w:r>
      <w:r>
        <w:rPr>
          <w:rStyle w:val="FootnoteReference"/>
        </w:rPr>
        <w:footnoteReference w:id="1096"/>
      </w:r>
      <w:r>
        <w:t xml:space="preserve">.</w:t>
      </w:r>
    </w:p>
    <w:p>
      <w:pPr>
        <w:pStyle w:val="BodyText"/>
      </w:pPr>
      <w:r>
        <w:t xml:space="preserve">L’étude indonésienne sur l’ulcère du pied diabétique a mesuré comme critère principal la proportion de tissu de granulation, c’est-à-dire de tissu de cicatrisation frais – un marqueur intermédiaire, pas la cicatrisation complète de la plaie. Les marqueurs inflammatoires et la colonisation bactérienne n’ont pas baissé davantage sous LL-37 que sous placebo</w:t>
      </w:r>
      <w:r>
        <w:rPr>
          <w:rStyle w:val="FootnoteReference"/>
        </w:rPr>
        <w:footnoteReference w:id="1097"/>
      </w:r>
      <w:r>
        <w:t xml:space="preserve">.</w:t>
      </w:r>
    </w:p>
    <w:p>
      <w:pPr>
        <w:pStyle w:val="BodyText"/>
      </w:pPr>
      <w:r>
        <w:t xml:space="preserve">L’étude sur la COVID-19 n’a pas utilisé le peptide LL-37, mais des bactéries lactiques génétiquement modifiées censées produire du LL-37 dans l’intestin. Elle n’était pas en aveugle et s’est déroulée dans un seul centre ; on a mesuré le délai jusqu’au test PCR négatif, pas l’évolution de la maladie ni la mortalité</w:t>
      </w:r>
      <w:r>
        <w:rPr>
          <w:rStyle w:val="FootnoteReference"/>
        </w:rPr>
        <w:footnoteReference w:id="1098"/>
      </w:r>
      <w:r>
        <w:t xml:space="preserve">.</w:t>
      </w:r>
    </w:p>
    <w:bookmarkEnd w:id="1099"/>
    <w:bookmarkStart w:id="1103" w:name="Xc4d4f92147863335331ef5f7a96869b086cd0a9"/>
    <w:p>
      <w:pPr>
        <w:pStyle w:val="Heading4"/>
      </w:pPr>
      <w:r>
        <w:t xml:space="preserve">Études observationnelles : le LL-37 comme valeur mesurée</w:t>
      </w:r>
    </w:p>
    <w:p>
      <w:pPr>
        <w:pStyle w:val="FirstParagraph"/>
      </w:pPr>
      <w:r>
        <w:t xml:space="preserve">Ces études ne disent rien sur l’utilité d’un apport de LL-37. Elles montrent seulement comment l’organisme produit du LL-37 dans les maladies. Quelques exemples :</w:t>
      </w:r>
    </w:p>
    <w:p>
      <w:pPr>
        <w:numPr>
          <w:ilvl w:val="0"/>
          <w:numId w:val="1132"/>
        </w:numPr>
        <w:pStyle w:val="Compact"/>
      </w:pPr>
      <w:r>
        <w:t xml:space="preserve">Chez 50 personnes atteintes de tuberculose pulmonaire, les taux sanguins de LL-37 étaient plus élevés qu’en cas de pneumonie due à d’autres bactéries et que chez des personnes en bonne santé</w:t>
      </w:r>
      <w:r>
        <w:rPr>
          <w:rStyle w:val="FootnoteReference"/>
        </w:rPr>
        <w:footnoteReference w:id="1100"/>
      </w:r>
      <w:r>
        <w:t xml:space="preserve">.</w:t>
      </w:r>
    </w:p>
    <w:p>
      <w:pPr>
        <w:numPr>
          <w:ilvl w:val="0"/>
          <w:numId w:val="1132"/>
        </w:numPr>
        <w:pStyle w:val="Compact"/>
      </w:pPr>
      <w:r>
        <w:t xml:space="preserve">Chez 76 enfants atteints de méningite bactérienne, le LL-37 dans le liquide céphalorachidien augmentait avec la quantité de bactéries ; un rapport élevé LL-37/bactéries était associé à moins de séquelles auditives</w:t>
      </w:r>
      <w:r>
        <w:rPr>
          <w:rStyle w:val="FootnoteReference"/>
        </w:rPr>
        <w:footnoteReference w:id="1101"/>
      </w:r>
      <w:r>
        <w:t xml:space="preserve">.</w:t>
      </w:r>
    </w:p>
    <w:p>
      <w:pPr>
        <w:numPr>
          <w:ilvl w:val="0"/>
          <w:numId w:val="1132"/>
        </w:numPr>
        <w:pStyle w:val="Compact"/>
      </w:pPr>
      <w:r>
        <w:t xml:space="preserve">Chez 30 patients de réanimation atteints de sepsis, les taux de LL-37 ont augmenté après de la vitamine D à forte dose</w:t>
      </w:r>
      <w:r>
        <w:rPr>
          <w:rStyle w:val="FootnoteReference"/>
        </w:rPr>
        <w:footnoteReference w:id="1102"/>
      </w:r>
      <w:r>
        <w:t xml:space="preserve">.</w:t>
      </w:r>
    </w:p>
    <w:bookmarkEnd w:id="1103"/>
    <w:bookmarkStart w:id="1105" w:name="Xd81963ef7932b51edd0e8529ae7f8a032c25773"/>
    <w:p>
      <w:pPr>
        <w:pStyle w:val="Heading4"/>
      </w:pPr>
      <w:r>
        <w:t xml:space="preserve">Indirectement : stimuler le LL-37 via la vitamine D</w:t>
      </w:r>
    </w:p>
    <w:p>
      <w:pPr>
        <w:pStyle w:val="FirstParagraph"/>
      </w:pPr>
      <w:r>
        <w:t xml:space="preserve">Dans une étude en double aveugle au Bangladesh portant sur 288 personnes atteintes de tuberculose pulmonaire, davantage de participants avaient une culture négative après quatre semaines lorsqu’ils recevaient en plus de la vitamine D3 et du phénylbutyrate – deux substances qui stimulent la production endogène de LL-37 (71 % vs 42,2 % sous placebo)</w:t>
      </w:r>
      <w:r>
        <w:rPr>
          <w:rStyle w:val="FootnoteReference"/>
        </w:rPr>
        <w:footnoteReference w:id="1104"/>
      </w:r>
      <w:r>
        <w:t xml:space="preserve">. C’est une conclusion sur cette association, pas sur le LL-37 en tant que peptide. La vitamine D elle-même n’est pas un peptide et n’est pas traitée spécifiquement dans ce livre.</w:t>
      </w:r>
    </w:p>
    <w:bookmarkEnd w:id="1105"/>
    <w:bookmarkEnd w:id="1106"/>
    <w:bookmarkStart w:id="1109" w:name="études-animales-et-de-laboratoire-19"/>
    <w:p>
      <w:pPr>
        <w:pStyle w:val="Heading3"/>
      </w:pPr>
      <w:r>
        <w:t xml:space="preserve">Études animales et de laboratoire</w:t>
      </w:r>
    </w:p>
    <w:p>
      <w:pPr>
        <w:pStyle w:val="FirstParagraph"/>
      </w:pPr>
      <w:r>
        <w:t xml:space="preserve">En laboratoire, le LL-37 tue un large éventail de bactéries, de champignons et certains virus, et favorise la migration des cellules cutanées. Un article de synthèse sur son rôle dans le cancer résume que, dans des expériences cellulaires et animales, le LL-37</w:t>
      </w:r>
      <w:r>
        <w:t xml:space="preserve"> </w:t>
      </w:r>
      <w:r>
        <w:rPr>
          <w:iCs/>
          <w:i/>
        </w:rPr>
        <w:t xml:space="preserve">favorise</w:t>
      </w:r>
      <w:r>
        <w:t xml:space="preserve"> </w:t>
      </w:r>
      <w:r>
        <w:t xml:space="preserve">la croissance tumorale dans les cancers de l’ovaire, du poumon, du sein, de la prostate et du pancréas ainsi que dans le mélanome, mais l’</w:t>
      </w:r>
      <w:r>
        <w:rPr>
          <w:iCs/>
          <w:i/>
        </w:rPr>
        <w:t xml:space="preserve">inhibe</w:t>
      </w:r>
      <w:r>
        <w:t xml:space="preserve"> </w:t>
      </w:r>
      <w:r>
        <w:t xml:space="preserve">dans les cancers du côlon, de l’estomac et certains cancers du sang</w:t>
      </w:r>
      <w:r>
        <w:rPr>
          <w:rStyle w:val="FootnoteReference"/>
        </w:rPr>
        <w:footnoteReference w:id="1107"/>
      </w:r>
      <w:r>
        <w:t xml:space="preserve">. La même substance peut donc avoir des effets opposés selon le tissu.</w:t>
      </w:r>
    </w:p>
    <w:p>
      <w:pPr>
        <w:pStyle w:val="BodyText"/>
      </w:pPr>
      <w:r>
        <w:t xml:space="preserve">Pour la transposabilité, un point est important : la souris possède sa propre cathélicidine, qui ne fait que ressembler au LL-37 humain, et la régule différemment</w:t>
      </w:r>
      <w:r>
        <w:rPr>
          <w:rStyle w:val="FootnoteReference"/>
        </w:rPr>
        <w:footnoteReference w:id="1108"/>
      </w:r>
      <w:r>
        <w:t xml:space="preserve">. Les résultats murins sur le LL-37 doivent donc être évalués avec encore plus de prudence que pour d’autres peptides.</w:t>
      </w:r>
    </w:p>
    <w:bookmarkEnd w:id="1109"/>
    <w:bookmarkStart w:id="1117" w:name="risques-et-effets-indésirables-19"/>
    <w:p>
      <w:pPr>
        <w:pStyle w:val="Heading3"/>
      </w:pPr>
      <w:r>
        <w:t xml:space="preserve">Risques et effets indésirables</w:t>
      </w:r>
    </w:p>
    <w:bookmarkStart w:id="1112" w:name="établi-3"/>
    <w:p>
      <w:pPr>
        <w:pStyle w:val="Heading4"/>
      </w:pPr>
      <w:r>
        <w:t xml:space="preserve">Établi</w:t>
      </w:r>
    </w:p>
    <w:p>
      <w:pPr>
        <w:pStyle w:val="FirstParagraph"/>
      </w:pPr>
      <w:r>
        <w:t xml:space="preserve">Dans les études sur les plaies, le LL-37 appliqué localement a été bien toléré ; il n’y a eu aucune préoccupation de sécurité concernant des effets indésirables locaux ou généraux</w:t>
      </w:r>
      <w:r>
        <w:rPr>
          <w:rStyle w:val="FootnoteReference"/>
        </w:rPr>
        <w:footnoteReference w:id="1110"/>
      </w:r>
      <w:r>
        <w:t xml:space="preserve">.</w:t>
      </w:r>
    </w:p>
    <w:p>
      <w:pPr>
        <w:pStyle w:val="BodyText"/>
      </w:pPr>
      <w:r>
        <w:t xml:space="preserve">Un rapport de cas issu de l’étude sur le mélanome montre toutefois que le LL-37 injectable n’est pas anodin : chez une femme de 63 ans ayant reçu huit injections hebdomadaires dans des métastases cutanées, de nombreuses lésions cutanées verruqueuses et des bulles sont apparues sur le tronc et les membres environ 45 jours après le début, d’abord prises pour un cancer de la peau. L’examen histologique a montré des modifications inflammatoires avec des cellules cutanées atypiques ; toutes les lésions ont régressé dans les deux mois suivant l’arrêt</w:t>
      </w:r>
      <w:r>
        <w:rPr>
          <w:rStyle w:val="FootnoteReference"/>
        </w:rPr>
        <w:footnoteReference w:id="1111"/>
      </w:r>
      <w:r>
        <w:t xml:space="preserve">.</w:t>
      </w:r>
    </w:p>
    <w:bookmarkEnd w:id="1112"/>
    <w:bookmarkStart w:id="1116" w:name="Xb0f7103516b7c09b48757dc38ebee778c79dcf9"/>
    <w:p>
      <w:pPr>
        <w:pStyle w:val="Heading4"/>
      </w:pPr>
      <w:r>
        <w:t xml:space="preserve">Théorique et déduit de la recherche sur les maladies</w:t>
      </w:r>
    </w:p>
    <w:p>
      <w:pPr>
        <w:numPr>
          <w:ilvl w:val="0"/>
          <w:numId w:val="1133"/>
        </w:numPr>
        <w:pStyle w:val="Compact"/>
      </w:pPr>
      <w:r>
        <w:rPr>
          <w:bCs/>
          <w:b/>
        </w:rPr>
        <w:t xml:space="preserve">Auto-immunité et maladies de peau :</w:t>
      </w:r>
      <w:r>
        <w:t xml:space="preserve"> </w:t>
      </w:r>
      <w:r>
        <w:t xml:space="preserve">dans le psoriasis, le LL-37 est un déclencheur de l’inflammation et la cible de lymphocytes T mal orientés</w:t>
      </w:r>
      <w:r>
        <w:rPr>
          <w:rStyle w:val="FootnoteReference"/>
        </w:rPr>
        <w:footnoteReference w:id="1113"/>
      </w:r>
      <w:r>
        <w:t xml:space="preserve">, et il participe à l’inflammation cutanée dans la rosacée</w:t>
      </w:r>
      <w:r>
        <w:rPr>
          <w:rStyle w:val="FootnoteReference"/>
        </w:rPr>
        <w:footnoteReference w:id="1114"/>
      </w:r>
      <w:r>
        <w:t xml:space="preserve">. Les personnes atteintes de ces maladies ou d’autres maladies auto-immunes (comme le lupus) devraient être particulièrement prudentes – il n’existe pas d’études à ce sujet.</w:t>
      </w:r>
    </w:p>
    <w:p>
      <w:pPr>
        <w:numPr>
          <w:ilvl w:val="0"/>
          <w:numId w:val="1133"/>
        </w:numPr>
        <w:pStyle w:val="Compact"/>
      </w:pPr>
      <w:r>
        <w:rPr>
          <w:bCs/>
          <w:b/>
        </w:rPr>
        <w:t xml:space="preserve">Cancer :</w:t>
      </w:r>
      <w:r>
        <w:t xml:space="preserve"> </w:t>
      </w:r>
      <w:r>
        <w:t xml:space="preserve">comme le LL-37 favorise en laboratoire la croissance de certains types de tumeurs</w:t>
      </w:r>
      <w:r>
        <w:rPr>
          <w:rStyle w:val="FootnoteReference"/>
        </w:rPr>
        <w:footnoteReference w:id="1115"/>
      </w:r>
      <w:r>
        <w:t xml:space="preserve">, une utilisation chez des personnes atteintes d’un cancer ou ayant des antécédents de cancer n’est pas évaluable sans études.</w:t>
      </w:r>
    </w:p>
    <w:p>
      <w:pPr>
        <w:numPr>
          <w:ilvl w:val="0"/>
          <w:numId w:val="1133"/>
        </w:numPr>
        <w:pStyle w:val="Compact"/>
      </w:pPr>
      <w:r>
        <w:rPr>
          <w:bCs/>
          <w:b/>
        </w:rPr>
        <w:t xml:space="preserve">Lésions cellulaires à forte concentration :</w:t>
      </w:r>
      <w:r>
        <w:t xml:space="preserve"> </w:t>
      </w:r>
      <w:r>
        <w:t xml:space="preserve">le peptide attaque les membranes cellulaires ; à des concentrations plus élevées, il peut aussi endommager des cellules humaines. Cela pourrait expliquer pourquoi, dans la première étude sur les plaies, la concentration la plus élevée n’agissait pas.</w:t>
      </w:r>
    </w:p>
    <w:p>
      <w:pPr>
        <w:numPr>
          <w:ilvl w:val="0"/>
          <w:numId w:val="1133"/>
        </w:numPr>
        <w:pStyle w:val="Compact"/>
      </w:pPr>
      <w:r>
        <w:rPr>
          <w:bCs/>
          <w:b/>
        </w:rPr>
        <w:t xml:space="preserve">Marché gris :</w:t>
      </w:r>
      <w:r>
        <w:t xml:space="preserve"> </w:t>
      </w:r>
      <w:r>
        <w:t xml:space="preserve">comme pour tous les « peptides de recherche », la pureté, la teneur et la stérilité sont inconnues. C’est particulièrement vrai pour les injections.</w:t>
      </w:r>
    </w:p>
    <w:bookmarkEnd w:id="1116"/>
    <w:bookmarkEnd w:id="1117"/>
    <w:bookmarkStart w:id="1118" w:name="statut-juridique-19"/>
    <w:p>
      <w:pPr>
        <w:pStyle w:val="Heading3"/>
      </w:pPr>
      <w:r>
        <w:t xml:space="preserve">Statut juridique</w:t>
      </w:r>
    </w:p>
    <w:p>
      <w:pPr>
        <w:pStyle w:val="FirstParagraph"/>
      </w:pPr>
      <w:r>
        <w:rPr>
          <w:iCs/>
          <w:i/>
        </w:rPr>
        <w:t xml:space="preserve">État 2026, à vérifier.</w:t>
      </w:r>
    </w:p>
    <w:p>
      <w:pPr>
        <w:numPr>
          <w:ilvl w:val="0"/>
          <w:numId w:val="1134"/>
        </w:numPr>
        <w:pStyle w:val="Compact"/>
      </w:pPr>
      <w:r>
        <w:rPr>
          <w:bCs/>
          <w:b/>
        </w:rPr>
        <w:t xml:space="preserve">UE, Allemagne, Autriche :</w:t>
      </w:r>
      <w:r>
        <w:t xml:space="preserve"> </w:t>
      </w:r>
      <w:r>
        <w:t xml:space="preserve">le LL-37 n’est pas autorisé comme médicament. Le développement comme produit de cicatrisation par une entreprise suédoise (sous le nom de ropocamptide) n’a, à la connaissance de l’auteur, pas dépassé la phase 2. La vente en vue d’un usage humain n’est pas permise.</w:t>
      </w:r>
    </w:p>
    <w:p>
      <w:pPr>
        <w:numPr>
          <w:ilvl w:val="0"/>
          <w:numId w:val="1134"/>
        </w:numPr>
        <w:pStyle w:val="Compact"/>
      </w:pPr>
      <w:r>
        <w:rPr>
          <w:bCs/>
          <w:b/>
        </w:rPr>
        <w:t xml:space="preserve">États-Unis :</w:t>
      </w:r>
      <w:r>
        <w:t xml:space="preserve"> </w:t>
      </w:r>
      <w:r>
        <w:t xml:space="preserve">pas d’autorisation de la FDA.</w:t>
      </w:r>
    </w:p>
    <w:p>
      <w:pPr>
        <w:numPr>
          <w:ilvl w:val="0"/>
          <w:numId w:val="1134"/>
        </w:numPr>
        <w:pStyle w:val="Compact"/>
      </w:pPr>
      <w:r>
        <w:rPr>
          <w:bCs/>
          <w:b/>
        </w:rPr>
        <w:t xml:space="preserve">AMA (WADA) :</w:t>
      </w:r>
      <w:r>
        <w:t xml:space="preserve"> </w:t>
      </w:r>
      <w:r>
        <w:t xml:space="preserve">non cité nommément ; selon l’auteur, à classer sous S0 en tant que substance non approuvée.</w:t>
      </w:r>
    </w:p>
    <w:bookmarkEnd w:id="1118"/>
    <w:bookmarkStart w:id="1119" w:name="études-en-cours-et-perspectives-19"/>
    <w:p>
      <w:pPr>
        <w:pStyle w:val="Heading3"/>
      </w:pPr>
      <w:r>
        <w:t xml:space="preserve">Études en cours et perspectives</w:t>
      </w:r>
    </w:p>
    <w:p>
      <w:pPr>
        <w:pStyle w:val="FirstParagraph"/>
      </w:pPr>
      <w:r>
        <w:rPr>
          <w:bCs/>
          <w:b/>
        </w:rPr>
        <w:t xml:space="preserve">Établi :</w:t>
      </w:r>
      <w:r>
        <w:t xml:space="preserve"> </w:t>
      </w:r>
      <w:r>
        <w:t xml:space="preserve">en octobre 2026, aucune étude en cours administrant le LL-37 comme substance active n’est enregistrée sur ClinicalTrials.gov. Les deux entrées avec le LL-37 comme substance active (mélanome, NCT02225366 ; ulcère du pied diabétique, NCT04098562) sont terminées ou de statut inconnu. Les autres entrées du registre ne mesurent le LL-37 que comme biomarqueur, par exemple dans la gencive ou lors d’un apport de vitamine D.</w:t>
      </w:r>
    </w:p>
    <w:p>
      <w:pPr>
        <w:pStyle w:val="BodyText"/>
      </w:pPr>
      <w:r>
        <w:rPr>
          <w:bCs/>
          <w:b/>
        </w:rPr>
        <w:t xml:space="preserve">Appréciation de l’auteur :</w:t>
      </w:r>
      <w:r>
        <w:t xml:space="preserve"> </w:t>
      </w:r>
      <w:r>
        <w:t xml:space="preserve">le LL-37 lui-même n’a sans doute guère d’avenir comme médicament – trop instable, toxique pour les cellules à forte concentration et porteur de risques auto-immuns. La recherche se déplace vers des dérivés raccourcis ou modifiés et vers des moyens d’augmenter la production endogène. Une étude sur les plaies dans le sous-groupe des grands ulcères de jambe, comme la réclament les auteurs de HEAL, serait l’étape logique suivante ; elle n’est pas enregistrée.</w:t>
      </w:r>
    </w:p>
    <w:bookmarkEnd w:id="1119"/>
    <w:bookmarkStart w:id="1121" w:name="conclusion-19"/>
    <w:p>
      <w:pPr>
        <w:pStyle w:val="Heading3"/>
      </w:pPr>
      <w:r>
        <w:t xml:space="preserve">Conclusion</w:t>
      </w:r>
    </w:p>
    <w:p>
      <w:pPr>
        <w:pStyle w:val="FirstParagraph"/>
      </w:pPr>
      <w:r>
        <w:t xml:space="preserve">Le LL-37 est un important peptide de défense endogène, dont le taux a été mesuré dans de nombreuses études – mais il n’a été administré comme substance active chez l’humain que dans quelques petites études. Appliqué sur des plaies, il a été bien toléré, mais la plus grande étude randomisée, avec 148 personnes, n’a trouvé aucun avantage par rapport au placebo</w:t>
      </w:r>
      <w:r>
        <w:rPr>
          <w:rStyle w:val="FootnoteReference"/>
        </w:rPr>
        <w:footnoteReference w:id="1120"/>
      </w:r>
      <w:r>
        <w:t xml:space="preserve">. Parallèlement, le LL-37 joue un rôle de moteur de l’inflammation dans le psoriasis et la rosacée, et un traitement par injection a déclenché dans un cas documenté des lésions cutanées marquées. Pour les applications promues sur Internet – par exemple contre les infections chroniques ou comme stimulant immunitaire injectable – il n’existe pas d’études chez l’humain.</w:t>
      </w:r>
    </w:p>
    <w:bookmarkEnd w:id="1121"/>
    <w:bookmarkEnd w:id="1122"/>
    <w:bookmarkStart w:id="1155" w:name="ara-290-cibinétide"/>
    <w:p>
      <w:pPr>
        <w:pStyle w:val="Heading2"/>
      </w:pPr>
      <w:r>
        <w:t xml:space="preserve">ARA-290 (cibinétide)</w:t>
      </w:r>
    </w:p>
    <w:p>
      <w:pPr>
        <w:pStyle w:val="FirstParagraph"/>
      </w:pPr>
      <w:r>
        <w:t xml:space="preserve">L’ARA-290 est un peptide artificiel dérivé de l’hormone de l’hématopoïèse érythropoïétine (EPO) – celle-là même qui est devenue célèbre comme produit dopant dans le cyclisme. L’ARA-290 n’est toutefois justement pas censé stimuler la production de globules rouges, mais seulement exploiter les propriétés protectrices tissulaires de l’EPO. Dans de petites études sur les douleurs neuropathiques liées à la sarcoïdose, il a montré des signaux encourageants. Dans le milieu du biohacking, il est désormais proposé comme peptide de « régénération nerveuse » et « anti-âge ».</w:t>
      </w:r>
    </w:p>
    <w:bookmarkStart w:id="1125" w:name="fiche-signalétique-20"/>
    <w:p>
      <w:pPr>
        <w:pStyle w:val="Heading3"/>
      </w:pPr>
      <w:r>
        <w:t xml:space="preserve">Fiche signalétique</w:t>
      </w:r>
    </w:p>
    <w:p>
      <w:pPr>
        <w:numPr>
          <w:ilvl w:val="0"/>
          <w:numId w:val="1135"/>
        </w:numPr>
        <w:pStyle w:val="Compact"/>
      </w:pPr>
      <w:r>
        <w:rPr>
          <w:bCs/>
          <w:b/>
        </w:rPr>
        <w:t xml:space="preserve">Type et structure :</w:t>
      </w:r>
      <w:r>
        <w:t xml:space="preserve"> </w:t>
      </w:r>
      <w:r>
        <w:t xml:space="preserve">peptide de synthèse de 11 acides aminés</w:t>
      </w:r>
      <w:r>
        <w:rPr>
          <w:rStyle w:val="FootnoteReference"/>
        </w:rPr>
        <w:footnoteReference w:id="1123"/>
      </w:r>
      <w:r>
        <w:t xml:space="preserve"> </w:t>
      </w:r>
      <w:r>
        <w:t xml:space="preserve">; dénomination de la substance : cibinétide.</w:t>
      </w:r>
    </w:p>
    <w:p>
      <w:pPr>
        <w:numPr>
          <w:ilvl w:val="0"/>
          <w:numId w:val="1135"/>
        </w:numPr>
        <w:pStyle w:val="Compact"/>
      </w:pPr>
      <w:r>
        <w:rPr>
          <w:bCs/>
          <w:b/>
        </w:rPr>
        <w:t xml:space="preserve">Origine :</w:t>
      </w:r>
      <w:r>
        <w:t xml:space="preserve"> </w:t>
      </w:r>
      <w:r>
        <w:t xml:space="preserve">construit d’après un segment de la structure spatiale de l’érythropoïétine censé être responsable de son effet protecteur sur les tissus ; développé par la société américaine Araim Pharmaceuticals.</w:t>
      </w:r>
    </w:p>
    <w:p>
      <w:pPr>
        <w:numPr>
          <w:ilvl w:val="0"/>
          <w:numId w:val="1135"/>
        </w:numPr>
        <w:pStyle w:val="Compact"/>
      </w:pPr>
      <w:r>
        <w:rPr>
          <w:bCs/>
          <w:b/>
        </w:rPr>
        <w:t xml:space="preserve">Principe d’action :</w:t>
      </w:r>
      <w:r>
        <w:t xml:space="preserve"> </w:t>
      </w:r>
      <w:r>
        <w:t xml:space="preserve">se lie à un « récepteur de réparation inné » (une combinaison du récepteur de l’EPO et de la sous-unité de récepteur CD131), et non au récepteur classique de l’EPO responsable de l’hématopoïèse ; censé atténuer les inflammations et stimuler la réparation tissulaire.</w:t>
      </w:r>
    </w:p>
    <w:p>
      <w:pPr>
        <w:numPr>
          <w:ilvl w:val="0"/>
          <w:numId w:val="1135"/>
        </w:numPr>
        <w:pStyle w:val="Compact"/>
      </w:pPr>
      <w:r>
        <w:rPr>
          <w:bCs/>
          <w:b/>
        </w:rPr>
        <w:t xml:space="preserve">Autorisation UE/États-Unis :</w:t>
      </w:r>
      <w:r>
        <w:t xml:space="preserve"> </w:t>
      </w:r>
      <w:r>
        <w:t xml:space="preserve">non.</w:t>
      </w:r>
    </w:p>
    <w:p>
      <w:pPr>
        <w:numPr>
          <w:ilvl w:val="0"/>
          <w:numId w:val="1135"/>
        </w:numPr>
        <w:pStyle w:val="Compact"/>
      </w:pPr>
      <w:r>
        <w:rPr>
          <w:bCs/>
          <w:b/>
        </w:rPr>
        <w:t xml:space="preserve">AMA (WADA) :</w:t>
      </w:r>
      <w:r>
        <w:t xml:space="preserve"> </w:t>
      </w:r>
      <w:r>
        <w:t xml:space="preserve">interdit – les agonistes non hématopoïétiques du récepteur de l’EPO comme l’ARA-290 sont expressément cités dans la classe S2 ; des laboratoires antidopage ont développé des méthodes de détection</w:t>
      </w:r>
      <w:r>
        <w:rPr>
          <w:rStyle w:val="FootnoteReference"/>
        </w:rPr>
        <w:footnoteReference w:id="1124"/>
      </w:r>
      <w:r>
        <w:t xml:space="preserve">.</w:t>
      </w:r>
    </w:p>
    <w:p>
      <w:pPr>
        <w:numPr>
          <w:ilvl w:val="0"/>
          <w:numId w:val="1135"/>
        </w:numPr>
        <w:pStyle w:val="Compact"/>
      </w:pPr>
      <w:r>
        <w:rPr>
          <w:bCs/>
          <w:b/>
        </w:rPr>
        <w:t xml:space="preserve">Niveau de preuve : B</w:t>
      </w:r>
      <w:r>
        <w:t xml:space="preserve"> </w:t>
      </w:r>
      <w:r>
        <w:t xml:space="preserve">– plusieurs petites études de phase 2 randomisées contrôlées contre placebo ; aucune étude de phase 3.</w:t>
      </w:r>
    </w:p>
    <w:bookmarkEnd w:id="1125"/>
    <w:bookmarkStart w:id="1128" w:name="mode-daction-supposé-20"/>
    <w:p>
      <w:pPr>
        <w:pStyle w:val="Heading3"/>
      </w:pPr>
      <w:r>
        <w:t xml:space="preserve">Mode d’action supposé</w:t>
      </w:r>
    </w:p>
    <w:p>
      <w:pPr>
        <w:pStyle w:val="FirstParagraph"/>
      </w:pPr>
      <w:r>
        <w:t xml:space="preserve">L’érythropoïétine est produite dans le rein et stimule la formation de globules rouges dans la moelle osseuse. Dans les années 2000, des expériences animales ont montré que l’EPO pouvait en outre protéger les nerfs, le cœur et les reins contre des lésions. Comme médicament, l’EPO ne convient cependant pas à cet usage : elle augmente le nombre de globules rouges, épaissit le sang et accroît le risque de thrombose.</w:t>
      </w:r>
    </w:p>
    <w:p>
      <w:pPr>
        <w:pStyle w:val="BodyText"/>
      </w:pPr>
      <w:r>
        <w:t xml:space="preserve">Les développeurs de l’ARA-290 ont supposé que l’effet protecteur passait par un autre récepteur que l’hématopoïèse. Ce « récepteur de réparation » n’est produit en plus grande quantité qu’en cas de lésion tissulaire ou d’inflammation. L’ARA-290 est censé n’activer que lui, de manière ciblée. Chez des rats présentant une lésion nerveuse, il a réduit de façon dose-dépendante l’hypersensibilité au toucher et au froid pendant jusqu’à 20 semaines et atténué l’activation des cellules immunitaires dans la moelle épinière</w:t>
      </w:r>
      <w:r>
        <w:rPr>
          <w:rStyle w:val="FootnoteReference"/>
        </w:rPr>
        <w:footnoteReference w:id="1126"/>
      </w:r>
      <w:r>
        <w:t xml:space="preserve">.</w:t>
      </w:r>
    </w:p>
    <w:p>
      <w:pPr>
        <w:pStyle w:val="BodyText"/>
      </w:pPr>
      <w:r>
        <w:t xml:space="preserve">L’ARA-290 est rapidement dégradé dans le sang ; un laboratoire antidopage a décrit une dégradation enzymatique marquée, avec un produit de dégradation principal</w:t>
      </w:r>
      <w:r>
        <w:rPr>
          <w:rStyle w:val="FootnoteReference"/>
        </w:rPr>
        <w:footnoteReference w:id="1127"/>
      </w:r>
      <w:r>
        <w:t xml:space="preserve">.</w:t>
      </w:r>
    </w:p>
    <w:bookmarkEnd w:id="1128"/>
    <w:bookmarkStart w:id="1137" w:name="études-chez-lhumain-20"/>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5</w:t>
      </w:r>
      <w:r>
        <w:t xml:space="preserve"> </w:t>
      </w:r>
      <w:r>
        <w:t xml:space="preserve">études chez l’humain dans PubMed et</w:t>
      </w:r>
      <w:r>
        <w:t xml:space="preserve"> </w:t>
      </w:r>
      <w:r>
        <w:rPr>
          <w:bCs/>
          <w:b/>
        </w:rPr>
        <w:t xml:space="preserve">5</w:t>
      </w:r>
      <w:r>
        <w:t xml:space="preserve"> </w:t>
      </w:r>
      <w:r>
        <w:t xml:space="preserve">entrées sur ClinicalTrials.gov. Une autre étude (œdème maculaire diabétique) a fait l’objet d’une recherche ciblée. Toutes les études sont petites et ont duré de quatre à douze semaines.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Sarcoïdose, étude pilote (Heij 2012, PMID 23168581)</w:t>
            </w:r>
          </w:p>
        </w:tc>
        <w:tc>
          <w:tcPr/>
          <w:p>
            <w:pPr>
              <w:pStyle w:val="Compact"/>
              <w:jc w:val="left"/>
            </w:pPr>
            <w:r>
              <w:t xml:space="preserve">22 personnes souffrant de douleurs neuropathiques liées à la sarcoïdose, ECR en double aveugle, perfusion</w:t>
            </w:r>
          </w:p>
        </w:tc>
        <w:tc>
          <w:tcPr/>
          <w:p>
            <w:pPr>
              <w:pStyle w:val="Compact"/>
              <w:jc w:val="left"/>
            </w:pPr>
            <w:r>
              <w:t xml:space="preserve">4 semaines</w:t>
            </w:r>
          </w:p>
        </w:tc>
        <w:tc>
          <w:tcPr/>
          <w:p>
            <w:pPr>
              <w:pStyle w:val="Compact"/>
              <w:jc w:val="left"/>
            </w:pPr>
            <w:r>
              <w:t xml:space="preserve">questionnaire de neuropathie −11,5 vs −2,9 points ; échelle principale de la douleur améliorée de la même façon dans les deux groupes</w:t>
            </w:r>
          </w:p>
        </w:tc>
      </w:tr>
      <w:tr>
        <w:tc>
          <w:tcPr/>
          <w:p>
            <w:pPr>
              <w:pStyle w:val="Compact"/>
              <w:jc w:val="left"/>
            </w:pPr>
            <w:r>
              <w:t xml:space="preserve">Sarcoïdose, injection sous-cutanée (Dahan 2013, PMID 24136731)</w:t>
            </w:r>
          </w:p>
        </w:tc>
        <w:tc>
          <w:tcPr/>
          <w:p>
            <w:pPr>
              <w:pStyle w:val="Compact"/>
              <w:jc w:val="left"/>
            </w:pPr>
            <w:r>
              <w:t xml:space="preserve">personnes avec perte de fibres nerveuses liée à la sarcoïdose, étude en aveugle contrôlée contre placebo</w:t>
            </w:r>
          </w:p>
        </w:tc>
        <w:tc>
          <w:tcPr/>
          <w:p>
            <w:pPr>
              <w:pStyle w:val="Compact"/>
              <w:jc w:val="left"/>
            </w:pPr>
            <w:r>
              <w:t xml:space="preserve">28 jours</w:t>
            </w:r>
          </w:p>
        </w:tc>
        <w:tc>
          <w:tcPr/>
          <w:p>
            <w:pPr>
              <w:pStyle w:val="Compact"/>
              <w:jc w:val="left"/>
            </w:pPr>
            <w:r>
              <w:t xml:space="preserve">amélioration des symptômes, davantage de fibres nerveuses dans la cornée, distance de marche plus longue</w:t>
            </w:r>
          </w:p>
        </w:tc>
      </w:tr>
      <w:tr>
        <w:tc>
          <w:tcPr/>
          <w:p>
            <w:pPr>
              <w:pStyle w:val="Compact"/>
              <w:jc w:val="left"/>
            </w:pPr>
            <w:r>
              <w:t xml:space="preserve">Sarcoïdose, phase 2b (Culver 2017, PMID 28475703 ; NCT02039687)</w:t>
            </w:r>
          </w:p>
        </w:tc>
        <w:tc>
          <w:tcPr/>
          <w:p>
            <w:pPr>
              <w:pStyle w:val="Compact"/>
              <w:jc w:val="left"/>
            </w:pPr>
            <w:r>
              <w:t xml:space="preserve">64 personnes, ECR avec trois doses et placebo</w:t>
            </w:r>
          </w:p>
        </w:tc>
        <w:tc>
          <w:tcPr/>
          <w:p>
            <w:pPr>
              <w:pStyle w:val="Compact"/>
              <w:jc w:val="left"/>
            </w:pPr>
            <w:r>
              <w:t xml:space="preserve">28 jours</w:t>
            </w:r>
          </w:p>
        </w:tc>
        <w:tc>
          <w:tcPr/>
          <w:p>
            <w:pPr>
              <w:pStyle w:val="Compact"/>
              <w:jc w:val="left"/>
            </w:pPr>
            <w:r>
              <w:t xml:space="preserve">surface des fibres nerveuses cornéennes significativement augmentée uniquement à la dose intermédiaire ; douleur améliorée dans tous les groupes, placebo compris</w:t>
            </w:r>
          </w:p>
        </w:tc>
      </w:tr>
      <w:tr>
        <w:tc>
          <w:tcPr/>
          <w:p>
            <w:pPr>
              <w:pStyle w:val="Compact"/>
              <w:jc w:val="left"/>
            </w:pPr>
            <w:r>
              <w:t xml:space="preserve">Diabète de type 2 avec neuropathie (Brines 2015, PMID 25387363)</w:t>
            </w:r>
          </w:p>
        </w:tc>
        <w:tc>
          <w:tcPr/>
          <w:p>
            <w:pPr>
              <w:pStyle w:val="Compact"/>
              <w:jc w:val="left"/>
            </w:pPr>
            <w:r>
              <w:t xml:space="preserve">personnes atteintes de diabète de type 2 et de douleurs neuropathiques, phase 2, contre placebo</w:t>
            </w:r>
          </w:p>
        </w:tc>
        <w:tc>
          <w:tcPr/>
          <w:p>
            <w:pPr>
              <w:pStyle w:val="Compact"/>
              <w:jc w:val="left"/>
            </w:pPr>
            <w:r>
              <w:t xml:space="preserve">28 jours plus 28 jours</w:t>
            </w:r>
          </w:p>
        </w:tc>
        <w:tc>
          <w:tcPr/>
          <w:p>
            <w:pPr>
              <w:pStyle w:val="Compact"/>
              <w:jc w:val="left"/>
            </w:pPr>
            <w:r>
              <w:t xml:space="preserve">HbA1c et lipides sanguins améliorés, questionnaire de neuropathie meilleur</w:t>
            </w:r>
          </w:p>
        </w:tc>
      </w:tr>
      <w:tr>
        <w:tc>
          <w:tcPr/>
          <w:p>
            <w:pPr>
              <w:pStyle w:val="Compact"/>
              <w:jc w:val="left"/>
            </w:pPr>
            <w:r>
              <w:t xml:space="preserve">Œdème maculaire diabétique (Lois 2020, PMID 32674280)</w:t>
            </w:r>
          </w:p>
        </w:tc>
        <w:tc>
          <w:tcPr/>
          <w:p>
            <w:pPr>
              <w:pStyle w:val="Compact"/>
              <w:jc w:val="left"/>
            </w:pPr>
            <w:r>
              <w:t xml:space="preserve">9 personnes, phase 2 sans groupe témoin</w:t>
            </w:r>
          </w:p>
        </w:tc>
        <w:tc>
          <w:tcPr/>
          <w:p>
            <w:pPr>
              <w:pStyle w:val="Compact"/>
              <w:jc w:val="left"/>
            </w:pPr>
            <w:r>
              <w:t xml:space="preserve">12 semaines</w:t>
            </w:r>
          </w:p>
        </w:tc>
        <w:tc>
          <w:tcPr/>
          <w:p>
            <w:pPr>
              <w:pStyle w:val="Compact"/>
              <w:jc w:val="left"/>
            </w:pPr>
            <w:r>
              <w:t xml:space="preserve">aucune amélioration de l’acuité visuelle ni de l’épaisseur rétinienne ; pas d’anticorps contre la substance</w:t>
            </w:r>
          </w:p>
        </w:tc>
      </w:tr>
      <w:tr>
        <w:tc>
          <w:tcPr/>
          <w:p>
            <w:pPr>
              <w:pStyle w:val="Compact"/>
              <w:jc w:val="left"/>
            </w:pPr>
            <w:r>
              <w:t xml:space="preserve">Volontaires sains, humeur (Cerit 2015, PMID 26431906)</w:t>
            </w:r>
          </w:p>
        </w:tc>
        <w:tc>
          <w:tcPr/>
          <w:p>
            <w:pPr>
              <w:pStyle w:val="Compact"/>
              <w:jc w:val="left"/>
            </w:pPr>
            <w:r>
              <w:t xml:space="preserve">36 volontaires sains, ECR en double aveugle, dose unique</w:t>
            </w:r>
          </w:p>
        </w:tc>
        <w:tc>
          <w:tcPr/>
          <w:p>
            <w:pPr>
              <w:pStyle w:val="Compact"/>
              <w:jc w:val="left"/>
            </w:pPr>
            <w:r>
              <w:t xml:space="preserve">1 semaine</w:t>
            </w:r>
          </w:p>
        </w:tc>
        <w:tc>
          <w:tcPr/>
          <w:p>
            <w:pPr>
              <w:pStyle w:val="Compact"/>
              <w:jc w:val="left"/>
            </w:pPr>
            <w:r>
              <w:t xml:space="preserve">aucun effet sur l’humeur ; les résultats ne plaident pas clairement pour un effet antidépresseur</w:t>
            </w:r>
          </w:p>
        </w:tc>
      </w:tr>
    </w:tbl>
    <w:bookmarkStart w:id="1132" w:name="Xf3f06a2e03bf695b39ca843060869bf9bfd3edd"/>
    <w:p>
      <w:pPr>
        <w:pStyle w:val="Heading4"/>
      </w:pPr>
      <w:r>
        <w:t xml:space="preserve">Sarcoïdose – le principal domaine d’application</w:t>
      </w:r>
    </w:p>
    <w:p>
      <w:pPr>
        <w:pStyle w:val="FirstParagraph"/>
      </w:pPr>
      <w:r>
        <w:t xml:space="preserve">La sarcoïdose est une maladie inflammatoire dans laquelle de petits nodules se forment dans les poumons, la peau, les yeux et d’autres organes. De nombreuses personnes atteintes souffrent de douleurs brûlantes et de dysesthésies dues à l’atteinte de fines fibres nerveuses (neuropathie des petites fibres). Il n’existe guère de traitements efficaces.</w:t>
      </w:r>
    </w:p>
    <w:p>
      <w:pPr>
        <w:pStyle w:val="BodyText"/>
      </w:pPr>
      <w:r>
        <w:t xml:space="preserve">Dans la première étude pilote avec 22 personnes, un questionnaire sur les symptômes de neuropathie s’est nettement plus amélioré sous ARA-290 que sous placebo. Les valeurs du questionnaire principal de la douleur et de la fatigue se sont toutefois améliorées de manière identique dans les deux groupes – un indice d’un effet placebo considérable</w:t>
      </w:r>
      <w:r>
        <w:rPr>
          <w:rStyle w:val="FootnoteReference"/>
        </w:rPr>
        <w:footnoteReference w:id="1129"/>
      </w:r>
      <w:r>
        <w:t xml:space="preserve">.</w:t>
      </w:r>
    </w:p>
    <w:p>
      <w:pPr>
        <w:pStyle w:val="BodyText"/>
      </w:pPr>
      <w:r>
        <w:t xml:space="preserve">La plus grande étude, une étude de phase 2b avec 64 personnes, a choisi comme critère principal la surface des fines fibres nerveuses de la cornée de l’œil, mesurable avec un microscope spécial. Seule la dose intermédiaire, sur trois, a augmenté significativement cette surface par rapport au placebo ; la dose faible et la dose élevée n’ont pas montré d’effet significatif. Les douleurs se sont améliorées dans tous les groupes, y compris sous placebo</w:t>
      </w:r>
      <w:r>
        <w:rPr>
          <w:rStyle w:val="FootnoteReference"/>
        </w:rPr>
        <w:footnoteReference w:id="1130"/>
      </w:r>
      <w:r>
        <w:t xml:space="preserve">. Les fibres nerveuses cornéennes sont un marqueur de substitution (critère de substitution) : il n’est pas démontré que davantage de fibres nerveuses dans la cornée signifie aussi durablement moins de douleurs.</w:t>
      </w:r>
    </w:p>
    <w:p>
      <w:pPr>
        <w:pStyle w:val="BodyText"/>
      </w:pPr>
      <w:r>
        <w:t xml:space="preserve">Une synthèse rédigée par des membres du groupe de recherche de Leyde a jugé les perspectives prometteuses</w:t>
      </w:r>
      <w:r>
        <w:rPr>
          <w:rStyle w:val="FootnoteReference"/>
        </w:rPr>
        <w:footnoteReference w:id="1131"/>
      </w:r>
      <w:r>
        <w:t xml:space="preserve">. Il faut noter qu’une grande partie des études provient de la société développeuse et de chercheurs qui lui sont étroitement liés.</w:t>
      </w:r>
    </w:p>
    <w:bookmarkEnd w:id="1132"/>
    <w:bookmarkStart w:id="1136" w:name="diabète"/>
    <w:p>
      <w:pPr>
        <w:pStyle w:val="Heading4"/>
      </w:pPr>
      <w:r>
        <w:t xml:space="preserve">Diabète</w:t>
      </w:r>
    </w:p>
    <w:p>
      <w:pPr>
        <w:pStyle w:val="FirstParagraph"/>
      </w:pPr>
      <w:r>
        <w:t xml:space="preserve">Chez des personnes atteintes de diabète de type 2 et de neuropathie douloureuse, l’HbA1c (glycémie à long terme), les lipides sanguins et les symptômes de neuropathie se sont améliorés sous ARA-290 sur 28 jours</w:t>
      </w:r>
      <w:r>
        <w:rPr>
          <w:rStyle w:val="FootnoteReference"/>
        </w:rPr>
        <w:footnoteReference w:id="1133"/>
      </w:r>
      <w:r>
        <w:t xml:space="preserve">. Le nombre de participants n’est pas indiqué dans le résumé ; l’étude était courte. Une étude suédoise enregistrée séparément sur l’effet glycémique dans le prédiabète, avec 24 personnes prévues, a un statut inconnu</w:t>
      </w:r>
      <w:r>
        <w:rPr>
          <w:rStyle w:val="FootnoteReference"/>
        </w:rPr>
        <w:footnoteReference w:id="1134"/>
      </w:r>
      <w:r>
        <w:t xml:space="preserve">. Chez neuf personnes atteintes d’œdème maculaire diabétique – un gonflement du centre de la rétine –, l’acuité visuelle et l’épaisseur rétinienne ne se sont pas améliorées</w:t>
      </w:r>
      <w:r>
        <w:rPr>
          <w:rStyle w:val="FootnoteReference"/>
        </w:rPr>
        <w:footnoteReference w:id="1135"/>
      </w:r>
      <w:r>
        <w:t xml:space="preserve">.</w:t>
      </w:r>
    </w:p>
    <w:bookmarkEnd w:id="1136"/>
    <w:bookmarkEnd w:id="1137"/>
    <w:bookmarkStart w:id="1143" w:name="études-animales-et-de-laboratoire-20"/>
    <w:p>
      <w:pPr>
        <w:pStyle w:val="Heading3"/>
      </w:pPr>
      <w:r>
        <w:t xml:space="preserve">Études animales et de laboratoire</w:t>
      </w:r>
    </w:p>
    <w:p>
      <w:pPr>
        <w:pStyle w:val="FirstParagraph"/>
      </w:pPr>
      <w:r>
        <w:t xml:space="preserve">La recherche animale sur l’ARA-290 est vaste. Chez le rat, la souris et le porc, des effets protecteurs ont été décrits dans les douleurs neuropathiques</w:t>
      </w:r>
      <w:r>
        <w:rPr>
          <w:rStyle w:val="FootnoteReference"/>
        </w:rPr>
        <w:footnoteReference w:id="1138"/>
      </w:r>
      <w:r>
        <w:t xml:space="preserve">, les lésions rénales après trouble circulatoire chez le porc</w:t>
      </w:r>
      <w:r>
        <w:rPr>
          <w:rStyle w:val="FootnoteReference"/>
        </w:rPr>
        <w:footnoteReference w:id="1139"/>
      </w:r>
      <w:r>
        <w:t xml:space="preserve">, le diabète chez le rat</w:t>
      </w:r>
      <w:r>
        <w:rPr>
          <w:rStyle w:val="FootnoteReference"/>
        </w:rPr>
        <w:footnoteReference w:id="1140"/>
      </w:r>
      <w:r>
        <w:t xml:space="preserve"> </w:t>
      </w:r>
      <w:r>
        <w:t xml:space="preserve">et des modifications de type Alzheimer</w:t>
      </w:r>
      <w:r>
        <w:rPr>
          <w:rStyle w:val="FootnoteReference"/>
        </w:rPr>
        <w:footnoteReference w:id="1141"/>
      </w:r>
      <w:r>
        <w:t xml:space="preserve">. Dans une étude à long terme sur des rats vieillissants pendant 15 mois, l’ARA-290 a réduit les signes inflammatoires dans le cœur et atténué la détérioration de la fonction cardiaque liée à l’âge</w:t>
      </w:r>
      <w:r>
        <w:rPr>
          <w:rStyle w:val="FootnoteReference"/>
        </w:rPr>
        <w:footnoteReference w:id="1142"/>
      </w:r>
      <w:r>
        <w:t xml:space="preserve"> </w:t>
      </w:r>
      <w:r>
        <w:t xml:space="preserve">– c’est sur ce travail que s’appuie sa commercialisation comme « peptide anti-âge ». Tous ces résultats proviennent d’expériences animales.</w:t>
      </w:r>
    </w:p>
    <w:bookmarkEnd w:id="1143"/>
    <w:bookmarkStart w:id="1148" w:name="risques-et-effets-indésirables-20"/>
    <w:p>
      <w:pPr>
        <w:pStyle w:val="Heading3"/>
      </w:pPr>
      <w:r>
        <w:t xml:space="preserve">Risques et effets indésirables</w:t>
      </w:r>
    </w:p>
    <w:bookmarkStart w:id="1146" w:name="établi-4"/>
    <w:p>
      <w:pPr>
        <w:pStyle w:val="Heading4"/>
      </w:pPr>
      <w:r>
        <w:t xml:space="preserve">Établi</w:t>
      </w:r>
    </w:p>
    <w:p>
      <w:pPr>
        <w:pStyle w:val="FirstParagraph"/>
      </w:pPr>
      <w:r>
        <w:t xml:space="preserve">Aucune étude publiée n’a rapporté de problème de sécurité</w:t>
      </w:r>
      <w:r>
        <w:rPr>
          <w:rStyle w:val="FootnoteReference"/>
        </w:rPr>
        <w:footnoteReference w:id="1144"/>
      </w:r>
      <w:r>
        <w:t xml:space="preserve">. Dans l’étude sur l’œdème maculaire, sur douze semaines, aucun effet indésirable grave et aucun anticorps contre l’ARA-290 ne sont apparus</w:t>
      </w:r>
      <w:r>
        <w:rPr>
          <w:rStyle w:val="FootnoteReference"/>
        </w:rPr>
        <w:footnoteReference w:id="1145"/>
      </w:r>
      <w:r>
        <w:t xml:space="preserve">. La base de données est toutefois réduite, avec nettement moins de 200 personnes traitées au total et des durées de traitement de douze semaines au plus.</w:t>
      </w:r>
    </w:p>
    <w:bookmarkEnd w:id="1146"/>
    <w:bookmarkStart w:id="1147" w:name="théorique-1"/>
    <w:p>
      <w:pPr>
        <w:pStyle w:val="Heading4"/>
      </w:pPr>
      <w:r>
        <w:t xml:space="preserve">Théorique</w:t>
      </w:r>
    </w:p>
    <w:p>
      <w:pPr>
        <w:numPr>
          <w:ilvl w:val="0"/>
          <w:numId w:val="1136"/>
        </w:numPr>
        <w:pStyle w:val="Compact"/>
      </w:pPr>
      <w:r>
        <w:rPr>
          <w:bCs/>
          <w:b/>
        </w:rPr>
        <w:t xml:space="preserve">Effets de type EPO :</w:t>
      </w:r>
      <w:r>
        <w:t xml:space="preserve"> </w:t>
      </w:r>
      <w:r>
        <w:t xml:space="preserve">l’ARA-290 a été conçu pour ne pas stimuler l’hématopoïèse. On n’a pas étudié chez l’humain si des effets de type EPO apparaissent néanmoins lors d’une utilisation prolongée ou à des doses plus élevées, comme celles qui circulent sur le marché gris.</w:t>
      </w:r>
    </w:p>
    <w:p>
      <w:pPr>
        <w:numPr>
          <w:ilvl w:val="0"/>
          <w:numId w:val="1136"/>
        </w:numPr>
        <w:pStyle w:val="Compact"/>
      </w:pPr>
      <w:r>
        <w:rPr>
          <w:bCs/>
          <w:b/>
        </w:rPr>
        <w:t xml:space="preserve">Croissance tumorale :</w:t>
      </w:r>
      <w:r>
        <w:t xml:space="preserve"> </w:t>
      </w:r>
      <w:r>
        <w:t xml:space="preserve">l’EPO elle-même est soupçonnée de favoriser la croissance tumorale dans certains cancers. On ignore si cela joue un rôle pour l’ARA-290 ; les données à long terme manquent.</w:t>
      </w:r>
    </w:p>
    <w:p>
      <w:pPr>
        <w:numPr>
          <w:ilvl w:val="0"/>
          <w:numId w:val="1136"/>
        </w:numPr>
        <w:pStyle w:val="Compact"/>
      </w:pPr>
      <w:r>
        <w:rPr>
          <w:bCs/>
          <w:b/>
        </w:rPr>
        <w:t xml:space="preserve">Marché gris :</w:t>
      </w:r>
      <w:r>
        <w:t xml:space="preserve"> </w:t>
      </w:r>
      <w:r>
        <w:t xml:space="preserve">les études ont été menées avec une qualité pharmaceutique. Pour les produits vendus librement, la pureté et la teneur sont inconnues.</w:t>
      </w:r>
    </w:p>
    <w:bookmarkEnd w:id="1147"/>
    <w:bookmarkEnd w:id="1148"/>
    <w:bookmarkStart w:id="1149" w:name="statut-juridique-20"/>
    <w:p>
      <w:pPr>
        <w:pStyle w:val="Heading3"/>
      </w:pPr>
      <w:r>
        <w:t xml:space="preserve">Statut juridique</w:t>
      </w:r>
    </w:p>
    <w:p>
      <w:pPr>
        <w:pStyle w:val="FirstParagraph"/>
      </w:pPr>
      <w:r>
        <w:rPr>
          <w:iCs/>
          <w:i/>
        </w:rPr>
        <w:t xml:space="preserve">État 2026, à vérifier.</w:t>
      </w:r>
    </w:p>
    <w:p>
      <w:pPr>
        <w:numPr>
          <w:ilvl w:val="0"/>
          <w:numId w:val="1137"/>
        </w:numPr>
        <w:pStyle w:val="Compact"/>
      </w:pPr>
      <w:r>
        <w:rPr>
          <w:bCs/>
          <w:b/>
        </w:rPr>
        <w:t xml:space="preserve">UE, Allemagne, Autriche :</w:t>
      </w:r>
      <w:r>
        <w:t xml:space="preserve"> </w:t>
      </w:r>
      <w:r>
        <w:t xml:space="preserve">non autorisé. La délivrance en vue d’un usage humain n’est pas permise.</w:t>
      </w:r>
    </w:p>
    <w:p>
      <w:pPr>
        <w:numPr>
          <w:ilvl w:val="0"/>
          <w:numId w:val="1137"/>
        </w:numPr>
        <w:pStyle w:val="Compact"/>
      </w:pPr>
      <w:r>
        <w:rPr>
          <w:bCs/>
          <w:b/>
        </w:rPr>
        <w:t xml:space="preserve">États-Unis :</w:t>
      </w:r>
      <w:r>
        <w:t xml:space="preserve"> </w:t>
      </w:r>
      <w:r>
        <w:t xml:space="preserve">pas d’autorisation de la FDA.</w:t>
      </w:r>
    </w:p>
    <w:p>
      <w:pPr>
        <w:numPr>
          <w:ilvl w:val="0"/>
          <w:numId w:val="1137"/>
        </w:numPr>
        <w:pStyle w:val="Compact"/>
      </w:pPr>
      <w:r>
        <w:rPr>
          <w:bCs/>
          <w:b/>
        </w:rPr>
        <w:t xml:space="preserve">AMA (WADA) :</w:t>
      </w:r>
      <w:r>
        <w:t xml:space="preserve"> </w:t>
      </w:r>
      <w:r>
        <w:t xml:space="preserve">interdit en compétition et hors compétition (S2, hormones peptidiques et substances apparentées ; l’ARA-290 est cité comme exemple d’agoniste non hématopoïétique du récepteur de l’EPO).</w:t>
      </w:r>
    </w:p>
    <w:bookmarkEnd w:id="1149"/>
    <w:bookmarkStart w:id="1152" w:name="études-en-cours-et-perspectives-20"/>
    <w:p>
      <w:pPr>
        <w:pStyle w:val="Heading3"/>
      </w:pPr>
      <w:r>
        <w:t xml:space="preserve">Études en cours et perspectives</w:t>
      </w:r>
    </w:p>
    <w:p>
      <w:pPr>
        <w:pStyle w:val="FirstParagraph"/>
      </w:pPr>
      <w:r>
        <w:rPr>
          <w:bCs/>
          <w:b/>
        </w:rPr>
        <w:t xml:space="preserve">Établi :</w:t>
      </w:r>
      <w:r>
        <w:t xml:space="preserve"> </w:t>
      </w:r>
      <w:r>
        <w:t xml:space="preserve">en octobre 2026, aucune étude en cours sur l’ARA-290 ou le cibinétide n’est enregistrée sur ClinicalTrials.gov. La plus grande étude à ce jour</w:t>
      </w:r>
      <w:r>
        <w:rPr>
          <w:rStyle w:val="FootnoteReference"/>
        </w:rPr>
        <w:footnoteReference w:id="1150"/>
      </w:r>
      <w:r>
        <w:t xml:space="preserve"> </w:t>
      </w:r>
      <w:r>
        <w:t xml:space="preserve">s’est terminée en 2015 ; aucune étude de phase 3 n’a été lancée depuis. L’étude sur l’œdème maculaire s’est achevée avec neuf personnes</w:t>
      </w:r>
      <w:r>
        <w:rPr>
          <w:rStyle w:val="FootnoteReference"/>
        </w:rPr>
        <w:footnoteReference w:id="1151"/>
      </w:r>
      <w:r>
        <w:t xml:space="preserve">.</w:t>
      </w:r>
    </w:p>
    <w:p>
      <w:pPr>
        <w:pStyle w:val="BodyText"/>
      </w:pPr>
      <w:r>
        <w:rPr>
          <w:bCs/>
          <w:b/>
        </w:rPr>
        <w:t xml:space="preserve">Appréciation de l’auteur :</w:t>
      </w:r>
      <w:r>
        <w:t xml:space="preserve"> </w:t>
      </w:r>
      <w:r>
        <w:t xml:space="preserve">les résultats dans la neuropathie de la sarcoïdose étaient assez intéressants pour une étude de phase 3, qui n’a cependant visiblement pas été lancée plus de dix ans après l’étude de phase 2b. Sans nouveau développeur ou financeur, une autorisation est improbable. La commercialisation sur le marché gris comme produit anti-âge s’appuie sur des études chez le rat et n’a pas grand-chose à voir avec les applications étudiées chez l’humain.</w:t>
      </w:r>
    </w:p>
    <w:bookmarkEnd w:id="1152"/>
    <w:bookmarkStart w:id="1154" w:name="conclusion-20"/>
    <w:p>
      <w:pPr>
        <w:pStyle w:val="Heading3"/>
      </w:pPr>
      <w:r>
        <w:t xml:space="preserve">Conclusion</w:t>
      </w:r>
    </w:p>
    <w:p>
      <w:pPr>
        <w:pStyle w:val="FirstParagraph"/>
      </w:pPr>
      <w:r>
        <w:t xml:space="preserve">L’ARA-290 est un peptide dérivé de l’érythropoïétine, censé protéger les tissus sans stimuler l’hématopoïèse. Dans de petites études randomisées sur l’atteinte nerveuse liée à la sarcoïdose, les fibres nerveuses de la cornée ont augmenté, mais seulement à une dose sur trois, et les douleurs se sont aussi nettement améliorées sous placebo</w:t>
      </w:r>
      <w:r>
        <w:rPr>
          <w:rStyle w:val="FootnoteReference"/>
        </w:rPr>
        <w:footnoteReference w:id="1153"/>
      </w:r>
      <w:r>
        <w:t xml:space="preserve">. La tolérance était bonne dans les études courtes ; les données à long terme manquent. Depuis 2015, il n’y a pas de nouvelles études enregistrées ; dans le sport, l’ARA-290 est interdit.</w:t>
      </w:r>
    </w:p>
    <w:bookmarkEnd w:id="1154"/>
    <w:bookmarkEnd w:id="1155"/>
    <w:bookmarkStart w:id="1193" w:name="larazotide"/>
    <w:p>
      <w:pPr>
        <w:pStyle w:val="Heading2"/>
      </w:pPr>
      <w:r>
        <w:t xml:space="preserve">Larazotide</w:t>
      </w:r>
    </w:p>
    <w:p>
      <w:pPr>
        <w:pStyle w:val="FirstParagraph"/>
      </w:pPr>
      <w:r>
        <w:t xml:space="preserve">Le larazotide est le seul peptide de ce groupe à être parvenu jusqu’à une étude d’homologation de phase 3 sans avoir été autorisé auparavant nulle part. Il devait devenir le premier médicament contre la maladie cœliaque – une maladie pour laquelle seul un régime sans gluten à vie est efficace à ce jour. Le concept sous-jacent, l’étanchéification d’une paroi intestinale « perméable », rend aussi le larazotide intéressant pour le milieu du « leaky gut ». L’histoire de cette substance montre combien il est difficile de transformer une idée plausible en médicament efficace.</w:t>
      </w:r>
    </w:p>
    <w:bookmarkStart w:id="1157" w:name="fiche-signalétique-21"/>
    <w:p>
      <w:pPr>
        <w:pStyle w:val="Heading3"/>
      </w:pPr>
      <w:r>
        <w:t xml:space="preserve">Fiche signalétique</w:t>
      </w:r>
    </w:p>
    <w:p>
      <w:pPr>
        <w:numPr>
          <w:ilvl w:val="0"/>
          <w:numId w:val="1138"/>
        </w:numPr>
        <w:pStyle w:val="Compact"/>
      </w:pPr>
      <w:r>
        <w:rPr>
          <w:bCs/>
          <w:b/>
        </w:rPr>
        <w:t xml:space="preserve">Type et structure :</w:t>
      </w:r>
      <w:r>
        <w:t xml:space="preserve"> </w:t>
      </w:r>
      <w:r>
        <w:t xml:space="preserve">peptide de synthèse de 8 acides aminés</w:t>
      </w:r>
      <w:r>
        <w:rPr>
          <w:rStyle w:val="FootnoteReference"/>
        </w:rPr>
        <w:footnoteReference w:id="1156"/>
      </w:r>
      <w:r>
        <w:t xml:space="preserve">, sous forme de sel d’acétate (acétate de larazotide) ; code de développement AT-1001.</w:t>
      </w:r>
    </w:p>
    <w:p>
      <w:pPr>
        <w:numPr>
          <w:ilvl w:val="0"/>
          <w:numId w:val="1138"/>
        </w:numPr>
        <w:pStyle w:val="Compact"/>
      </w:pPr>
      <w:r>
        <w:rPr>
          <w:bCs/>
          <w:b/>
        </w:rPr>
        <w:t xml:space="preserve">Origine :</w:t>
      </w:r>
      <w:r>
        <w:t xml:space="preserve"> </w:t>
      </w:r>
      <w:r>
        <w:t xml:space="preserve">issu de la recherche sur la toxine zonula occludens de la bactérie du choléra, qui ouvre les jonctions entre les cellules intestinales ; le larazotide est censé agir en sens inverse.</w:t>
      </w:r>
    </w:p>
    <w:p>
      <w:pPr>
        <w:numPr>
          <w:ilvl w:val="0"/>
          <w:numId w:val="1138"/>
        </w:numPr>
        <w:pStyle w:val="Compact"/>
      </w:pPr>
      <w:r>
        <w:rPr>
          <w:bCs/>
          <w:b/>
        </w:rPr>
        <w:t xml:space="preserve">Principe d’action :</w:t>
      </w:r>
      <w:r>
        <w:t xml:space="preserve"> </w:t>
      </w:r>
      <w:r>
        <w:t xml:space="preserve">régulateur des « jonctions serrées » (tight junctions, les jonctions d’étanchéité entre les cellules intestinales) ; considéré comme antagoniste de la substance de signalisation endogène zonuline. Agit localement dans l’intestin et n’est pratiquement pas absorbé dans le sang.</w:t>
      </w:r>
    </w:p>
    <w:p>
      <w:pPr>
        <w:numPr>
          <w:ilvl w:val="0"/>
          <w:numId w:val="1138"/>
        </w:numPr>
        <w:pStyle w:val="Compact"/>
      </w:pPr>
      <w:r>
        <w:rPr>
          <w:bCs/>
          <w:b/>
        </w:rPr>
        <w:t xml:space="preserve">Autorisation UE/États-Unis :</w:t>
      </w:r>
      <w:r>
        <w:t xml:space="preserve"> </w:t>
      </w:r>
      <w:r>
        <w:t xml:space="preserve">non.</w:t>
      </w:r>
    </w:p>
    <w:p>
      <w:pPr>
        <w:numPr>
          <w:ilvl w:val="0"/>
          <w:numId w:val="1138"/>
        </w:numPr>
        <w:pStyle w:val="Compact"/>
      </w:pPr>
      <w:r>
        <w:rPr>
          <w:bCs/>
          <w:b/>
        </w:rPr>
        <w:t xml:space="preserve">AMA (WADA) :</w:t>
      </w:r>
      <w:r>
        <w:t xml:space="preserve"> </w:t>
      </w:r>
      <w:r>
        <w:t xml:space="preserve">non listé ; pas d’effet améliorant la performance identifiable.</w:t>
      </w:r>
    </w:p>
    <w:p>
      <w:pPr>
        <w:numPr>
          <w:ilvl w:val="0"/>
          <w:numId w:val="1138"/>
        </w:numPr>
        <w:pStyle w:val="Compact"/>
      </w:pPr>
      <w:r>
        <w:rPr>
          <w:bCs/>
          <w:b/>
        </w:rPr>
        <w:t xml:space="preserve">Niveau de preuve : B</w:t>
      </w:r>
      <w:r>
        <w:t xml:space="preserve"> </w:t>
      </w:r>
      <w:r>
        <w:t xml:space="preserve">– plusieurs études randomisées de phase 2 aux résultats mitigés ; l’étude de phase 3 a été interrompue, sans résultats publiés.</w:t>
      </w:r>
    </w:p>
    <w:bookmarkEnd w:id="1157"/>
    <w:bookmarkStart w:id="1160" w:name="mode-daction-supposé-21"/>
    <w:p>
      <w:pPr>
        <w:pStyle w:val="Heading3"/>
      </w:pPr>
      <w:r>
        <w:t xml:space="preserve">Mode d’action supposé</w:t>
      </w:r>
    </w:p>
    <w:p>
      <w:pPr>
        <w:pStyle w:val="FirstParagraph"/>
      </w:pPr>
      <w:r>
        <w:t xml:space="preserve">Dans la maladie cœliaque, le système immunitaire de personnes génétiquement prédisposées réagit au gluten, une protéine du blé, du seigle et de l’orge. Des fragments de gluten traversent la muqueuse intestinale et y déclenchent une inflammation qui détruit les villosités intestinales. Une partie de ces fragments passe probablement par les espaces entre les cellules intestinales. Ces espaces sont fermés par les jonctions serrées – une sorte de fermeture éclair moléculaire.</w:t>
      </w:r>
    </w:p>
    <w:p>
      <w:pPr>
        <w:pStyle w:val="BodyText"/>
      </w:pPr>
      <w:r>
        <w:t xml:space="preserve">La substance de signalisation zonuline peut ouvrir cette fermeture éclair ; la gliadine, un composant du gluten, libère de la zonuline. Le larazotide est censé bloquer cette voie. Dans des cultures de cellules intestinales humaines, le larazotide a empêché le réarrangement des protéines de jonction et réduit le passage d’un fragment de gliadine à travers la couche cellulaire ; chez des souris génétiquement modifiées sensibles au gluten, la structure des jonctions a été préservée</w:t>
      </w:r>
      <w:r>
        <w:rPr>
          <w:rStyle w:val="FootnoteReference"/>
        </w:rPr>
        <w:footnoteReference w:id="1158"/>
      </w:r>
      <w:r>
        <w:t xml:space="preserve">. Des travaux plus récents suggèrent en outre une inhibition de l’enzyme kinase des chaînes légères de la myosine, qui met les jonctions cellulaires sous tension</w:t>
      </w:r>
      <w:r>
        <w:rPr>
          <w:rStyle w:val="FootnoteReference"/>
        </w:rPr>
        <w:footnoteReference w:id="1159"/>
      </w:r>
      <w:r>
        <w:t xml:space="preserve">.</w:t>
      </w:r>
    </w:p>
    <w:p>
      <w:pPr>
        <w:pStyle w:val="BodyText"/>
      </w:pPr>
      <w:r>
        <w:t xml:space="preserve">Le larazotide n’a jamais été conçu comme substitut au régime sans gluten. L’objectif était un traitement d’appoint pour les personnes qui ont des symptômes malgré le régime – par exemple à cause de traces de gluten passées inaperçues.</w:t>
      </w:r>
    </w:p>
    <w:bookmarkEnd w:id="1160"/>
    <w:bookmarkStart w:id="1176" w:name="études-chez-lhumain-21"/>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4</w:t>
      </w:r>
      <w:r>
        <w:t xml:space="preserve"> </w:t>
      </w:r>
      <w:r>
        <w:t xml:space="preserve">études chez l’humain dans PubMed et</w:t>
      </w:r>
      <w:r>
        <w:t xml:space="preserve"> </w:t>
      </w:r>
      <w:r>
        <w:rPr>
          <w:bCs/>
          <w:b/>
        </w:rPr>
        <w:t xml:space="preserve">29</w:t>
      </w:r>
      <w:r>
        <w:t xml:space="preserve"> </w:t>
      </w:r>
      <w:r>
        <w:t xml:space="preserve">entrées sur ClinicalTrials.gov. Sur ces 29 entrées, 19 concernent toutefois un tout autre médicament : le migalastat contre la maladie de Fabry portait autrefois le même code de développement AT1001. Seules</w:t>
      </w:r>
      <w:r>
        <w:t xml:space="preserve"> </w:t>
      </w:r>
      <w:r>
        <w:rPr>
          <w:bCs/>
          <w:b/>
        </w:rPr>
        <w:t xml:space="preserve">10</w:t>
      </w:r>
      <w:r>
        <w:t xml:space="preserve"> </w:t>
      </w:r>
      <w:r>
        <w:t xml:space="preserve">entrées du registre concernent réellement le larazotide. Une méta-analyse de 2022 a regroupé quatre études randomisées avec 626 personnes</w:t>
      </w:r>
      <w:r>
        <w:rPr>
          <w:rStyle w:val="FootnoteReference"/>
        </w:rPr>
        <w:footnoteReference w:id="116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Provocation au gluten (Leffler 2012, PMID 22825365)</w:t>
            </w:r>
          </w:p>
        </w:tc>
        <w:tc>
          <w:tcPr/>
          <w:p>
            <w:pPr>
              <w:pStyle w:val="Compact"/>
              <w:jc w:val="left"/>
            </w:pPr>
            <w:r>
              <w:t xml:space="preserve">86 personnes atteintes de maladie cœliaque, ECR avec 4 doses et placebo</w:t>
            </w:r>
          </w:p>
        </w:tc>
        <w:tc>
          <w:tcPr/>
          <w:p>
            <w:pPr>
              <w:pStyle w:val="Compact"/>
              <w:jc w:val="left"/>
            </w:pPr>
            <w:r>
              <w:t xml:space="preserve">14 jours</w:t>
            </w:r>
          </w:p>
        </w:tc>
        <w:tc>
          <w:tcPr/>
          <w:p>
            <w:pPr>
              <w:pStyle w:val="Compact"/>
              <w:jc w:val="left"/>
            </w:pPr>
            <w:r>
              <w:t xml:space="preserve">test de perméabilité sans différence significative ; moins de symptômes avec certaines faibles doses</w:t>
            </w:r>
          </w:p>
        </w:tc>
      </w:tr>
      <w:tr>
        <w:tc>
          <w:tcPr/>
          <w:p>
            <w:pPr>
              <w:pStyle w:val="Compact"/>
              <w:jc w:val="left"/>
            </w:pPr>
            <w:r>
              <w:t xml:space="preserve">Provocation au gluten (Kelly 2013, PMID 23163616)</w:t>
            </w:r>
          </w:p>
        </w:tc>
        <w:tc>
          <w:tcPr/>
          <w:p>
            <w:pPr>
              <w:pStyle w:val="Compact"/>
              <w:jc w:val="left"/>
            </w:pPr>
            <w:r>
              <w:t xml:space="preserve">184 personnes, ECR avec 3 doses et placebo, 2,7 g de gluten par jour</w:t>
            </w:r>
          </w:p>
        </w:tc>
        <w:tc>
          <w:tcPr/>
          <w:p>
            <w:pPr>
              <w:pStyle w:val="Compact"/>
              <w:jc w:val="left"/>
            </w:pPr>
            <w:r>
              <w:t xml:space="preserve">6 semaines</w:t>
            </w:r>
          </w:p>
        </w:tc>
        <w:tc>
          <w:tcPr/>
          <w:p>
            <w:pPr>
              <w:pStyle w:val="Compact"/>
              <w:jc w:val="left"/>
            </w:pPr>
            <w:r>
              <w:t xml:space="preserve">perméabilité inchangée ; moins de symptômes seulement avec 1 mg ; moindre hausse des anticorps de la maladie cœliaque</w:t>
            </w:r>
          </w:p>
        </w:tc>
      </w:tr>
      <w:tr>
        <w:tc>
          <w:tcPr/>
          <w:p>
            <w:pPr>
              <w:pStyle w:val="Compact"/>
              <w:jc w:val="left"/>
            </w:pPr>
            <w:r>
              <w:t xml:space="preserve">Symptômes malgré le régime (Leffler 2015, PMID 25683116 ; NCT01396213)</w:t>
            </w:r>
          </w:p>
        </w:tc>
        <w:tc>
          <w:tcPr/>
          <w:p>
            <w:pPr>
              <w:pStyle w:val="Compact"/>
              <w:jc w:val="left"/>
            </w:pPr>
            <w:r>
              <w:t xml:space="preserve">342 personnes, ECR avec 3 doses et placebo</w:t>
            </w:r>
          </w:p>
        </w:tc>
        <w:tc>
          <w:tcPr/>
          <w:p>
            <w:pPr>
              <w:pStyle w:val="Compact"/>
              <w:jc w:val="left"/>
            </w:pPr>
            <w:r>
              <w:t xml:space="preserve">12 semaines</w:t>
            </w:r>
          </w:p>
        </w:tc>
        <w:tc>
          <w:tcPr/>
          <w:p>
            <w:pPr>
              <w:pStyle w:val="Compact"/>
              <w:jc w:val="left"/>
            </w:pPr>
            <w:r>
              <w:t xml:space="preserve">objectif principal atteint seulement avec la dose la plus faible (0,5 mg) ; 1 mg et 2 mg pas meilleurs que le placebo</w:t>
            </w:r>
          </w:p>
        </w:tc>
      </w:tr>
      <w:tr>
        <w:tc>
          <w:tcPr/>
          <w:p>
            <w:pPr>
              <w:pStyle w:val="Compact"/>
              <w:jc w:val="left"/>
            </w:pPr>
            <w:r>
              <w:t xml:space="preserve">CeDLara, phase 3 (NCT03569007)</w:t>
            </w:r>
          </w:p>
        </w:tc>
        <w:tc>
          <w:tcPr/>
          <w:p>
            <w:pPr>
              <w:pStyle w:val="Compact"/>
              <w:jc w:val="left"/>
            </w:pPr>
            <w:r>
              <w:t xml:space="preserve">307 personnes, randomisée, en aveugle</w:t>
            </w:r>
          </w:p>
        </w:tc>
        <w:tc>
          <w:tcPr/>
          <w:p>
            <w:pPr>
              <w:pStyle w:val="Compact"/>
              <w:jc w:val="left"/>
            </w:pPr>
            <w:r>
              <w:t xml:space="preserve">12 semaines prévues</w:t>
            </w:r>
          </w:p>
        </w:tc>
        <w:tc>
          <w:tcPr/>
          <w:p>
            <w:pPr>
              <w:pStyle w:val="Compact"/>
              <w:jc w:val="left"/>
            </w:pPr>
            <w:r>
              <w:t xml:space="preserve">interrompue par le promoteur en 2022 ; aucun résultat publié</w:t>
            </w:r>
          </w:p>
        </w:tc>
      </w:tr>
      <w:tr>
        <w:tc>
          <w:tcPr/>
          <w:p>
            <w:pPr>
              <w:pStyle w:val="Compact"/>
              <w:jc w:val="left"/>
            </w:pPr>
            <w:r>
              <w:t xml:space="preserve">MIS-C chez l’enfant (Yonker 2025, PMID 40737433)</w:t>
            </w:r>
          </w:p>
        </w:tc>
        <w:tc>
          <w:tcPr/>
          <w:p>
            <w:pPr>
              <w:pStyle w:val="Compact"/>
              <w:jc w:val="left"/>
            </w:pPr>
            <w:r>
              <w:t xml:space="preserve">12 enfants atteints d’un syndrome inflammatoire après la COVID-19, phase 2a, ECR</w:t>
            </w:r>
          </w:p>
        </w:tc>
        <w:tc>
          <w:tcPr/>
          <w:p>
            <w:pPr>
              <w:pStyle w:val="Compact"/>
              <w:jc w:val="left"/>
            </w:pPr>
            <w:r>
              <w:t xml:space="preserve">3 semaines</w:t>
            </w:r>
          </w:p>
        </w:tc>
        <w:tc>
          <w:tcPr/>
          <w:p>
            <w:pPr>
              <w:pStyle w:val="Compact"/>
              <w:jc w:val="left"/>
            </w:pPr>
            <w:r>
              <w:t xml:space="preserve">disparition plus rapide des troubles digestifs ; aucun effet indésirable dû au larazotide</w:t>
            </w:r>
          </w:p>
        </w:tc>
      </w:tr>
    </w:tbl>
    <w:bookmarkStart w:id="1166" w:name="maladie-cœliaque-phase-2"/>
    <w:p>
      <w:pPr>
        <w:pStyle w:val="Heading4"/>
      </w:pPr>
      <w:r>
        <w:t xml:space="preserve">Maladie cœliaque : phase 2</w:t>
      </w:r>
    </w:p>
    <w:p>
      <w:pPr>
        <w:pStyle w:val="FirstParagraph"/>
      </w:pPr>
      <w:r>
        <w:t xml:space="preserve">Dans les deux études avec provocation ciblée au gluten, le larazotide devait empêcher l’augmentation de la perméabilité intestinale. Celle-ci a été mesurée par un test aux sucres dans l’urine (rapport lactulose/mannitol). Ce test était si variable en conditions réelles qu’aucun effet n’a pu être démontré</w:t>
      </w:r>
      <w:r>
        <w:rPr>
          <w:rStyle w:val="FootnoteReference"/>
        </w:rPr>
        <w:footnoteReference w:id="1162"/>
      </w:r>
      <w:r>
        <w:t xml:space="preserve">. Les symptômes ont montré un schéma inhabituel : les faibles doses agissaient parfois mieux que les fortes. Dans l’étude avec 184 personnes, seule la dose de 1 mg a limité significativement les symptômes provoqués par le gluten ; en même temps, les anticorps de la maladie cœliaque augmentaient nettement moins sous toutes les doses de larazotide que sous placebo</w:t>
      </w:r>
      <w:r>
        <w:rPr>
          <w:rStyle w:val="FootnoteReference"/>
        </w:rPr>
        <w:footnoteReference w:id="1163"/>
      </w:r>
      <w:r>
        <w:t xml:space="preserve">.</w:t>
      </w:r>
    </w:p>
    <w:p>
      <w:pPr>
        <w:pStyle w:val="BodyText"/>
      </w:pPr>
      <w:r>
        <w:t xml:space="preserve">La plus grande étude de phase 2, avec 342 personnes qui avaient des symptômes malgré un régime sans gluten, n’a atteint son objectif principal qu’avec la dose la plus faible de 0,5 mg. Sous cette dose, il y a eu 26 pour cent de jours en moins avec des symptômes de la maladie cœliaque. Les doses plus élevées n’ont été meilleures que le placebo sur aucun critère ; les auteurs qualifient eux-mêmes les résultats de « mitigés »</w:t>
      </w:r>
      <w:r>
        <w:rPr>
          <w:rStyle w:val="FootnoteReference"/>
        </w:rPr>
        <w:footnoteReference w:id="1164"/>
      </w:r>
      <w:r>
        <w:t xml:space="preserve">. Un médicament dont seule la dose la plus faible agit est pharmacologiquement inhabituel et laisse planer le doute sur la nature réelle de l’effet ou sur le rôle du hasard.</w:t>
      </w:r>
    </w:p>
    <w:p>
      <w:pPr>
        <w:pStyle w:val="BodyText"/>
      </w:pPr>
      <w:r>
        <w:t xml:space="preserve">La méta-analyse n’a trouvé aucun effet sur la perméabilité intestinale, et une amélioration des symptômes seulement en cas de provocation au gluten, mais pas chez les personnes suivant un régime sans gluten – c’est-à-dire justement pas dans le groupe auquel le larazotide était destiné</w:t>
      </w:r>
      <w:r>
        <w:rPr>
          <w:rStyle w:val="FootnoteReference"/>
        </w:rPr>
        <w:footnoteReference w:id="1165"/>
      </w:r>
      <w:r>
        <w:t xml:space="preserve">.</w:t>
      </w:r>
    </w:p>
    <w:bookmarkEnd w:id="1166"/>
    <w:bookmarkStart w:id="1170" w:name="X36db2396ae6ec32eebe56d20e04efefa9640ffa"/>
    <w:p>
      <w:pPr>
        <w:pStyle w:val="Heading4"/>
      </w:pPr>
      <w:r>
        <w:t xml:space="preserve">Maladie cœliaque : l’étude de phase 3 CeDLara</w:t>
      </w:r>
    </w:p>
    <w:p>
      <w:pPr>
        <w:pStyle w:val="FirstParagraph"/>
      </w:pPr>
      <w:r>
        <w:t xml:space="preserve">Sur la base des résultats à 0,5 mg, l’étude de phase 3 CeDLara a démarré en 2019 avec du larazotide en microbilles gastrorésistantes</w:t>
      </w:r>
      <w:r>
        <w:rPr>
          <w:rStyle w:val="FootnoteReference"/>
        </w:rPr>
        <w:footnoteReference w:id="1167"/>
      </w:r>
      <w:r>
        <w:t xml:space="preserve">. Selon le registre, 307 personnes ont été incluses ; l’étude a été « arrêtée par le promoteur » en juillet 2022. À la connaissance de l’auteur, le fabricant de l’époque, 9 Meters Biopharma, a justifié l’arrêt par le fait qu’une analyse intermédiaire avait montré qu’il aurait fallu nettement plus de participants pour démontrer une différence avec le placebo. Il n’existe pas de publication scientifique des résultats dans PubMed. Des articles de synthèse constatent qu’à ce jour, aucun médicament contre la maladie cœliaque n’a mené à bien une étude de phase 3</w:t>
      </w:r>
      <w:r>
        <w:rPr>
          <w:rStyle w:val="FootnoteReference"/>
        </w:rPr>
        <w:footnoteReference w:id="1168"/>
      </w:r>
      <w:r>
        <w:t xml:space="preserve"> </w:t>
      </w:r>
      <w:r>
        <w:t xml:space="preserve">et qu’aucun traitement n’est démontré comme alternative efficace au régime sans gluten</w:t>
      </w:r>
      <w:r>
        <w:rPr>
          <w:rStyle w:val="FootnoteReference"/>
        </w:rPr>
        <w:footnoteReference w:id="1169"/>
      </w:r>
      <w:r>
        <w:t xml:space="preserve">.</w:t>
      </w:r>
    </w:p>
    <w:bookmarkEnd w:id="1170"/>
    <w:bookmarkStart w:id="1175" w:name="X004b962c3274415e8ca73d31f6a762dc3b06105"/>
    <w:p>
      <w:pPr>
        <w:pStyle w:val="Heading4"/>
      </w:pPr>
      <w:r>
        <w:t xml:space="preserve">Nouvelle application : syndrome inflammatoire après la COVID-19</w:t>
      </w:r>
    </w:p>
    <w:p>
      <w:pPr>
        <w:pStyle w:val="FirstParagraph"/>
      </w:pPr>
      <w:r>
        <w:t xml:space="preserve">Un groupe de recherche suppose que, dans le syndrome inflammatoire multisystémique de l’enfant (MIS-C) après la COVID-19, des composants viraux passent de l’intestin dans le sang. Dans une première série de cas avec quatre enfants, la protéine virale a disparu du sang sous larazotide, et les troubles digestifs se sont résorbés plus vite que chez 22 enfants de comparaison</w:t>
      </w:r>
      <w:r>
        <w:rPr>
          <w:rStyle w:val="FootnoteReference"/>
        </w:rPr>
        <w:footnoteReference w:id="1171"/>
      </w:r>
      <w:r>
        <w:t xml:space="preserve">. Une étude randomisée de phase 2a avec seulement 12 enfants a confirmé une amélioration plus rapide des symptômes ; aucun effet indésirable dû au larazotide n’a été observé</w:t>
      </w:r>
      <w:r>
        <w:rPr>
          <w:rStyle w:val="FootnoteReference"/>
        </w:rPr>
        <w:footnoteReference w:id="1172"/>
      </w:r>
      <w:r>
        <w:t xml:space="preserve">. L’étude a été interrompue en raison de la baisse du nombre de cas</w:t>
      </w:r>
      <w:r>
        <w:rPr>
          <w:rStyle w:val="FootnoteReference"/>
        </w:rPr>
        <w:footnoteReference w:id="1173"/>
      </w:r>
      <w:r>
        <w:t xml:space="preserve">. Une étude sur le COVID long avec 107 enfants et adultes est terminée depuis juin 2026 selon le registre</w:t>
      </w:r>
      <w:r>
        <w:rPr>
          <w:rStyle w:val="FootnoteReference"/>
        </w:rPr>
        <w:footnoteReference w:id="1174"/>
      </w:r>
      <w:r>
        <w:t xml:space="preserve"> </w:t>
      </w:r>
      <w:r>
        <w:t xml:space="preserve">; les résultats n’étaient pas publiés en octobre 2026.</w:t>
      </w:r>
    </w:p>
    <w:bookmarkEnd w:id="1175"/>
    <w:bookmarkEnd w:id="1176"/>
    <w:bookmarkStart w:id="1180" w:name="études-animales-et-de-laboratoire-21"/>
    <w:p>
      <w:pPr>
        <w:pStyle w:val="Heading3"/>
      </w:pPr>
      <w:r>
        <w:t xml:space="preserve">Études animales et de laboratoire</w:t>
      </w:r>
    </w:p>
    <w:p>
      <w:pPr>
        <w:pStyle w:val="FirstParagraph"/>
      </w:pPr>
      <w:r>
        <w:t xml:space="preserve">En dehors de la maladie cœliaque, le larazotide a été évalué dans des modèles animaux d’autres maladies avec altération de la barrière intestinale. Chez des souris prédisposées à l’arthrite, le larazotide a réduit l’apparition de l’arthrite</w:t>
      </w:r>
      <w:r>
        <w:rPr>
          <w:rStyle w:val="FootnoteReference"/>
        </w:rPr>
        <w:footnoteReference w:id="1177"/>
      </w:r>
      <w:r>
        <w:t xml:space="preserve">. Chez le porc, il a favorisé la récupération du tissu de l’intestin grêle après un trouble circulatoire</w:t>
      </w:r>
      <w:r>
        <w:rPr>
          <w:rStyle w:val="FootnoteReference"/>
        </w:rPr>
        <w:footnoteReference w:id="1178"/>
      </w:r>
      <w:r>
        <w:t xml:space="preserve">. Chez le rat, des effets ont été décrits dans la pancréatite aiguë et l’insuffisance hépatique aiguë</w:t>
      </w:r>
      <w:r>
        <w:rPr>
          <w:rStyle w:val="FootnoteReference"/>
        </w:rPr>
        <w:footnoteReference w:id="1179"/>
      </w:r>
      <w:r>
        <w:t xml:space="preserve">. Ce sont des expériences animales ; on ne peut en déduire aucune conclusion sur les rhumatismes, le pancréas ou le foie chez l’humain.</w:t>
      </w:r>
    </w:p>
    <w:bookmarkEnd w:id="1180"/>
    <w:bookmarkStart w:id="1186" w:name="risques-et-effets-indésirables-21"/>
    <w:p>
      <w:pPr>
        <w:pStyle w:val="Heading3"/>
      </w:pPr>
      <w:r>
        <w:t xml:space="preserve">Risques et effets indésirables</w:t>
      </w:r>
    </w:p>
    <w:bookmarkStart w:id="1184" w:name="établi-5"/>
    <w:p>
      <w:pPr>
        <w:pStyle w:val="Heading4"/>
      </w:pPr>
      <w:r>
        <w:t xml:space="preserve">Établi</w:t>
      </w:r>
    </w:p>
    <w:p>
      <w:pPr>
        <w:pStyle w:val="FirstParagraph"/>
      </w:pPr>
      <w:r>
        <w:t xml:space="preserve">Le larazotide a été bien toléré dans toutes les études. Dans l’étude avec 86 personnes, aucun effet indésirable grave n’est survenu ; les plus fréquents étaient les céphalées et les infections urinaires</w:t>
      </w:r>
      <w:r>
        <w:rPr>
          <w:rStyle w:val="FootnoteReference"/>
        </w:rPr>
        <w:footnoteReference w:id="1181"/>
      </w:r>
      <w:r>
        <w:t xml:space="preserve">. Dans la plus grande étude de phase 2, la sécurité était comparable au placebo</w:t>
      </w:r>
      <w:r>
        <w:rPr>
          <w:rStyle w:val="FootnoteReference"/>
        </w:rPr>
        <w:footnoteReference w:id="1182"/>
      </w:r>
      <w:r>
        <w:t xml:space="preserve">. La méta-analyse n’a trouvé globalement aucune accumulation d’effets indésirables par rapport au placebo</w:t>
      </w:r>
      <w:r>
        <w:rPr>
          <w:rStyle w:val="FootnoteReference"/>
        </w:rPr>
        <w:footnoteReference w:id="1183"/>
      </w:r>
      <w:r>
        <w:t xml:space="preserve">. Comme le larazotide ne passe pratiquement pas dans le sang, un profil de sécurité favorable est plausible.</w:t>
      </w:r>
    </w:p>
    <w:bookmarkEnd w:id="1184"/>
    <w:bookmarkStart w:id="1185" w:name="points-dattention-1"/>
    <w:p>
      <w:pPr>
        <w:pStyle w:val="Heading4"/>
      </w:pPr>
      <w:r>
        <w:t xml:space="preserve">Points d’attention</w:t>
      </w:r>
    </w:p>
    <w:p>
      <w:pPr>
        <w:numPr>
          <w:ilvl w:val="0"/>
          <w:numId w:val="1139"/>
        </w:numPr>
        <w:pStyle w:val="Compact"/>
      </w:pPr>
      <w:r>
        <w:rPr>
          <w:bCs/>
          <w:b/>
        </w:rPr>
        <w:t xml:space="preserve">Pas d’alternative au régime :</w:t>
      </w:r>
      <w:r>
        <w:t xml:space="preserve"> </w:t>
      </w:r>
      <w:r>
        <w:t xml:space="preserve">même dans les études positives, le larazotide n’a pas protégé contre les lésions dues à de plus grandes quantités de gluten. Quiconque relâche le régime sans gluten en raison d’un tel produit risque des lésions intestinales.</w:t>
      </w:r>
    </w:p>
    <w:p>
      <w:pPr>
        <w:numPr>
          <w:ilvl w:val="0"/>
          <w:numId w:val="1139"/>
        </w:numPr>
        <w:pStyle w:val="Compact"/>
      </w:pPr>
      <w:r>
        <w:rPr>
          <w:bCs/>
          <w:b/>
        </w:rPr>
        <w:t xml:space="preserve">Marché gris :</w:t>
      </w:r>
      <w:r>
        <w:t xml:space="preserve"> </w:t>
      </w:r>
      <w:r>
        <w:t xml:space="preserve">le larazotide est proposé ponctuellement comme « peptide leaky gut ». Les études utilisaient une forme pharmaceutique gastrorésistante spéciale ; on ignore si les produits vendus librement amènent seulement la substance jusqu’à son site d’action. Pour le concept de « leaky gut » sans maladie cœliaque, il n’existe aucune étude avec le larazotide.</w:t>
      </w:r>
    </w:p>
    <w:bookmarkEnd w:id="1185"/>
    <w:bookmarkEnd w:id="1186"/>
    <w:bookmarkStart w:id="1187" w:name="statut-juridique-21"/>
    <w:p>
      <w:pPr>
        <w:pStyle w:val="Heading3"/>
      </w:pPr>
      <w:r>
        <w:t xml:space="preserve">Statut juridique</w:t>
      </w:r>
    </w:p>
    <w:p>
      <w:pPr>
        <w:pStyle w:val="FirstParagraph"/>
      </w:pPr>
      <w:r>
        <w:rPr>
          <w:iCs/>
          <w:i/>
        </w:rPr>
        <w:t xml:space="preserve">État 2026, à vérifier.</w:t>
      </w:r>
    </w:p>
    <w:p>
      <w:pPr>
        <w:numPr>
          <w:ilvl w:val="0"/>
          <w:numId w:val="1140"/>
        </w:numPr>
        <w:pStyle w:val="Compact"/>
      </w:pPr>
      <w:r>
        <w:rPr>
          <w:bCs/>
          <w:b/>
        </w:rPr>
        <w:t xml:space="preserve">UE, Allemagne, Autriche :</w:t>
      </w:r>
      <w:r>
        <w:t xml:space="preserve"> </w:t>
      </w:r>
      <w:r>
        <w:t xml:space="preserve">non autorisé.</w:t>
      </w:r>
    </w:p>
    <w:p>
      <w:pPr>
        <w:numPr>
          <w:ilvl w:val="0"/>
          <w:numId w:val="1140"/>
        </w:numPr>
        <w:pStyle w:val="Compact"/>
      </w:pPr>
      <w:r>
        <w:rPr>
          <w:bCs/>
          <w:b/>
        </w:rPr>
        <w:t xml:space="preserve">États-Unis :</w:t>
      </w:r>
      <w:r>
        <w:t xml:space="preserve"> </w:t>
      </w:r>
      <w:r>
        <w:t xml:space="preserve">non autorisé. À la connaissance de l’auteur, le développeur avait obtenu de la FDA une procédure accélérée (« Fast Track ») pour la maladie cœliaque ; après l’arrêt de l’étude de phase 3, aucune demande d’autorisation n’a été déposée.</w:t>
      </w:r>
    </w:p>
    <w:p>
      <w:pPr>
        <w:numPr>
          <w:ilvl w:val="0"/>
          <w:numId w:val="1140"/>
        </w:numPr>
        <w:pStyle w:val="Compact"/>
      </w:pPr>
      <w:r>
        <w:rPr>
          <w:bCs/>
          <w:b/>
        </w:rPr>
        <w:t xml:space="preserve">AMA (WADA) :</w:t>
      </w:r>
      <w:r>
        <w:t xml:space="preserve"> </w:t>
      </w:r>
      <w:r>
        <w:t xml:space="preserve">non listé.</w:t>
      </w:r>
    </w:p>
    <w:bookmarkEnd w:id="1187"/>
    <w:bookmarkStart w:id="1190" w:name="études-en-cours-et-perspectives-21"/>
    <w:p>
      <w:pPr>
        <w:pStyle w:val="Heading3"/>
      </w:pPr>
      <w:r>
        <w:t xml:space="preserve">Études en cours et perspectives</w:t>
      </w:r>
    </w:p>
    <w:p>
      <w:pPr>
        <w:pStyle w:val="FirstParagraph"/>
      </w:pPr>
      <w:r>
        <w:rPr>
          <w:bCs/>
          <w:b/>
        </w:rPr>
        <w:t xml:space="preserve">Établi :</w:t>
      </w:r>
      <w:r>
        <w:t xml:space="preserve"> </w:t>
      </w:r>
      <w:r>
        <w:t xml:space="preserve">en octobre 2026, aucune étude en cours sur le larazotide n’est enregistrée sur ClinicalTrials.gov. L’étude sur le COVID long</w:t>
      </w:r>
      <w:r>
        <w:rPr>
          <w:rStyle w:val="FootnoteReference"/>
        </w:rPr>
        <w:footnoteReference w:id="1188"/>
      </w:r>
      <w:r>
        <w:t xml:space="preserve"> </w:t>
      </w:r>
      <w:r>
        <w:t xml:space="preserve">est terminée, les résultats sont attendus.</w:t>
      </w:r>
    </w:p>
    <w:p>
      <w:pPr>
        <w:pStyle w:val="BodyText"/>
      </w:pPr>
      <w:r>
        <w:rPr>
          <w:bCs/>
          <w:b/>
        </w:rPr>
        <w:t xml:space="preserve">Appréciation de l’auteur :</w:t>
      </w:r>
      <w:r>
        <w:t xml:space="preserve"> </w:t>
      </w:r>
      <w:r>
        <w:t xml:space="preserve">pour la maladie cœliaque, le larazotide n’a sans doute plus d’avenir après l’arrêt de CeDLara, à moins qu’un nouveau développeur ne reprenne les droits. D’autres approches – enzymes dégradant le gluten, inhibiteurs de la transglutaminase 2 ou méthodes d’induction de tolérance immunitaire – sont actuellement considérées comme plus prometteuses</w:t>
      </w:r>
      <w:r>
        <w:rPr>
          <w:rStyle w:val="FootnoteReference"/>
        </w:rPr>
        <w:footnoteReference w:id="1189"/>
      </w:r>
      <w:r>
        <w:t xml:space="preserve">. Pour le MIS-C et le COVID long, la suite du développement dépend des résultats encore non publiés.</w:t>
      </w:r>
    </w:p>
    <w:bookmarkEnd w:id="1190"/>
    <w:bookmarkStart w:id="1192" w:name="conclusion-21"/>
    <w:p>
      <w:pPr>
        <w:pStyle w:val="Heading3"/>
      </w:pPr>
      <w:r>
        <w:t xml:space="preserve">Conclusion</w:t>
      </w:r>
    </w:p>
    <w:p>
      <w:pPr>
        <w:pStyle w:val="FirstParagraph"/>
      </w:pPr>
      <w:r>
        <w:t xml:space="preserve">Le larazotide est un peptide de huit acides aminés censé rendre étanches les jonctions entre les cellules intestinales ; il a été la première substance contre la maladie cœliaque à atteindre une étude de phase 3. Dans les études de phase 2, les résultats étaient mitigés : aucun effet sur la perméabilité intestinale n’a pu être démontré, et pour les symptômes persistant malgré le régime, seule la dose la plus faible a agi</w:t>
      </w:r>
      <w:r>
        <w:rPr>
          <w:rStyle w:val="FootnoteReference"/>
        </w:rPr>
        <w:footnoteReference w:id="1191"/>
      </w:r>
      <w:r>
        <w:t xml:space="preserve">. L’étude de phase 3 CeDLara a été interrompue en 2022, et ses résultats n’ont pas été publiés. Le larazotide est bien toléré, mais il n’est ni autorisé ni démontré efficace – et il ne remplace pas le régime sans gluten.</w:t>
      </w:r>
    </w:p>
    <w:bookmarkEnd w:id="1192"/>
    <w:bookmarkEnd w:id="1193"/>
    <w:bookmarkStart w:id="1222" w:name="thymaline-et-thymogène"/>
    <w:p>
      <w:pPr>
        <w:pStyle w:val="Heading2"/>
      </w:pPr>
      <w:r>
        <w:t xml:space="preserve">Thymaline et thymogène</w:t>
      </w:r>
    </w:p>
    <w:p>
      <w:pPr>
        <w:pStyle w:val="FirstParagraph"/>
      </w:pPr>
      <w:r>
        <w:t xml:space="preserve">La thymaline est un extrait de thymus de veau, le thymogène un dipeptide de synthèse qui en est dérivé. Tous deux sont issus de la médecine militaire soviétique des années 1970 et 1980 et sont aujourd’hui encore commercialisés en Russie comme médicaments. Dans les milieux occidentaux de la longévité, ils sont commercialisés comme « biorégulateurs » censés « rajeunir » le système immunitaire et prolonger la vie. Ces promesses reposent presque exclusivement sur les recherches d’une seule école, autour du gérontologue pétersbourgeois Vladimir Khavinson. Ce chapitre fait le point sur ces recherches – et explique pourquoi leurs résultats doivent être lus avec une grande prudence.</w:t>
      </w:r>
    </w:p>
    <w:bookmarkStart w:id="1197" w:name="fiche-signalétique-22"/>
    <w:p>
      <w:pPr>
        <w:pStyle w:val="Heading3"/>
      </w:pPr>
      <w:r>
        <w:t xml:space="preserve">Fiche signalétique</w:t>
      </w:r>
    </w:p>
    <w:p>
      <w:pPr>
        <w:numPr>
          <w:ilvl w:val="0"/>
          <w:numId w:val="1141"/>
        </w:numPr>
        <w:pStyle w:val="Compact"/>
      </w:pPr>
      <w:r>
        <w:rPr>
          <w:bCs/>
          <w:b/>
        </w:rPr>
        <w:t xml:space="preserve">Thymaline :</w:t>
      </w:r>
      <w:r>
        <w:t xml:space="preserve"> </w:t>
      </w:r>
      <w:r>
        <w:t xml:space="preserve">mélange de peptides obtenu par extraction acide à partir du thymus de veau</w:t>
      </w:r>
      <w:r>
        <w:rPr>
          <w:rStyle w:val="FootnoteReference"/>
        </w:rPr>
        <w:footnoteReference w:id="1194"/>
      </w:r>
      <w:r>
        <w:t xml:space="preserve"> </w:t>
      </w:r>
      <w:r>
        <w:t xml:space="preserve">; pas de substance définie de manière homogène. Les dipeptides Lys-Glu (KE) et Glu-Trp (EW) sont cités comme principaux composants actifs</w:t>
      </w:r>
      <w:r>
        <w:rPr>
          <w:rStyle w:val="FootnoteReference"/>
        </w:rPr>
        <w:footnoteReference w:id="1195"/>
      </w:r>
      <w:r>
        <w:t xml:space="preserve">.</w:t>
      </w:r>
    </w:p>
    <w:p>
      <w:pPr>
        <w:numPr>
          <w:ilvl w:val="0"/>
          <w:numId w:val="1141"/>
        </w:numPr>
        <w:pStyle w:val="Compact"/>
      </w:pPr>
      <w:r>
        <w:rPr>
          <w:bCs/>
          <w:b/>
        </w:rPr>
        <w:t xml:space="preserve">Thymogène :</w:t>
      </w:r>
      <w:r>
        <w:t xml:space="preserve"> </w:t>
      </w:r>
      <w:r>
        <w:t xml:space="preserve">dipeptide de synthèse L-Glu-L-Trp, isolé à partir de la thymaline</w:t>
      </w:r>
      <w:r>
        <w:rPr>
          <w:rStyle w:val="FootnoteReference"/>
        </w:rPr>
        <w:footnoteReference w:id="1196"/>
      </w:r>
      <w:r>
        <w:t xml:space="preserve"> </w:t>
      </w:r>
      <w:r>
        <w:t xml:space="preserve">; disponible en Russie aussi en spray nasal.</w:t>
      </w:r>
    </w:p>
    <w:p>
      <w:pPr>
        <w:numPr>
          <w:ilvl w:val="0"/>
          <w:numId w:val="1141"/>
        </w:numPr>
        <w:pStyle w:val="Compact"/>
      </w:pPr>
      <w:r>
        <w:rPr>
          <w:bCs/>
          <w:b/>
        </w:rPr>
        <w:t xml:space="preserve">Principe d’action (allégué) :</w:t>
      </w:r>
      <w:r>
        <w:t xml:space="preserve"> </w:t>
      </w:r>
      <w:r>
        <w:t xml:space="preserve">stimulation de la maturation des lymphocytes T, « normalisation » de la fonction immunitaire et de la coagulation ; selon la théorie de Khavinson, les peptides courts agissent comme « biorégulateurs » directement sur l’activité des gènes.</w:t>
      </w:r>
    </w:p>
    <w:p>
      <w:pPr>
        <w:numPr>
          <w:ilvl w:val="0"/>
          <w:numId w:val="1141"/>
        </w:numPr>
        <w:pStyle w:val="Compact"/>
      </w:pPr>
      <w:r>
        <w:rPr>
          <w:bCs/>
          <w:b/>
        </w:rPr>
        <w:t xml:space="preserve">Autorisation :</w:t>
      </w:r>
      <w:r>
        <w:t xml:space="preserve"> </w:t>
      </w:r>
      <w:r>
        <w:t xml:space="preserve">autorisés comme médicaments en Russie et dans quelques États successeurs de l’Union soviétique ;</w:t>
      </w:r>
      <w:r>
        <w:t xml:space="preserve"> </w:t>
      </w:r>
      <w:r>
        <w:rPr>
          <w:bCs/>
          <w:b/>
        </w:rPr>
        <w:t xml:space="preserve">UE et États-Unis :</w:t>
      </w:r>
      <w:r>
        <w:t xml:space="preserve"> </w:t>
      </w:r>
      <w:r>
        <w:t xml:space="preserve">non.</w:t>
      </w:r>
    </w:p>
    <w:p>
      <w:pPr>
        <w:numPr>
          <w:ilvl w:val="0"/>
          <w:numId w:val="1141"/>
        </w:numPr>
        <w:pStyle w:val="Compact"/>
      </w:pPr>
      <w:r>
        <w:rPr>
          <w:bCs/>
          <w:b/>
        </w:rPr>
        <w:t xml:space="preserve">AMA (WADA) :</w:t>
      </w:r>
      <w:r>
        <w:t xml:space="preserve"> </w:t>
      </w:r>
      <w:r>
        <w:t xml:space="preserve">non expressément listés.</w:t>
      </w:r>
    </w:p>
    <w:p>
      <w:pPr>
        <w:numPr>
          <w:ilvl w:val="0"/>
          <w:numId w:val="1141"/>
        </w:numPr>
        <w:pStyle w:val="Compact"/>
      </w:pPr>
      <w:r>
        <w:rPr>
          <w:bCs/>
          <w:b/>
        </w:rPr>
        <w:t xml:space="preserve">Niveau de preuve : C</w:t>
      </w:r>
      <w:r>
        <w:t xml:space="preserve"> </w:t>
      </w:r>
      <w:r>
        <w:t xml:space="preserve">– majoritairement de petites études en ouvert ou insuffisamment décrites ; une seule étude décrite comme randomisée et contrôlée contre placebo dans PubMed.</w:t>
      </w:r>
    </w:p>
    <w:bookmarkEnd w:id="1197"/>
    <w:bookmarkStart w:id="1201" w:name="mode-daction-supposé-22"/>
    <w:p>
      <w:pPr>
        <w:pStyle w:val="Heading3"/>
      </w:pPr>
      <w:r>
        <w:t xml:space="preserve">Mode d’action supposé</w:t>
      </w:r>
    </w:p>
    <w:p>
      <w:pPr>
        <w:pStyle w:val="FirstParagraph"/>
      </w:pPr>
      <w:r>
        <w:t xml:space="preserve">L’idée suit la même logique que pour la thymosine alpha 1 (voir ce chapitre) : le thymus forme les lymphocytes T et s’atrophie avec l’âge, donc des messagers thymiques devraient renforcer les défenses. Mais alors que la thymosine alpha 1 est un peptide précisément défini, de séquence connue, la thymaline est un mélange de nombreux composants d’origine animale.</w:t>
      </w:r>
    </w:p>
    <w:p>
      <w:pPr>
        <w:pStyle w:val="BodyText"/>
      </w:pPr>
      <w:r>
        <w:t xml:space="preserve">À partir de ce mélange, les chercheurs ont isolé le dipeptide Glu-Trp et l’ont mis sur le marché sous forme synthétique, sous le nom de thymogène. Il est censé favoriser la différenciation des lymphocytes T et la reconnaissance des antigènes ainsi qu’activer les cellules phagocytaires</w:t>
      </w:r>
      <w:r>
        <w:rPr>
          <w:rStyle w:val="FootnoteReference"/>
        </w:rPr>
        <w:footnoteReference w:id="1198"/>
      </w:r>
      <w:r>
        <w:t xml:space="preserve">.</w:t>
      </w:r>
    </w:p>
    <w:p>
      <w:pPr>
        <w:pStyle w:val="BodyText"/>
      </w:pPr>
      <w:r>
        <w:t xml:space="preserve">Khavinson en a tiré une théorie plus large : des peptides courts issus de différents organes agiraient de manière spécifique aux tissus et « réguleraient » l’activité des gènes – des peptides de l’épiphyse pour l’épiphyse, du thymus pour le système immunitaire, et ainsi de suite</w:t>
      </w:r>
      <w:r>
        <w:rPr>
          <w:rStyle w:val="FootnoteReference"/>
        </w:rPr>
        <w:footnoteReference w:id="1199"/>
      </w:r>
      <w:r>
        <w:t xml:space="preserve">. L’épitalon, traité dans la partie II · D, est aussi issu de cette école. Cette théorie n’a guère été vérifiée en dehors du groupe de travail et ne correspond pas à la compréhension générale du mode d’action des messagers peptidiques – à savoir, en règle générale, via des récepteurs à la surface des cellules. Les travaux récents du groupe fondent le mécanisme surtout sur des simulations informatiques de liaison au matériel génétique et sur des cultures cellulaires</w:t>
      </w:r>
      <w:r>
        <w:rPr>
          <w:rStyle w:val="FootnoteReference"/>
        </w:rPr>
        <w:footnoteReference w:id="1200"/>
      </w:r>
      <w:r>
        <w:t xml:space="preserve">.</w:t>
      </w:r>
    </w:p>
    <w:bookmarkEnd w:id="1201"/>
    <w:bookmarkStart w:id="1210" w:name="études-chez-lhumain-22"/>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a trouvé</w:t>
      </w:r>
      <w:r>
        <w:t xml:space="preserve"> </w:t>
      </w:r>
      <w:r>
        <w:rPr>
          <w:bCs/>
          <w:b/>
        </w:rPr>
        <w:t xml:space="preserve">17</w:t>
      </w:r>
      <w:r>
        <w:t xml:space="preserve"> </w:t>
      </w:r>
      <w:r>
        <w:t xml:space="preserve">études chez l’humain dans PubMed et</w:t>
      </w:r>
      <w:r>
        <w:t xml:space="preserve"> </w:t>
      </w:r>
      <w:r>
        <w:rPr>
          <w:bCs/>
          <w:b/>
        </w:rPr>
        <w:t xml:space="preserve">0</w:t>
      </w:r>
      <w:r>
        <w:t xml:space="preserve"> </w:t>
      </w:r>
      <w:r>
        <w:t xml:space="preserve">entrée sur ClinicalTrials.gov. Au total, PubMed recense environ 290 publications sur la thymaline ou le thymogène ; environ 250 sont en russe, et une seule mentionne « randomisé » ou « placebo » dans son titre ou son résumé. Pour la plupart des études chez l’humain, PubMed ne présente qu’un bref résumé en russe ou en ukrainien, souvent sans indication du nombre de participants, du groupe témoin ou de l’aveugle.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 Prolongation de la vie » (Khavinson 2003, PMID 14523363)</w:t>
            </w:r>
          </w:p>
        </w:tc>
        <w:tc>
          <w:tcPr/>
          <w:p>
            <w:pPr>
              <w:pStyle w:val="Compact"/>
              <w:jc w:val="left"/>
            </w:pPr>
            <w:r>
              <w:t xml:space="preserve">266 personnes âgées, thymaline et/ou épithalamine vs contrôle ; répartition et aveugle non décrits</w:t>
            </w:r>
          </w:p>
        </w:tc>
        <w:tc>
          <w:tcPr/>
          <w:p>
            <w:pPr>
              <w:pStyle w:val="Compact"/>
              <w:jc w:val="left"/>
            </w:pPr>
            <w:r>
              <w:t xml:space="preserve">6–8 ans d’observation</w:t>
            </w:r>
          </w:p>
        </w:tc>
        <w:tc>
          <w:tcPr/>
          <w:p>
            <w:pPr>
              <w:pStyle w:val="Compact"/>
              <w:jc w:val="left"/>
            </w:pPr>
            <w:r>
              <w:t xml:space="preserve">mortalité 2,0 à 2,1 fois plus faible dans le groupe thymaline que dans le groupe témoin</w:t>
            </w:r>
          </w:p>
        </w:tc>
      </w:tr>
      <w:tr>
        <w:tc>
          <w:tcPr/>
          <w:p>
            <w:pPr>
              <w:pStyle w:val="Compact"/>
              <w:jc w:val="left"/>
            </w:pPr>
            <w:r>
              <w:t xml:space="preserve">Avant chirurgie abdominale (Smirnov 2011, PMID 21957588)</w:t>
            </w:r>
          </w:p>
        </w:tc>
        <w:tc>
          <w:tcPr/>
          <w:p>
            <w:pPr>
              <w:pStyle w:val="Compact"/>
              <w:jc w:val="left"/>
            </w:pPr>
            <w:r>
              <w:t xml:space="preserve">personnes âgées avec tumeurs abdominales, ECR en double aveugle contre placebo, thymogène en gouttes nasales ; nombre de participants non indiqué dans le résumé</w:t>
            </w:r>
          </w:p>
        </w:tc>
        <w:tc>
          <w:tcPr/>
          <w:p>
            <w:pPr>
              <w:pStyle w:val="Compact"/>
              <w:jc w:val="left"/>
            </w:pPr>
            <w:r>
              <w:t xml:space="preserve">7 jours avant l’opération</w:t>
            </w:r>
          </w:p>
        </w:tc>
        <w:tc>
          <w:tcPr/>
          <w:p>
            <w:pPr>
              <w:pStyle w:val="Compact"/>
              <w:jc w:val="left"/>
            </w:pPr>
            <w:r>
              <w:t xml:space="preserve">moins de complications postopératoires</w:t>
            </w:r>
          </w:p>
        </w:tc>
      </w:tr>
      <w:tr>
        <w:tc>
          <w:tcPr/>
          <w:p>
            <w:pPr>
              <w:pStyle w:val="Compact"/>
              <w:jc w:val="left"/>
            </w:pPr>
            <w:r>
              <w:t xml:space="preserve">COVID-19 sévère (Kuznik 2022, PMID 36169363)</w:t>
            </w:r>
          </w:p>
        </w:tc>
        <w:tc>
          <w:tcPr/>
          <w:p>
            <w:pPr>
              <w:pStyle w:val="Compact"/>
              <w:jc w:val="left"/>
            </w:pPr>
            <w:r>
              <w:t xml:space="preserve">trois groupes : traitement de base, plus tocilizumab, plus thymaline ; répartition non décrite</w:t>
            </w:r>
          </w:p>
        </w:tc>
        <w:tc>
          <w:tcPr/>
          <w:p>
            <w:pPr>
              <w:pStyle w:val="Compact"/>
              <w:jc w:val="left"/>
            </w:pPr>
            <w:r>
              <w:t xml:space="preserve">durée d’hospitalisation</w:t>
            </w:r>
          </w:p>
        </w:tc>
        <w:tc>
          <w:tcPr/>
          <w:p>
            <w:pPr>
              <w:pStyle w:val="Compact"/>
              <w:jc w:val="left"/>
            </w:pPr>
            <w:r>
              <w:t xml:space="preserve">mortalité hospitalière 40,9 %, 28,4 % et 20,6 %</w:t>
            </w:r>
          </w:p>
        </w:tc>
      </w:tr>
      <w:tr>
        <w:tc>
          <w:tcPr/>
          <w:p>
            <w:pPr>
              <w:pStyle w:val="Compact"/>
              <w:jc w:val="left"/>
            </w:pPr>
            <w:r>
              <w:t xml:space="preserve">Schizophrénie résistante au traitement (Govorin 1990, PMID 2163147)</w:t>
            </w:r>
          </w:p>
        </w:tc>
        <w:tc>
          <w:tcPr/>
          <w:p>
            <w:pPr>
              <w:pStyle w:val="Compact"/>
              <w:jc w:val="left"/>
            </w:pPr>
            <w:r>
              <w:t xml:space="preserve">36 personnes, sans groupe témoin</w:t>
            </w:r>
          </w:p>
        </w:tc>
        <w:tc>
          <w:tcPr/>
          <w:p>
            <w:pPr>
              <w:pStyle w:val="Compact"/>
              <w:jc w:val="left"/>
            </w:pPr>
            <w:r>
              <w:t xml:space="preserve">non indiquée</w:t>
            </w:r>
          </w:p>
        </w:tc>
        <w:tc>
          <w:tcPr/>
          <w:p>
            <w:pPr>
              <w:pStyle w:val="Compact"/>
              <w:jc w:val="left"/>
            </w:pPr>
            <w:r>
              <w:t xml:space="preserve">amélioration des symptômes psychiques rapportée</w:t>
            </w:r>
          </w:p>
        </w:tc>
      </w:tr>
      <w:tr>
        <w:tc>
          <w:tcPr/>
          <w:p>
            <w:pPr>
              <w:pStyle w:val="Compact"/>
              <w:jc w:val="left"/>
            </w:pPr>
            <w:r>
              <w:t xml:space="preserve">Parkinson (Musienko 1999, PMID 10424021)</w:t>
            </w:r>
          </w:p>
        </w:tc>
        <w:tc>
          <w:tcPr/>
          <w:p>
            <w:pPr>
              <w:pStyle w:val="Compact"/>
              <w:jc w:val="left"/>
            </w:pPr>
            <w:r>
              <w:t xml:space="preserve">15 personnes, sans groupe témoin</w:t>
            </w:r>
          </w:p>
        </w:tc>
        <w:tc>
          <w:tcPr/>
          <w:p>
            <w:pPr>
              <w:pStyle w:val="Compact"/>
              <w:jc w:val="left"/>
            </w:pPr>
            <w:r>
              <w:t xml:space="preserve">une série de traitements</w:t>
            </w:r>
          </w:p>
        </w:tc>
        <w:tc>
          <w:tcPr/>
          <w:p>
            <w:pPr>
              <w:pStyle w:val="Compact"/>
              <w:jc w:val="left"/>
            </w:pPr>
            <w:r>
              <w:t xml:space="preserve">amélioration du bien-être et des symptômes rapportée</w:t>
            </w:r>
          </w:p>
        </w:tc>
      </w:tr>
    </w:tbl>
    <w:bookmarkStart w:id="1203" w:name="Xec70fe379d19f36bcc90e97131cca51d4dd409a"/>
    <w:p>
      <w:pPr>
        <w:pStyle w:val="Heading4"/>
      </w:pPr>
      <w:r>
        <w:t xml:space="preserve">L’étude à long terme sur la prolongation de la vie</w:t>
      </w:r>
    </w:p>
    <w:p>
      <w:pPr>
        <w:pStyle w:val="FirstParagraph"/>
      </w:pPr>
      <w:r>
        <w:t xml:space="preserve">Le travail le plus connu est aussi le plus problématique. Sur six à huit ans, 266 personnes âgées ont été suivies à Saint-Pétersbourg et à Kiev, dont certaines ont reçu au cours des deux à trois premières années de la thymaline, de l’épithalamine ou les deux. Les auteurs rapportent une mortalité 2,0 à 2,1 fois plus faible sous thymaline et 4,1 fois plus faible avec un traitement combiné annuel sur six ans</w:t>
      </w:r>
      <w:r>
        <w:rPr>
          <w:rStyle w:val="FootnoteReference"/>
        </w:rPr>
        <w:footnoteReference w:id="1202"/>
      </w:r>
      <w:r>
        <w:t xml:space="preserve">.</w:t>
      </w:r>
    </w:p>
    <w:p>
      <w:pPr>
        <w:pStyle w:val="BodyText"/>
      </w:pPr>
      <w:r>
        <w:t xml:space="preserve">De tels effets seraient spectaculaires – plus importants qu’avec presque n’importe quel médicament établi. Le résumé ne décrit cependant ni comment les participants ont été répartis entre les groupes, ni s’il y avait un aveugle, ni combien de personnes comptait chaque groupe. Les personnes en meilleure santé et plus actives participent plus volontiers à un traitement de plusieurs années ; sans répartition aléatoire, une telle différence peut naître de ce seul fait. Il n’existe pas de réplications indépendantes.</w:t>
      </w:r>
    </w:p>
    <w:bookmarkEnd w:id="1203"/>
    <w:bookmarkStart w:id="1206" w:name="covid-19-1"/>
    <w:p>
      <w:pPr>
        <w:pStyle w:val="Heading4"/>
      </w:pPr>
      <w:r>
        <w:t xml:space="preserve">COVID-19</w:t>
      </w:r>
    </w:p>
    <w:p>
      <w:pPr>
        <w:pStyle w:val="FirstParagraph"/>
      </w:pPr>
      <w:r>
        <w:t xml:space="preserve">Pendant la pandémie, le groupe de travail a rapporté l’utilisation de la thymaline chez des patients gravement atteints de COVID-19. Dans une analyse, la mortalité hospitalière était de 40,9 pour cent sous traitement de base, de 28,4 pour cent avec du tocilizumab en plus et de 20,6 pour cent avec de la thymaline en plus</w:t>
      </w:r>
      <w:r>
        <w:rPr>
          <w:rStyle w:val="FootnoteReference"/>
        </w:rPr>
        <w:footnoteReference w:id="1204"/>
      </w:r>
      <w:r>
        <w:t xml:space="preserve">. Le résumé n’indique pas comment les personnes ont été réparties entre les groupes ni quelle était la taille des groupes. Un autre travail fait état d’une baisse plus rapide des marqueurs inflammatoires et de coagulation</w:t>
      </w:r>
      <w:r>
        <w:rPr>
          <w:rStyle w:val="FootnoteReference"/>
        </w:rPr>
        <w:footnoteReference w:id="1205"/>
      </w:r>
      <w:r>
        <w:t xml:space="preserve">. Après l’expérience de la thymosine alpha 1, pour laquelle des données observationnelles précoces favorables ne se sont pas confirmées dans des études plus grandes (voir ce chapitre), ces chiffres ne sont pas fiables sans confirmation randomisée.</w:t>
      </w:r>
    </w:p>
    <w:bookmarkEnd w:id="1206"/>
    <w:bookmarkStart w:id="1208" w:name="la-seule-étude-contrôlée-contre-placebo"/>
    <w:p>
      <w:pPr>
        <w:pStyle w:val="Heading4"/>
      </w:pPr>
      <w:r>
        <w:t xml:space="preserve">La seule étude contrôlée contre placebo</w:t>
      </w:r>
    </w:p>
    <w:p>
      <w:pPr>
        <w:pStyle w:val="FirstParagraph"/>
      </w:pPr>
      <w:r>
        <w:t xml:space="preserve">La seule étude décrite comme en double aveugle, randomisée et contrôlée contre placebo a examiné des gouttes nasales de thymogène chez des personnes âgées avant une opération de tumeurs abdominales. Elle rapporte moins de complications postopératoires et une cicatrisation plus rapide</w:t>
      </w:r>
      <w:r>
        <w:rPr>
          <w:rStyle w:val="FootnoteReference"/>
        </w:rPr>
        <w:footnoteReference w:id="1207"/>
      </w:r>
      <w:r>
        <w:t xml:space="preserve">. Le résumé russe n’indique ni le nombre de participants ni l’ampleur des effets.</w:t>
      </w:r>
    </w:p>
    <w:bookmarkEnd w:id="1208"/>
    <w:bookmarkStart w:id="1209" w:name="autres-études"/>
    <w:p>
      <w:pPr>
        <w:pStyle w:val="Heading4"/>
      </w:pPr>
      <w:r>
        <w:t xml:space="preserve">Autres études</w:t>
      </w:r>
    </w:p>
    <w:p>
      <w:pPr>
        <w:pStyle w:val="FirstParagraph"/>
      </w:pPr>
      <w:r>
        <w:t xml:space="preserve">Les autres études chez l’humain datent majoritairement des années 1980 et 1990 et couvrent un éventail étonnamment large : tuberculose, dysenterie, érysipèle, plaies purulentes, péritonite chez l’enfant, pancréatite, rectocolite hémorragique, inflammations des organes génitaux féminins, schizophrénie et Parkinson. Presque toujours, la thymaline ou le thymogène étaient administrés en plus du traitement standard, sans placebo et le plus souvent sans répartition aléatoire. On mesurait souvent des valeurs biologiques du système immunitaire, et non des critères cliniques forts comme la guérison ou la survie.</w:t>
      </w:r>
    </w:p>
    <w:bookmarkEnd w:id="1209"/>
    <w:bookmarkEnd w:id="1210"/>
    <w:bookmarkStart w:id="1213" w:name="études-animales-et-de-laboratoire-22"/>
    <w:p>
      <w:pPr>
        <w:pStyle w:val="Heading3"/>
      </w:pPr>
      <w:r>
        <w:t xml:space="preserve">Études animales et de laboratoire</w:t>
      </w:r>
    </w:p>
    <w:p>
      <w:pPr>
        <w:pStyle w:val="FirstParagraph"/>
      </w:pPr>
      <w:r>
        <w:t xml:space="preserve">Les études animales proviennent elles aussi majoritairement de groupes de travail russes et ukrainiens. Chez 76 rats ayant reçu pendant douze mois du Glu-Trp (thymogène) ou du sérum physiologique, la durée de vie moyenne était identique ; les dix pour cent vivant le plus longtemps vivaient plus longtemps sous thymogène, et les tumeurs étaient plus rares</w:t>
      </w:r>
      <w:r>
        <w:rPr>
          <w:rStyle w:val="FootnoteReference"/>
        </w:rPr>
        <w:footnoteReference w:id="1211"/>
      </w:r>
      <w:r>
        <w:t xml:space="preserve">. Dans des cultures de cellules souches sanguines humaines, la thymaline a influencé leur différenciation</w:t>
      </w:r>
      <w:r>
        <w:rPr>
          <w:rStyle w:val="FootnoteReference"/>
        </w:rPr>
        <w:footnoteReference w:id="1212"/>
      </w:r>
      <w:r>
        <w:t xml:space="preserve">. D’autres travaux décrivent des effets sur la coagulation, la cancérogenèse après irradiation ou exposition chimique et les infections chez les rongeurs.</w:t>
      </w:r>
    </w:p>
    <w:bookmarkEnd w:id="1213"/>
    <w:bookmarkStart w:id="1214" w:name="X6450b2b90d555cb067d8bb224a988dc8daa9c32"/>
    <w:p>
      <w:pPr>
        <w:pStyle w:val="Heading3"/>
      </w:pPr>
      <w:r>
        <w:t xml:space="preserve">Qualité de la recherche : une mise en perspective critique</w:t>
      </w:r>
    </w:p>
    <w:p>
      <w:pPr>
        <w:pStyle w:val="FirstParagraph"/>
      </w:pPr>
      <w:r>
        <w:t xml:space="preserve">Pour évaluer la thymaline et le thymogène, l’origine des données est plus importante que les résultats individuels :</w:t>
      </w:r>
    </w:p>
    <w:p>
      <w:pPr>
        <w:numPr>
          <w:ilvl w:val="0"/>
          <w:numId w:val="1142"/>
        </w:numPr>
        <w:pStyle w:val="Compact"/>
      </w:pPr>
      <w:r>
        <w:rPr>
          <w:bCs/>
          <w:b/>
        </w:rPr>
        <w:t xml:space="preserve">Une seule école, pratiquement aucune confirmation indépendante.</w:t>
      </w:r>
      <w:r>
        <w:t xml:space="preserve"> </w:t>
      </w:r>
      <w:r>
        <w:t xml:space="preserve">Une grande partie des travaux provient de Khavinson, de ses collaborateurs ou d’instituts partenaires. Selon PubMed, Khavinson a participé à plus de 80 des quelque 290 publications ; beaucoup d’autres proviennent de groupes étroitement liés. Les études de réplication indépendantes occidentales font défaut.</w:t>
      </w:r>
    </w:p>
    <w:p>
      <w:pPr>
        <w:numPr>
          <w:ilvl w:val="0"/>
          <w:numId w:val="1142"/>
        </w:numPr>
        <w:pStyle w:val="Compact"/>
      </w:pPr>
      <w:r>
        <w:rPr>
          <w:bCs/>
          <w:b/>
        </w:rPr>
        <w:t xml:space="preserve">Langue et accessibilité.</w:t>
      </w:r>
      <w:r>
        <w:t xml:space="preserve"> </w:t>
      </w:r>
      <w:r>
        <w:t xml:space="preserve">Environ 250 des travaux sont en russe, souvent avec un simple résumé succinct dans PubMed. Les textes intégraux sont difficiles d’accès, et les méthodes à peine vérifiables.</w:t>
      </w:r>
    </w:p>
    <w:p>
      <w:pPr>
        <w:numPr>
          <w:ilvl w:val="0"/>
          <w:numId w:val="1142"/>
        </w:numPr>
        <w:pStyle w:val="Compact"/>
      </w:pPr>
      <w:r>
        <w:rPr>
          <w:bCs/>
          <w:b/>
        </w:rPr>
        <w:t xml:space="preserve">Conception des études.</w:t>
      </w:r>
      <w:r>
        <w:t xml:space="preserve"> </w:t>
      </w:r>
      <w:r>
        <w:t xml:space="preserve">Presque aucune étude n’est randomisée, en aveugle et préenregistrée selon les normes actuelles. Aucune étude n’est inscrite sur ClinicalTrials.gov.</w:t>
      </w:r>
    </w:p>
    <w:p>
      <w:pPr>
        <w:numPr>
          <w:ilvl w:val="0"/>
          <w:numId w:val="1142"/>
        </w:numPr>
        <w:pStyle w:val="Compact"/>
      </w:pPr>
      <w:r>
        <w:rPr>
          <w:bCs/>
          <w:b/>
        </w:rPr>
        <w:t xml:space="preserve">Effets inhabituellement importants dans de très nombreuses maladies.</w:t>
      </w:r>
      <w:r>
        <w:t xml:space="preserve"> </w:t>
      </w:r>
      <w:r>
        <w:t xml:space="preserve">Une préparation qui agirait de la même façon sur la tuberculose, la schizophrénie, le Parkinson, la COVID-19 et le vieillissement, et qui réduirait de moitié la mortalité, est d’un point de vue méthodologique un signal d’alerte, pas une recommandation.</w:t>
      </w:r>
    </w:p>
    <w:p>
      <w:pPr>
        <w:numPr>
          <w:ilvl w:val="0"/>
          <w:numId w:val="1142"/>
        </w:numPr>
        <w:pStyle w:val="Compact"/>
      </w:pPr>
      <w:r>
        <w:rPr>
          <w:bCs/>
          <w:b/>
        </w:rPr>
        <w:t xml:space="preserve">Conflits d’intérêts.</w:t>
      </w:r>
      <w:r>
        <w:t xml:space="preserve"> </w:t>
      </w:r>
      <w:r>
        <w:t xml:space="preserve">Le groupe de travail a lui-même développé les préparations ; à la connaissance de l’auteur, des « biorégulateurs » issus de cette école sont commercialisés à l’international comme compléments alimentaires. Les évaluations indépendantes par des chercheurs sans de tels liens font défaut.</w:t>
      </w:r>
    </w:p>
    <w:p>
      <w:pPr>
        <w:pStyle w:val="FirstParagraph"/>
      </w:pPr>
      <w:r>
        <w:t xml:space="preserve">Cela ne signifie pas que tous les résultats sont forcément faux. Cela signifie que, selon les critères de ce livre, ils ne peuvent pas être considérés comme la preuve d’un bénéfice tant qu’ils ne sont pas confirmés par des études indépendantes rigoureusement conçues.</w:t>
      </w:r>
    </w:p>
    <w:bookmarkEnd w:id="1214"/>
    <w:bookmarkStart w:id="1217" w:name="risques-et-effets-indésirables-22"/>
    <w:p>
      <w:pPr>
        <w:pStyle w:val="Heading3"/>
      </w:pPr>
      <w:r>
        <w:t xml:space="preserve">Risques et effets indésirables</w:t>
      </w:r>
    </w:p>
    <w:bookmarkStart w:id="1215" w:name="établi-6"/>
    <w:p>
      <w:pPr>
        <w:pStyle w:val="Heading4"/>
      </w:pPr>
      <w:r>
        <w:t xml:space="preserve">Établi</w:t>
      </w:r>
    </w:p>
    <w:p>
      <w:pPr>
        <w:pStyle w:val="FirstParagraph"/>
      </w:pPr>
      <w:r>
        <w:t xml:space="preserve">Il n’existe pas de données de sécurité recueillies systématiquement selon les normes actuelles. Les études disponibles ne rapportent guère d’effets indésirables – ce qui signifie peu pour de petites études non menées en aveugle.</w:t>
      </w:r>
    </w:p>
    <w:bookmarkEnd w:id="1215"/>
    <w:bookmarkStart w:id="1216" w:name="théorique-2"/>
    <w:p>
      <w:pPr>
        <w:pStyle w:val="Heading4"/>
      </w:pPr>
      <w:r>
        <w:t xml:space="preserve">Théorique</w:t>
      </w:r>
    </w:p>
    <w:p>
      <w:pPr>
        <w:numPr>
          <w:ilvl w:val="0"/>
          <w:numId w:val="1143"/>
        </w:numPr>
        <w:pStyle w:val="Compact"/>
      </w:pPr>
      <w:r>
        <w:rPr>
          <w:bCs/>
          <w:b/>
        </w:rPr>
        <w:t xml:space="preserve">Matière première animale :</w:t>
      </w:r>
      <w:r>
        <w:t xml:space="preserve"> </w:t>
      </w:r>
      <w:r>
        <w:t xml:space="preserve">la thymaline est un extrait de thymus de veau. Les extraits animaux comportent par principe des risques d’impuretés, de variations entre les lots et de réactions allergiques. La transmission d’agents pathogènes à partir de tissus bovins est également un risque théorique, qui dépend de la qualité de fabrication.</w:t>
      </w:r>
    </w:p>
    <w:p>
      <w:pPr>
        <w:numPr>
          <w:ilvl w:val="0"/>
          <w:numId w:val="1143"/>
        </w:numPr>
        <w:pStyle w:val="Compact"/>
      </w:pPr>
      <w:r>
        <w:rPr>
          <w:bCs/>
          <w:b/>
        </w:rPr>
        <w:t xml:space="preserve">Stimulation immunitaire :</w:t>
      </w:r>
      <w:r>
        <w:t xml:space="preserve"> </w:t>
      </w:r>
      <w:r>
        <w:t xml:space="preserve">en cas de maladie auto-immune ou après une transplantation d’organe, une stimulation du système immunitaire pourrait être nocive. Les données à ce sujet font défaut.</w:t>
      </w:r>
    </w:p>
    <w:p>
      <w:pPr>
        <w:numPr>
          <w:ilvl w:val="0"/>
          <w:numId w:val="1143"/>
        </w:numPr>
        <w:pStyle w:val="Compact"/>
      </w:pPr>
      <w:r>
        <w:rPr>
          <w:bCs/>
          <w:b/>
        </w:rPr>
        <w:t xml:space="preserve">Marché gris et « biorégulateurs » :</w:t>
      </w:r>
      <w:r>
        <w:t xml:space="preserve"> </w:t>
      </w:r>
      <w:r>
        <w:t xml:space="preserve">hors de Russie, la thymaline, le thymogène et des produits apparentés sont distribués via Internet, parfois en solution injectable, parfois en gélules portant la désignation « biorégulateur ». L’origine, la teneur et la qualité de ces produits ne sont pas vérifiables.</w:t>
      </w:r>
    </w:p>
    <w:bookmarkEnd w:id="1216"/>
    <w:bookmarkEnd w:id="1217"/>
    <w:bookmarkStart w:id="1218" w:name="statut-juridique-22"/>
    <w:p>
      <w:pPr>
        <w:pStyle w:val="Heading3"/>
      </w:pPr>
      <w:r>
        <w:t xml:space="preserve">Statut juridique</w:t>
      </w:r>
    </w:p>
    <w:p>
      <w:pPr>
        <w:pStyle w:val="FirstParagraph"/>
      </w:pPr>
      <w:r>
        <w:rPr>
          <w:iCs/>
          <w:i/>
        </w:rPr>
        <w:t xml:space="preserve">État 2026, à vérifier.</w:t>
      </w:r>
    </w:p>
    <w:p>
      <w:pPr>
        <w:numPr>
          <w:ilvl w:val="0"/>
          <w:numId w:val="1144"/>
        </w:numPr>
        <w:pStyle w:val="Compact"/>
      </w:pPr>
      <w:r>
        <w:rPr>
          <w:bCs/>
          <w:b/>
        </w:rPr>
        <w:t xml:space="preserve">Russie et quelques États successeurs de l’Union soviétique :</w:t>
      </w:r>
      <w:r>
        <w:t xml:space="preserve"> </w:t>
      </w:r>
      <w:r>
        <w:t xml:space="preserve">la thymaline et le thymogène sont autorisés comme médicaments.</w:t>
      </w:r>
    </w:p>
    <w:p>
      <w:pPr>
        <w:numPr>
          <w:ilvl w:val="0"/>
          <w:numId w:val="1144"/>
        </w:numPr>
        <w:pStyle w:val="Compact"/>
      </w:pPr>
      <w:r>
        <w:rPr>
          <w:bCs/>
          <w:b/>
        </w:rPr>
        <w:t xml:space="preserve">UE, Allemagne, Autriche :</w:t>
      </w:r>
      <w:r>
        <w:t xml:space="preserve"> </w:t>
      </w:r>
      <w:r>
        <w:t xml:space="preserve">pas d’autorisation. L’importation et la délivrance en vue d’un usage humain ne sont permises que dans les conditions strictes du droit pharmaceutique de chaque pays. Les gélules d’extraits d’organes vendues comme compléments alimentaires ne doivent promettre aucun effet sur des maladies ; leur éventuelle qualification de médicament dépend du cas d’espèce.</w:t>
      </w:r>
    </w:p>
    <w:p>
      <w:pPr>
        <w:numPr>
          <w:ilvl w:val="0"/>
          <w:numId w:val="1144"/>
        </w:numPr>
        <w:pStyle w:val="Compact"/>
      </w:pPr>
      <w:r>
        <w:rPr>
          <w:bCs/>
          <w:b/>
        </w:rPr>
        <w:t xml:space="preserve">États-Unis :</w:t>
      </w:r>
      <w:r>
        <w:t xml:space="preserve"> </w:t>
      </w:r>
      <w:r>
        <w:t xml:space="preserve">pas d’autorisation de la FDA.</w:t>
      </w:r>
    </w:p>
    <w:p>
      <w:pPr>
        <w:numPr>
          <w:ilvl w:val="0"/>
          <w:numId w:val="1144"/>
        </w:numPr>
        <w:pStyle w:val="Compact"/>
      </w:pPr>
      <w:r>
        <w:rPr>
          <w:bCs/>
          <w:b/>
        </w:rPr>
        <w:t xml:space="preserve">AMA (WADA) :</w:t>
      </w:r>
      <w:r>
        <w:t xml:space="preserve"> </w:t>
      </w:r>
      <w:r>
        <w:t xml:space="preserve">non cités nommément.</w:t>
      </w:r>
    </w:p>
    <w:bookmarkEnd w:id="1218"/>
    <w:bookmarkStart w:id="1219" w:name="études-en-cours-et-perspectives-22"/>
    <w:p>
      <w:pPr>
        <w:pStyle w:val="Heading3"/>
      </w:pPr>
      <w:r>
        <w:t xml:space="preserve">Études en cours et perspectives</w:t>
      </w:r>
    </w:p>
    <w:p>
      <w:pPr>
        <w:pStyle w:val="FirstParagraph"/>
      </w:pPr>
      <w:r>
        <w:rPr>
          <w:bCs/>
          <w:b/>
        </w:rPr>
        <w:t xml:space="preserve">Établi :</w:t>
      </w:r>
      <w:r>
        <w:t xml:space="preserve"> </w:t>
      </w:r>
      <w:r>
        <w:t xml:space="preserve">en octobre 2026, aucune étude sur la thymaline ou le thymogène n’est enregistrée sur ClinicalTrials.gov.</w:t>
      </w:r>
    </w:p>
    <w:p>
      <w:pPr>
        <w:pStyle w:val="BodyText"/>
      </w:pPr>
      <w:r>
        <w:rPr>
          <w:bCs/>
          <w:b/>
        </w:rPr>
        <w:t xml:space="preserve">Appréciation de l’auteur :</w:t>
      </w:r>
      <w:r>
        <w:t xml:space="preserve"> </w:t>
      </w:r>
      <w:r>
        <w:t xml:space="preserve">une autorisation dans l’UE ou aux États-Unis est exclue sans nouvelles études menées selon les normes internationales, et de telles études ne sont pas en vue. La thymaline et le thymogène resteront donc vraisemblablement un phénomène du marché de la santé russophone et du milieu international de la longévité.</w:t>
      </w:r>
    </w:p>
    <w:bookmarkEnd w:id="1219"/>
    <w:bookmarkStart w:id="1221" w:name="conclusion-22"/>
    <w:p>
      <w:pPr>
        <w:pStyle w:val="Heading3"/>
      </w:pPr>
      <w:r>
        <w:t xml:space="preserve">Conclusion</w:t>
      </w:r>
    </w:p>
    <w:p>
      <w:pPr>
        <w:pStyle w:val="FirstParagraph"/>
      </w:pPr>
      <w:r>
        <w:t xml:space="preserve">La thymaline est un extrait de thymus de veau, le thymogène un dipeptide qui en est dérivé ; tous deux sont autorisés en Russie et promus en Occident comme « biorégulateurs » pour prolonger la vie. Les données proviennent presque entièrement d’une seule école de recherche russe, sont majoritairement publiées en russe et se composent de petites études, le plus souvent non randomisées. La réduction de moitié de la mortalité chez les personnes âgées, souvent citée</w:t>
      </w:r>
      <w:r>
        <w:rPr>
          <w:rStyle w:val="FootnoteReference"/>
        </w:rPr>
        <w:footnoteReference w:id="1220"/>
      </w:r>
      <w:r>
        <w:t xml:space="preserve">, repose sur une étude dont la conception n’est pas décrite de manière compréhensible dans le résumé. Un bénéfice n’est pas démontré selon les critères actuels, et la qualité des produits vendus librement est inconnue.</w:t>
      </w:r>
    </w:p>
    <w:bookmarkEnd w:id="1221"/>
    <w:bookmarkEnd w:id="1222"/>
    <w:bookmarkEnd w:id="1223"/>
    <w:bookmarkStart w:id="1603" w:name="Xe074f2d2327a9a6bb383a1a96e347ee1724bb9c"/>
    <w:p>
      <w:pPr>
        <w:pStyle w:val="Heading1"/>
      </w:pPr>
      <w:r>
        <w:t xml:space="preserve">Partie II · C – Axe de l’hormone de croissance</w:t>
      </w:r>
    </w:p>
    <w:p>
      <w:pPr>
        <w:pStyle w:val="FirstParagraph"/>
      </w:pPr>
      <w:r>
        <w:t xml:space="preserve">L’hormone de croissance (GH, de l’anglais</w:t>
      </w:r>
      <w:r>
        <w:t xml:space="preserve"> </w:t>
      </w:r>
      <w:r>
        <w:rPr>
          <w:iCs/>
          <w:i/>
        </w:rPr>
        <w:t xml:space="preserve">growth hormone</w:t>
      </w:r>
      <w:r>
        <w:t xml:space="preserve">) est l’une des hormones les plus mythifiées qui soient. Dans les salles de sport, elle passe pour l’hormone du muscle et de la combustion des graisses, et dans les cabinets anti-âge pour une « fontaine de jouvence ». La véritable hormone de croissance est une grosse protéine, coûteuse et soumise à prescription. Les peptides de cette partie promettent une voie apparemment plus élégante : ils sont censés amener l’organisme à libérer</w:t>
      </w:r>
      <w:r>
        <w:t xml:space="preserve"> </w:t>
      </w:r>
      <w:r>
        <w:rPr>
          <w:iCs/>
          <w:i/>
        </w:rPr>
        <w:t xml:space="preserve">davantage de sa propre</w:t>
      </w:r>
      <w:r>
        <w:t xml:space="preserve"> </w:t>
      </w:r>
      <w:r>
        <w:t xml:space="preserve">hormone de croissance – ou ils fournissent directement le messager situé en aval, l’IGF-1.</w:t>
      </w:r>
    </w:p>
    <w:bookmarkStart w:id="1225" w:name="laxe-en-quatre-étapes"/>
    <w:p>
      <w:pPr>
        <w:pStyle w:val="Heading3"/>
      </w:pPr>
      <w:r>
        <w:t xml:space="preserve">L’axe en quatre étapes</w:t>
      </w:r>
    </w:p>
    <w:p>
      <w:pPr>
        <w:numPr>
          <w:ilvl w:val="0"/>
          <w:numId w:val="1145"/>
        </w:numPr>
        <w:pStyle w:val="Compact"/>
      </w:pPr>
      <w:r>
        <w:rPr>
          <w:bCs/>
          <w:b/>
        </w:rPr>
        <w:t xml:space="preserve">La GHRH</w:t>
      </w:r>
      <w:r>
        <w:t xml:space="preserve"> </w:t>
      </w:r>
      <w:r>
        <w:t xml:space="preserve">(hormone de libération de l’hormone de croissance), issue du diencéphale, donne à l’hypophyse le signal de libération. Son antagoniste, la somatostatine, la freine.</w:t>
      </w:r>
    </w:p>
    <w:p>
      <w:pPr>
        <w:numPr>
          <w:ilvl w:val="0"/>
          <w:numId w:val="1145"/>
        </w:numPr>
        <w:pStyle w:val="Compact"/>
      </w:pPr>
      <w:r>
        <w:rPr>
          <w:bCs/>
          <w:b/>
        </w:rPr>
        <w:t xml:space="preserve">La ghréline</w:t>
      </w:r>
      <w:r>
        <w:t xml:space="preserve">, une hormone de l’estomac, renforce la libération via son propre récepteur (GHS-R1a) et donne en même temps faim</w:t>
      </w:r>
      <w:r>
        <w:rPr>
          <w:rStyle w:val="FootnoteReference"/>
        </w:rPr>
        <w:footnoteReference w:id="1224"/>
      </w:r>
      <w:r>
        <w:t xml:space="preserve">.</w:t>
      </w:r>
    </w:p>
    <w:p>
      <w:pPr>
        <w:numPr>
          <w:ilvl w:val="0"/>
          <w:numId w:val="1145"/>
        </w:numPr>
        <w:pStyle w:val="Compact"/>
      </w:pPr>
      <w:r>
        <w:rPr>
          <w:bCs/>
          <w:b/>
        </w:rPr>
        <w:t xml:space="preserve">L’hormone de croissance</w:t>
      </w:r>
      <w:r>
        <w:t xml:space="preserve"> </w:t>
      </w:r>
      <w:r>
        <w:t xml:space="preserve">est libérée par l’hypophyse par pulsations, surtout la nuit.</w:t>
      </w:r>
    </w:p>
    <w:p>
      <w:pPr>
        <w:numPr>
          <w:ilvl w:val="0"/>
          <w:numId w:val="1145"/>
        </w:numPr>
        <w:pStyle w:val="Compact"/>
      </w:pPr>
      <w:r>
        <w:rPr>
          <w:bCs/>
          <w:b/>
        </w:rPr>
        <w:t xml:space="preserve">L’IGF-1</w:t>
      </w:r>
      <w:r>
        <w:t xml:space="preserve"> </w:t>
      </w:r>
      <w:r>
        <w:t xml:space="preserve">(facteur de croissance insulinomimétique de type 1) est produit principalement dans le foie en réponse à l’hormone de croissance et transmet nombre de ses effets anaboliques. Des taux élevés d’IGF-1 freinent à leur tour l’axe.</w:t>
      </w:r>
    </w:p>
    <w:p>
      <w:pPr>
        <w:pStyle w:val="FirstParagraph"/>
      </w:pPr>
      <w:r>
        <w:t xml:space="preserve">Les substances de cette partie agissent à différentes étapes : les</w:t>
      </w:r>
      <w:r>
        <w:t xml:space="preserve"> </w:t>
      </w:r>
      <w:r>
        <w:rPr>
          <w:bCs/>
          <w:b/>
        </w:rPr>
        <w:t xml:space="preserve">analogues de la GHRH</w:t>
      </w:r>
      <w:r>
        <w:t xml:space="preserve"> </w:t>
      </w:r>
      <w:r>
        <w:t xml:space="preserve">(sermoréline, tésamoréline, CJC-1295) sur le récepteur de la GHRH, les</w:t>
      </w:r>
      <w:r>
        <w:t xml:space="preserve"> </w:t>
      </w:r>
      <w:r>
        <w:rPr>
          <w:bCs/>
          <w:b/>
        </w:rPr>
        <w:t xml:space="preserve">mimétiques de la ghréline</w:t>
      </w:r>
      <w:r>
        <w:t xml:space="preserve"> </w:t>
      </w:r>
      <w:r>
        <w:t xml:space="preserve">(ipamoréline, GHRP-2, GHRP-6, hexaréline, macimoréline et, à titre de comparaison, le non-peptide ibutamorène) sur le récepteur de la ghréline, l’</w:t>
      </w:r>
      <w:r>
        <w:rPr>
          <w:bCs/>
          <w:b/>
        </w:rPr>
        <w:t xml:space="preserve">IGF-1 et ses variantes</w:t>
      </w:r>
      <w:r>
        <w:t xml:space="preserve"> </w:t>
      </w:r>
      <w:r>
        <w:t xml:space="preserve">(mécasermine, IGF-1 LR3) directement en bout de chaîne.</w:t>
      </w:r>
    </w:p>
    <w:bookmarkEnd w:id="1225"/>
    <w:bookmarkStart w:id="1228" w:name="pourquoi-ce-groupe-est-si-populaire"/>
    <w:p>
      <w:pPr>
        <w:pStyle w:val="Heading3"/>
      </w:pPr>
      <w:r>
        <w:t xml:space="preserve">Pourquoi ce groupe est si populaire</w:t>
      </w:r>
    </w:p>
    <w:p>
      <w:pPr>
        <w:pStyle w:val="FirstParagraph"/>
      </w:pPr>
      <w:r>
        <w:t xml:space="preserve">L’hormone de croissance réduit la graisse et augmente la masse maigre – c’est bien établi. Une synthèse d’études randomisées chez des personnes jeunes et entraînées a trouvé une augmentation de la masse maigre de 2,1 kg, mais aucune amélioration de la force ou de l’endurance, avec en revanche davantage de rétention d’eau et de fatigue</w:t>
      </w:r>
      <w:r>
        <w:rPr>
          <w:rStyle w:val="FootnoteReference"/>
        </w:rPr>
        <w:footnoteReference w:id="1226"/>
      </w:r>
      <w:r>
        <w:t xml:space="preserve">. Chez des personnes âgées en bonne santé, la masse grasse a baissé de 2,1 kg et la masse maigre a augmenté de 2,1 kg ; dans le même temps, les œdèmes, les douleurs articulaires, le syndrome du canal carpien et l’augmentation du volume des seins chez l’homme étaient plus fréquents</w:t>
      </w:r>
      <w:r>
        <w:rPr>
          <w:rStyle w:val="FootnoteReference"/>
        </w:rPr>
        <w:footnoteReference w:id="1227"/>
      </w:r>
      <w:r>
        <w:t xml:space="preserve">. Comme la sécrétion d’hormone de croissance diminue avec l’âge, l’idée de « remonter le temps » s’impose. Les sécrétagogues passent pour une alternative plus douce, car la régulation propre de l’organisme est préservée. S’y ajoute le fait que beaucoup d’entre eux sont disponibles en ligne à bas prix comme « research peptides ».</w:t>
      </w:r>
    </w:p>
    <w:p>
      <w:pPr>
        <w:pStyle w:val="BodyText"/>
      </w:pPr>
      <w:r>
        <w:t xml:space="preserve">Le schéma qui traverse presque tous les chapitres : l’IGF-1 et la masse maigre augmentent, mais la force, la fonction ou l’évolution des maladies s’améliorent à peine dans les études contrôlées – tandis que la glycémie, la rétention d’eau et, pour certaines substances, les hormones de stress augmentent.</w:t>
      </w:r>
    </w:p>
    <w:bookmarkEnd w:id="1228"/>
    <w:bookmarkStart w:id="1235" w:name="la-principale-question-ouverte-le-cancer"/>
    <w:p>
      <w:pPr>
        <w:pStyle w:val="Heading3"/>
      </w:pPr>
      <w:r>
        <w:t xml:space="preserve">La principale question ouverte : le cancer</w:t>
      </w:r>
    </w:p>
    <w:p>
      <w:pPr>
        <w:pStyle w:val="FirstParagraph"/>
      </w:pPr>
      <w:r>
        <w:t xml:space="preserve">L’IGF-1 favorise la division cellulaire et maintient les cellules en vie. La question de savoir si une élévation durable augmente le risque de cancer est la question de sécurité centrale de ce groupe. Les données, résumées sobrement :</w:t>
      </w:r>
    </w:p>
    <w:p>
      <w:pPr>
        <w:numPr>
          <w:ilvl w:val="0"/>
          <w:numId w:val="1146"/>
        </w:numPr>
        <w:pStyle w:val="Compact"/>
      </w:pPr>
      <w:r>
        <w:rPr>
          <w:bCs/>
          <w:b/>
        </w:rPr>
        <w:t xml:space="preserve">IGF-1 naturellement élevé :</w:t>
      </w:r>
      <w:r>
        <w:t xml:space="preserve"> </w:t>
      </w:r>
      <w:r>
        <w:t xml:space="preserve">dans les études observationnelles, un taux plus élevé est associé à un risque modérément accru de cancer de la prostate et de cancer du sein avant la ménopause</w:t>
      </w:r>
      <w:r>
        <w:rPr>
          <w:rStyle w:val="FootnoteReference"/>
        </w:rPr>
        <w:footnoteReference w:id="1229"/>
      </w:r>
      <w:r>
        <w:t xml:space="preserve">. Des analyses génétiques portant sur des centaines de milliers de participants suggèrent que la relation pourrait être causale pour les cancers du sein et colorectal</w:t>
      </w:r>
      <w:r>
        <w:rPr>
          <w:rStyle w:val="FootnoteReference"/>
        </w:rPr>
        <w:footnoteReference w:id="1230"/>
      </w:r>
      <w:r>
        <w:t xml:space="preserve">.</w:t>
      </w:r>
    </w:p>
    <w:p>
      <w:pPr>
        <w:numPr>
          <w:ilvl w:val="0"/>
          <w:numId w:val="1146"/>
        </w:numPr>
        <w:pStyle w:val="Compact"/>
      </w:pPr>
      <w:r>
        <w:rPr>
          <w:bCs/>
          <w:b/>
        </w:rPr>
        <w:t xml:space="preserve">Excès naturel d’hormone de croissance (acromégalie) :</w:t>
      </w:r>
      <w:r>
        <w:t xml:space="preserve"> </w:t>
      </w:r>
      <w:r>
        <w:t xml:space="preserve">une méta-analyse de 23 études a trouvé un taux de cancer augmenté d’environ 50 %, mais suggère aussi des biais dans les études plus anciennes</w:t>
      </w:r>
      <w:r>
        <w:rPr>
          <w:rStyle w:val="FootnoteReference"/>
        </w:rPr>
        <w:footnoteReference w:id="1231"/>
      </w:r>
      <w:r>
        <w:t xml:space="preserve">.</w:t>
      </w:r>
    </w:p>
    <w:p>
      <w:pPr>
        <w:numPr>
          <w:ilvl w:val="0"/>
          <w:numId w:val="1146"/>
        </w:numPr>
        <w:pStyle w:val="Compact"/>
      </w:pPr>
      <w:r>
        <w:rPr>
          <w:bCs/>
          <w:b/>
        </w:rPr>
        <w:t xml:space="preserve">Déficit en IGF-1 à vie (syndrome de Laron) :</w:t>
      </w:r>
      <w:r>
        <w:t xml:space="preserve"> </w:t>
      </w:r>
      <w:r>
        <w:t xml:space="preserve">le cancer y était remarquablement rare</w:t>
      </w:r>
      <w:r>
        <w:rPr>
          <w:rStyle w:val="FootnoteReference"/>
        </w:rPr>
        <w:footnoteReference w:id="1232"/>
      </w:r>
      <w:r>
        <w:t xml:space="preserve">.</w:t>
      </w:r>
    </w:p>
    <w:p>
      <w:pPr>
        <w:numPr>
          <w:ilvl w:val="0"/>
          <w:numId w:val="1146"/>
        </w:numPr>
        <w:pStyle w:val="Compact"/>
      </w:pPr>
      <w:r>
        <w:rPr>
          <w:bCs/>
          <w:b/>
        </w:rPr>
        <w:t xml:space="preserve">Hormone de croissance comme médicament :</w:t>
      </w:r>
      <w:r>
        <w:t xml:space="preserve"> </w:t>
      </w:r>
      <w:r>
        <w:t xml:space="preserve">dans une cohorte européenne de 23 984 enfants traités, il n’y avait pas de risque globalement accru chez les enfants sans antécédents, mais des anomalies pour certains types de cancer et chez des enfants ayant déjà eu un cancer</w:t>
      </w:r>
      <w:r>
        <w:rPr>
          <w:rStyle w:val="FootnoteReference"/>
        </w:rPr>
        <w:footnoteReference w:id="1233"/>
      </w:r>
      <w:r>
        <w:t xml:space="preserve">. Chez 8 418 adultes traités pour insuffisance hypophysaire, le risque de cancer n’était pas augmenté</w:t>
      </w:r>
      <w:r>
        <w:rPr>
          <w:rStyle w:val="FootnoteReference"/>
        </w:rPr>
        <w:footnoteReference w:id="1234"/>
      </w:r>
      <w:r>
        <w:t xml:space="preserve">.</w:t>
      </w:r>
    </w:p>
    <w:p>
      <w:pPr>
        <w:pStyle w:val="FirstParagraph"/>
      </w:pPr>
      <w:r>
        <w:t xml:space="preserve">Conclusion : chez les personnes présentant un véritable déficit, un traitement substitutif n’est pas associé, selon les connaissances actuelles, à un risque de cancer nettement plus élevé. Pour des personnes en bonne santé qui élèvent un taux normal pendant des années, les données manquent – et la biologie plaide plutôt pour que contre un certain risque. La partie IV approfondit le sujet.</w:t>
      </w:r>
    </w:p>
    <w:bookmarkEnd w:id="1235"/>
    <w:bookmarkStart w:id="1236" w:name="vue-densemble-1"/>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Preuves</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Sermoréline</w:t>
            </w:r>
          </w:p>
        </w:tc>
        <w:tc>
          <w:tcPr/>
          <w:p>
            <w:pPr>
              <w:pStyle w:val="Compact"/>
              <w:jc w:val="left"/>
            </w:pPr>
            <w:r>
              <w:t xml:space="preserve">B</w:t>
            </w:r>
          </w:p>
        </w:tc>
        <w:tc>
          <w:tcPr/>
          <w:p>
            <w:pPr>
              <w:pStyle w:val="Compact"/>
              <w:jc w:val="left"/>
            </w:pPr>
            <w:r>
              <w:t xml:space="preserve">autrefois États-Unis (Geref), aujourd’hui aucune</w:t>
            </w:r>
          </w:p>
        </w:tc>
        <w:tc>
          <w:tcPr/>
          <w:p>
            <w:pPr>
              <w:pStyle w:val="Compact"/>
              <w:jc w:val="left"/>
            </w:pPr>
            <w:r>
              <w:t xml:space="preserve">fragment de GHRH ; enfants avec déficit en GH</w:t>
            </w:r>
          </w:p>
        </w:tc>
      </w:tr>
      <w:tr>
        <w:tc>
          <w:tcPr/>
          <w:p>
            <w:pPr>
              <w:pStyle w:val="Compact"/>
              <w:jc w:val="left"/>
            </w:pPr>
            <w:r>
              <w:t xml:space="preserve">Tésamoréline</w:t>
            </w:r>
          </w:p>
        </w:tc>
        <w:tc>
          <w:tcPr/>
          <w:p>
            <w:pPr>
              <w:pStyle w:val="Compact"/>
              <w:jc w:val="left"/>
            </w:pPr>
            <w:r>
              <w:t xml:space="preserve">A</w:t>
            </w:r>
          </w:p>
        </w:tc>
        <w:tc>
          <w:tcPr/>
          <w:p>
            <w:pPr>
              <w:pStyle w:val="Compact"/>
              <w:jc w:val="left"/>
            </w:pPr>
            <w:r>
              <w:t xml:space="preserve">États-Unis (Egrifta)</w:t>
            </w:r>
          </w:p>
        </w:tc>
        <w:tc>
          <w:tcPr/>
          <w:p>
            <w:pPr>
              <w:pStyle w:val="Compact"/>
              <w:jc w:val="left"/>
            </w:pPr>
            <w:r>
              <w:t xml:space="preserve">moins de graisse abdominale et hépatique dans le VIH</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aucune</w:t>
            </w:r>
          </w:p>
        </w:tc>
        <w:tc>
          <w:tcPr/>
          <w:p>
            <w:pPr>
              <w:pStyle w:val="Compact"/>
              <w:jc w:val="left"/>
            </w:pPr>
            <w:r>
              <w:t xml:space="preserve">uniquement données de phase 1 ; variante « sans DAC » non étudiée</w:t>
            </w:r>
          </w:p>
        </w:tc>
      </w:tr>
      <w:tr>
        <w:tc>
          <w:tcPr/>
          <w:p>
            <w:pPr>
              <w:pStyle w:val="Compact"/>
              <w:jc w:val="left"/>
            </w:pPr>
            <w:r>
              <w:t xml:space="preserve">Ipamoréline</w:t>
            </w:r>
          </w:p>
        </w:tc>
        <w:tc>
          <w:tcPr/>
          <w:p>
            <w:pPr>
              <w:pStyle w:val="Compact"/>
              <w:jc w:val="left"/>
            </w:pPr>
            <w:r>
              <w:t xml:space="preserve">B</w:t>
            </w:r>
          </w:p>
        </w:tc>
        <w:tc>
          <w:tcPr/>
          <w:p>
            <w:pPr>
              <w:pStyle w:val="Compact"/>
              <w:jc w:val="left"/>
            </w:pPr>
            <w:r>
              <w:t xml:space="preserve">aucune</w:t>
            </w:r>
          </w:p>
        </w:tc>
        <w:tc>
          <w:tcPr/>
          <w:p>
            <w:pPr>
              <w:pStyle w:val="Compact"/>
              <w:jc w:val="left"/>
            </w:pPr>
            <w:r>
              <w:t xml:space="preserve">aucun bénéfice dans l’iléus postopératoire</w:t>
            </w:r>
          </w:p>
        </w:tc>
      </w:tr>
      <w:tr>
        <w:tc>
          <w:tcPr/>
          <w:p>
            <w:pPr>
              <w:pStyle w:val="Compact"/>
              <w:jc w:val="left"/>
            </w:pPr>
            <w:r>
              <w:t xml:space="preserve">GHRP-2 (pralmoréline)</w:t>
            </w:r>
          </w:p>
        </w:tc>
        <w:tc>
          <w:tcPr/>
          <w:p>
            <w:pPr>
              <w:pStyle w:val="Compact"/>
              <w:jc w:val="left"/>
            </w:pPr>
            <w:r>
              <w:t xml:space="preserve">B</w:t>
            </w:r>
          </w:p>
        </w:tc>
        <w:tc>
          <w:tcPr/>
          <w:p>
            <w:pPr>
              <w:pStyle w:val="Compact"/>
              <w:jc w:val="left"/>
            </w:pPr>
            <w:r>
              <w:t xml:space="preserve">Japon (diagnostic)</w:t>
            </w:r>
          </w:p>
        </w:tc>
        <w:tc>
          <w:tcPr/>
          <w:p>
            <w:pPr>
              <w:pStyle w:val="Compact"/>
              <w:jc w:val="left"/>
            </w:pPr>
            <w:r>
              <w:t xml:space="preserve">test du déficit en GH</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aucune</w:t>
            </w:r>
          </w:p>
        </w:tc>
        <w:tc>
          <w:tcPr/>
          <w:p>
            <w:pPr>
              <w:pStyle w:val="Compact"/>
              <w:jc w:val="left"/>
            </w:pPr>
            <w:r>
              <w:t xml:space="preserve">substance de recherche et de test</w:t>
            </w:r>
          </w:p>
        </w:tc>
      </w:tr>
      <w:tr>
        <w:tc>
          <w:tcPr/>
          <w:p>
            <w:pPr>
              <w:pStyle w:val="Compact"/>
              <w:jc w:val="left"/>
            </w:pPr>
            <w:r>
              <w:t xml:space="preserve">Hexaréline</w:t>
            </w:r>
          </w:p>
        </w:tc>
        <w:tc>
          <w:tcPr/>
          <w:p>
            <w:pPr>
              <w:pStyle w:val="Compact"/>
              <w:jc w:val="left"/>
            </w:pPr>
            <w:r>
              <w:t xml:space="preserve">C</w:t>
            </w:r>
          </w:p>
        </w:tc>
        <w:tc>
          <w:tcPr/>
          <w:p>
            <w:pPr>
              <w:pStyle w:val="Compact"/>
              <w:jc w:val="left"/>
            </w:pPr>
            <w:r>
              <w:t xml:space="preserve">aucune</w:t>
            </w:r>
          </w:p>
        </w:tc>
        <w:tc>
          <w:tcPr/>
          <w:p>
            <w:pPr>
              <w:pStyle w:val="Compact"/>
              <w:jc w:val="left"/>
            </w:pPr>
            <w:r>
              <w:t xml:space="preserve">effets cardiaques aigus ; perte d’effet en administration continue</w:t>
            </w:r>
          </w:p>
        </w:tc>
      </w:tr>
      <w:tr>
        <w:tc>
          <w:tcPr/>
          <w:p>
            <w:pPr>
              <w:pStyle w:val="Compact"/>
              <w:jc w:val="left"/>
            </w:pPr>
            <w:r>
              <w:t xml:space="preserve">Macimoréline</w:t>
            </w:r>
          </w:p>
        </w:tc>
        <w:tc>
          <w:tcPr/>
          <w:p>
            <w:pPr>
              <w:pStyle w:val="Compact"/>
              <w:jc w:val="left"/>
            </w:pPr>
            <w:r>
              <w:t xml:space="preserve">A</w:t>
            </w:r>
          </w:p>
        </w:tc>
        <w:tc>
          <w:tcPr/>
          <w:p>
            <w:pPr>
              <w:pStyle w:val="Compact"/>
              <w:jc w:val="left"/>
            </w:pPr>
            <w:r>
              <w:t xml:space="preserve">UE, États-Unis (diagnostic)</w:t>
            </w:r>
          </w:p>
        </w:tc>
        <w:tc>
          <w:tcPr/>
          <w:p>
            <w:pPr>
              <w:pStyle w:val="Compact"/>
              <w:jc w:val="left"/>
            </w:pPr>
            <w:r>
              <w:t xml:space="preserve">test buvable du déficit en GH</w:t>
            </w:r>
          </w:p>
        </w:tc>
      </w:tr>
      <w:tr>
        <w:tc>
          <w:tcPr/>
          <w:p>
            <w:pPr>
              <w:pStyle w:val="Compact"/>
              <w:jc w:val="left"/>
            </w:pPr>
            <w:r>
              <w:t xml:space="preserve">Mécasermine (IGF-1)</w:t>
            </w:r>
          </w:p>
        </w:tc>
        <w:tc>
          <w:tcPr/>
          <w:p>
            <w:pPr>
              <w:pStyle w:val="Compact"/>
              <w:jc w:val="left"/>
            </w:pPr>
            <w:r>
              <w:t xml:space="preserve">A</w:t>
            </w:r>
          </w:p>
        </w:tc>
        <w:tc>
          <w:tcPr/>
          <w:p>
            <w:pPr>
              <w:pStyle w:val="Compact"/>
              <w:jc w:val="left"/>
            </w:pPr>
            <w:r>
              <w:t xml:space="preserve">UE, États-Unis (Increlex)</w:t>
            </w:r>
          </w:p>
        </w:tc>
        <w:tc>
          <w:tcPr/>
          <w:p>
            <w:pPr>
              <w:pStyle w:val="Compact"/>
              <w:jc w:val="left"/>
            </w:pPr>
            <w:r>
              <w:t xml:space="preserve">déficit sévère en IGF-1 chez l’enfant</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aucune</w:t>
            </w:r>
          </w:p>
        </w:tc>
        <w:tc>
          <w:tcPr/>
          <w:p>
            <w:pPr>
              <w:pStyle w:val="Compact"/>
              <w:jc w:val="left"/>
            </w:pPr>
            <w:r>
              <w:t xml:space="preserve">réactif de laboratoire, jamais évalué chez l’humain</w:t>
            </w:r>
          </w:p>
        </w:tc>
      </w:tr>
      <w:tr>
        <w:tc>
          <w:tcPr/>
          <w:p>
            <w:pPr>
              <w:pStyle w:val="Compact"/>
              <w:jc w:val="left"/>
            </w:pPr>
            <w:r>
              <w:t xml:space="preserve">Ibutamorène (comparaison)</w:t>
            </w:r>
          </w:p>
        </w:tc>
        <w:tc>
          <w:tcPr/>
          <w:p>
            <w:pPr>
              <w:pStyle w:val="Compact"/>
              <w:jc w:val="left"/>
            </w:pPr>
            <w:r>
              <w:t xml:space="preserve">B</w:t>
            </w:r>
          </w:p>
        </w:tc>
        <w:tc>
          <w:tcPr/>
          <w:p>
            <w:pPr>
              <w:pStyle w:val="Compact"/>
              <w:jc w:val="left"/>
            </w:pPr>
            <w:r>
              <w:t xml:space="preserve">aucune</w:t>
            </w:r>
          </w:p>
        </w:tc>
        <w:tc>
          <w:tcPr/>
          <w:p>
            <w:pPr>
              <w:pStyle w:val="Compact"/>
              <w:jc w:val="left"/>
            </w:pPr>
            <w:r>
              <w:t xml:space="preserve">comprimé ; signal d’insuffisance cardiaque</w:t>
            </w:r>
          </w:p>
        </w:tc>
      </w:tr>
    </w:tbl>
    <w:bookmarkEnd w:id="1236"/>
    <w:bookmarkStart w:id="1237" w:name="conseils-de-lecture-1"/>
    <w:p>
      <w:pPr>
        <w:pStyle w:val="Heading3"/>
      </w:pPr>
      <w:r>
        <w:t xml:space="preserve">Conseils de lecture</w:t>
      </w:r>
    </w:p>
    <w:p>
      <w:pPr>
        <w:pStyle w:val="FirstParagraph"/>
      </w:pPr>
      <w:r>
        <w:t xml:space="preserve">Si tu t’intéresses aux applications présentant un réel bénéfice, commence par la tésamoréline, la macimoréline et la mécasermine. Si tu veux savoir ce qui se cache derrière les classiques du marché gris, lis CJC-1295, ipamoréline et IGF-1 LR3. L’ibutamorène n’est certes pas un peptide, mais il montre de façon particulièrement claire, dans de grandes études, ce qu’entraîne une stimulation durable de l’axe. Toutes les substances de ce groupe figurent sur la liste des interdictions de l’Agence mondiale antidopage (groupe S2).</w:t>
      </w:r>
    </w:p>
    <w:bookmarkEnd w:id="1237"/>
    <w:bookmarkStart w:id="1274" w:name="sermoréline"/>
    <w:p>
      <w:pPr>
        <w:pStyle w:val="Heading2"/>
      </w:pPr>
      <w:r>
        <w:t xml:space="preserve">Sermoréline</w:t>
      </w:r>
    </w:p>
    <w:p>
      <w:pPr>
        <w:pStyle w:val="FirstParagraph"/>
      </w:pPr>
      <w:r>
        <w:t xml:space="preserve">La sermoréline est un morceau d’histoire pharmaceutique qui connaît une seconde vie sur Internet. Dans les années 1990, elle était autorisée comme médicament aux États-Unis – d’abord comme substance de test pour le diagnostic d’un déficit en hormone de croissance, puis pour le traitement d’enfants de petite taille. Depuis la fin des années 2000, la spécialité d’origine a disparu du marché. Aujourd’hui, la sermoréline est surtout prescrite en préparation magistrale dans les cliniques américaines « anti-âge » et de « santé masculine », et proposée sur le marché gris. Ce chapitre montre ce que les anciennes études démontrent réellement et ce qu’elles ne démontrent pas.</w:t>
      </w:r>
    </w:p>
    <w:bookmarkStart w:id="1239" w:name="fiche-signalétique-23"/>
    <w:p>
      <w:pPr>
        <w:pStyle w:val="Heading3"/>
      </w:pPr>
      <w:r>
        <w:t xml:space="preserve">Fiche signalétique</w:t>
      </w:r>
    </w:p>
    <w:p>
      <w:pPr>
        <w:numPr>
          <w:ilvl w:val="0"/>
          <w:numId w:val="1147"/>
        </w:numPr>
        <w:pStyle w:val="Compact"/>
      </w:pPr>
      <w:r>
        <w:rPr>
          <w:bCs/>
          <w:b/>
        </w:rPr>
        <w:t xml:space="preserve">Type et structure :</w:t>
      </w:r>
      <w:r>
        <w:t xml:space="preserve"> </w:t>
      </w:r>
      <w:r>
        <w:t xml:space="preserve">peptide de synthèse de 29 acides aminés ; il correspond au segment antérieur actif de l’hormone endogène de libération de l’hormone de croissance, GHRH(1-29)NH2. C’est le plus court peptide de synthèse doté de l’effet complet de la GHRH</w:t>
      </w:r>
      <w:r>
        <w:rPr>
          <w:rStyle w:val="FootnoteReference"/>
        </w:rPr>
        <w:footnoteReference w:id="1238"/>
      </w:r>
      <w:r>
        <w:t xml:space="preserve">.</w:t>
      </w:r>
    </w:p>
    <w:p>
      <w:pPr>
        <w:numPr>
          <w:ilvl w:val="0"/>
          <w:numId w:val="1147"/>
        </w:numPr>
        <w:pStyle w:val="Compact"/>
      </w:pPr>
      <w:r>
        <w:rPr>
          <w:bCs/>
          <w:b/>
        </w:rPr>
        <w:t xml:space="preserve">Origine :</w:t>
      </w:r>
      <w:r>
        <w:t xml:space="preserve"> </w:t>
      </w:r>
      <w:r>
        <w:t xml:space="preserve">dérivée dans les années 1980 de la GHRH naturelle ; commercialisée par Serono sous le nom de Geref.</w:t>
      </w:r>
    </w:p>
    <w:p>
      <w:pPr>
        <w:numPr>
          <w:ilvl w:val="0"/>
          <w:numId w:val="1147"/>
        </w:numPr>
        <w:pStyle w:val="Compact"/>
      </w:pPr>
      <w:r>
        <w:rPr>
          <w:bCs/>
          <w:b/>
        </w:rPr>
        <w:t xml:space="preserve">Principe d’action :</w:t>
      </w:r>
      <w:r>
        <w:t xml:space="preserve"> </w:t>
      </w:r>
      <w:r>
        <w:t xml:space="preserve">se lie au récepteur de la GHRH de l’hypophyse et y déclenche une libération d’hormone de croissance ; la régulation propre de l’organisme (frein par la somatostatine, rétrocontrôle par l’IGF-1) est préservée.</w:t>
      </w:r>
    </w:p>
    <w:p>
      <w:pPr>
        <w:numPr>
          <w:ilvl w:val="0"/>
          <w:numId w:val="1147"/>
        </w:numPr>
        <w:pStyle w:val="Compact"/>
      </w:pPr>
      <w:r>
        <w:rPr>
          <w:bCs/>
          <w:b/>
        </w:rPr>
        <w:t xml:space="preserve">Autorisation UE :</w:t>
      </w:r>
      <w:r>
        <w:t xml:space="preserve"> </w:t>
      </w:r>
      <w:r>
        <w:t xml:space="preserve">non (état 2026).</w:t>
      </w:r>
      <w:r>
        <w:t xml:space="preserve"> </w:t>
      </w:r>
      <w:r>
        <w:rPr>
          <w:bCs/>
          <w:b/>
        </w:rPr>
        <w:t xml:space="preserve">Autorisation États-Unis :</w:t>
      </w:r>
      <w:r>
        <w:t xml:space="preserve"> </w:t>
      </w:r>
      <w:r>
        <w:t xml:space="preserve">autrefois oui (Geref comme produit de diagnostic et pour le traitement d’enfants présentant un déficit en hormone de croissance) ; la spécialité d’origine n’est plus disponible depuis la fin des années 2000.</w:t>
      </w:r>
    </w:p>
    <w:p>
      <w:pPr>
        <w:numPr>
          <w:ilvl w:val="0"/>
          <w:numId w:val="1147"/>
        </w:numPr>
        <w:pStyle w:val="Compact"/>
      </w:pPr>
      <w:r>
        <w:rPr>
          <w:bCs/>
          <w:b/>
        </w:rPr>
        <w:t xml:space="preserve">AMA (WADA) :</w:t>
      </w:r>
      <w:r>
        <w:t xml:space="preserve"> </w:t>
      </w:r>
      <w:r>
        <w:t xml:space="preserve">interdite, groupe S2 – la sermoréline est expressément citée comme analogue de la GHRH.</w:t>
      </w:r>
    </w:p>
    <w:p>
      <w:pPr>
        <w:numPr>
          <w:ilvl w:val="0"/>
          <w:numId w:val="1147"/>
        </w:numPr>
        <w:pStyle w:val="Compact"/>
      </w:pPr>
      <w:r>
        <w:rPr>
          <w:bCs/>
          <w:b/>
        </w:rPr>
        <w:t xml:space="preserve">Niveau de preuve : B</w:t>
      </w:r>
      <w:r>
        <w:t xml:space="preserve"> </w:t>
      </w:r>
      <w:r>
        <w:t xml:space="preserve">– quelques petites études randomisées ou contrôlées, le plus souvent en ouvert et datant des années 1980 et 1990 ; aucune grande étude moderne.</w:t>
      </w:r>
    </w:p>
    <w:bookmarkEnd w:id="1239"/>
    <w:bookmarkStart w:id="1241" w:name="mode-daction-supposé-23"/>
    <w:p>
      <w:pPr>
        <w:pStyle w:val="Heading3"/>
      </w:pPr>
      <w:r>
        <w:t xml:space="preserve">Mode d’action supposé</w:t>
      </w:r>
    </w:p>
    <w:p>
      <w:pPr>
        <w:pStyle w:val="FirstParagraph"/>
      </w:pPr>
      <w:r>
        <w:t xml:space="preserve">L’hypophyse libère l’hormone de croissance par pulsations. Le signal de départ est donné par la GHRH issue du diencéphale. Sous sa forme naturelle, la GHRH compte 44 acides aminés ; dans les années 1980, des chercheurs ont constaté que les 29 premiers suffisaient à l’effet complet. La sermoréline en est issue.</w:t>
      </w:r>
    </w:p>
    <w:p>
      <w:pPr>
        <w:pStyle w:val="BodyText"/>
      </w:pPr>
      <w:r>
        <w:t xml:space="preserve">L’avantage par rapport à l’hormone de croissance injectée serait que l’hypophyse « a son mot à dire » : s’il y a assez d’IGF-1 dans le sang, l’organisme freine lui-même via la somatostatine. Les surdosages comme lors d’une administration directe de GH devraient ainsi être moins probables. L’inconvénient : la sermoréline n’agit que si l’hypophyse peut encore produire de l’hormone de croissance, et son action est brève : chez l’humain, la demi-vie dans le sang n’est que d’environ 10 à 20 minutes</w:t>
      </w:r>
      <w:r>
        <w:rPr>
          <w:rStyle w:val="FootnoteReference"/>
        </w:rPr>
        <w:footnoteReference w:id="1240"/>
      </w:r>
      <w:r>
        <w:t xml:space="preserve">. Elle est donc surtout efficace dans les troubles situés dans le diencéphale, et non dans l’hypophyse elle-même.</w:t>
      </w:r>
    </w:p>
    <w:bookmarkEnd w:id="1241"/>
    <w:bookmarkStart w:id="1258" w:name="études-chez-lhumain-23"/>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sous le mot-clé « sermorelin » n’a trouvé</w:t>
      </w:r>
      <w:r>
        <w:t xml:space="preserve"> </w:t>
      </w:r>
      <w:r>
        <w:rPr>
          <w:bCs/>
          <w:b/>
        </w:rPr>
        <w:t xml:space="preserve">aucune</w:t>
      </w:r>
      <w:r>
        <w:t xml:space="preserve"> </w:t>
      </w:r>
      <w:r>
        <w:t xml:space="preserve">étude chez l’humain (</w:t>
      </w:r>
      <w:r>
        <w:rPr>
          <w:rStyle w:val="VerbatimChar"/>
        </w:rPr>
        <w:t xml:space="preserve">humanstudien_alle</w:t>
      </w:r>
      <w:r>
        <w:t xml:space="preserve"> </w:t>
      </w:r>
      <w:r>
        <w:t xml:space="preserve">: 0) et</w:t>
      </w:r>
      <w:r>
        <w:t xml:space="preserve"> </w:t>
      </w:r>
      <w:r>
        <w:rPr>
          <w:bCs/>
          <w:b/>
        </w:rPr>
        <w:t xml:space="preserve">27</w:t>
      </w:r>
      <w:r>
        <w:t xml:space="preserve"> </w:t>
      </w:r>
      <w:r>
        <w:t xml:space="preserve">entrées sur ClinicalTrials.gov. Les deux chiffres sont trompeurs : la plupart des travaux cliniques ont paru sous des désignations comme « GHRH(1-29)NH2 », « GRF 1-29 » ou « Geref » et ne sont pas captés par une simple recherche par nom. À l’inverse, beaucoup des 27 entrées du registre ne concernent pas du tout la sermoréline, mais la tésamoréline ou les tests à la GHRH en général. Une recherche ciblée complémentaire a mis au jour plusieurs dizaines d’études cliniques, majoritairement petites et antérieures à 2000.</w:t>
      </w:r>
    </w:p>
    <w:bookmarkStart w:id="1247" w:name="X215f1f0cfce13a5970e57764387ad6251a9b7ea"/>
    <w:p>
      <w:pPr>
        <w:pStyle w:val="Heading4"/>
      </w:pPr>
      <w:r>
        <w:t xml:space="preserve">Enfants présentant un déficit en hormone de croissance</w:t>
      </w:r>
    </w:p>
    <w:p>
      <w:pPr>
        <w:pStyle w:val="FirstParagraph"/>
      </w:pPr>
      <w:r>
        <w:t xml:space="preserve">Le principal domaine d’application était le trouble de la croissance chez l’enfant. Dans une étude multicentrique en ouvert du groupe d’étude Geref, 110 enfants prépubères jamais traités ont reçu de la sermoréline une fois par jour le soir pendant un an. La vitesse de croissance est passée de 4,1 cm par an à 8,0 cm après six mois et à 7,2 cm après douze mois ; 74 % étaient considérés comme bons répondeurs après six mois. Aucune anomalie biologique notable n’est apparue</w:t>
      </w:r>
      <w:r>
        <w:rPr>
          <w:rStyle w:val="FootnoteReference"/>
        </w:rPr>
        <w:footnoteReference w:id="1242"/>
      </w:r>
      <w:r>
        <w:t xml:space="preserve">.</w:t>
      </w:r>
    </w:p>
    <w:p>
      <w:pPr>
        <w:pStyle w:val="BodyText"/>
      </w:pPr>
      <w:r>
        <w:t xml:space="preserve">Une étude britannique précoce avec 18 enfants en montrait déjà les limites : chez 8 enfants seulement, la vitesse de croissance a augmenté de plus de 2 cm par an au cours des six premiers mois ; 14 enfants ont développé des anticorps contre le peptide, sans influence visible sur la croissance</w:t>
      </w:r>
      <w:r>
        <w:rPr>
          <w:rStyle w:val="FootnoteReference"/>
        </w:rPr>
        <w:footnoteReference w:id="1243"/>
      </w:r>
      <w:r>
        <w:t xml:space="preserve">. Dans une étude randomisée avec 43 enfants, les enfants sous sermoréline à faible dose grandissaient le plus lentement ; seule l’hormone de croissance améliorait la taille par rapport à l’âge osseux</w:t>
      </w:r>
      <w:r>
        <w:rPr>
          <w:rStyle w:val="FootnoteReference"/>
        </w:rPr>
        <w:footnoteReference w:id="1244"/>
      </w:r>
      <w:r>
        <w:t xml:space="preserve">. Une synthèse a relevé que la sermoréline est efficace chez une partie des enfants, mais moins que l’hormone de croissance, et que les données sur la taille finale manquent</w:t>
      </w:r>
      <w:r>
        <w:rPr>
          <w:rStyle w:val="FootnoteReference"/>
        </w:rPr>
        <w:footnoteReference w:id="1245"/>
      </w:r>
      <w:r>
        <w:t xml:space="preserve">.</w:t>
      </w:r>
    </w:p>
    <w:p>
      <w:pPr>
        <w:pStyle w:val="BodyText"/>
      </w:pPr>
      <w:r>
        <w:t xml:space="preserve">Chez des enfants atteints de petite taille idiopathique (c’est-à-dire sans déficit hormonal démontrable) aussi, la vitesse de croissance a augmenté sous deux injections quotidiennes dans une petite étude avec 18 enfants ; après l’arrêt, elle est retombée sous la valeur initiale, et la glycémie à jeun et l’insuline ont augmenté pendant le traitement</w:t>
      </w:r>
      <w:r>
        <w:rPr>
          <w:rStyle w:val="FootnoteReference"/>
        </w:rPr>
        <w:footnoteReference w:id="1246"/>
      </w:r>
      <w:r>
        <w:t xml:space="preserve">.</w:t>
      </w:r>
    </w:p>
    <w:bookmarkEnd w:id="1247"/>
    <w:bookmarkStart w:id="1252" w:name="adultes-âgés"/>
    <w:p>
      <w:pPr>
        <w:pStyle w:val="Heading4"/>
      </w:pPr>
      <w:r>
        <w:t xml:space="preserve">Adultes âgés</w:t>
      </w:r>
    </w:p>
    <w:p>
      <w:pPr>
        <w:pStyle w:val="FirstParagraph"/>
      </w:pPr>
      <w:r>
        <w:t xml:space="preserve">Pour le marketing actuel (« anti-âge »), les études chez les personnes âgées sont déterminantes. Elles sont peu nombreuses et très petites :</w:t>
      </w:r>
    </w:p>
    <w:p>
      <w:pPr>
        <w:numPr>
          <w:ilvl w:val="0"/>
          <w:numId w:val="1148"/>
        </w:numPr>
        <w:pStyle w:val="Compact"/>
      </w:pPr>
      <w:r>
        <w:t xml:space="preserve">19 femmes et hommes en bonne santé âgés de 55 à 71 ans ont reçu, après quatre semaines de placebo, un analogue de la sermoréline pendant 16 semaines. L’hormone de croissance et l’IGF-1 ont augmenté, l’épaisseur de la peau a augmenté chez les deux sexes, la masse maigre et la sensibilité à l’insuline seulement chez les hommes. Les hommes ont rapporté un meilleur bien-être et une libido accrue ; la qualité du sommeil n’a pas changé. Comme effet indésirable, une hausse transitoire des lipides sanguins est survenue</w:t>
      </w:r>
      <w:r>
        <w:rPr>
          <w:rStyle w:val="FootnoteReference"/>
        </w:rPr>
        <w:footnoteReference w:id="1248"/>
      </w:r>
      <w:r>
        <w:t xml:space="preserve">. Le même groupe a décrit des modifications des cellules immunitaires</w:t>
      </w:r>
      <w:r>
        <w:rPr>
          <w:rStyle w:val="FootnoteReference"/>
        </w:rPr>
        <w:footnoteReference w:id="1249"/>
      </w:r>
      <w:r>
        <w:t xml:space="preserve">. L’étude n’était qu’en simple aveugle et n’avait pas de groupe témoin parallèle.</w:t>
      </w:r>
    </w:p>
    <w:p>
      <w:pPr>
        <w:numPr>
          <w:ilvl w:val="0"/>
          <w:numId w:val="1148"/>
        </w:numPr>
        <w:pStyle w:val="Compact"/>
      </w:pPr>
      <w:r>
        <w:t xml:space="preserve">Chez 11 hommes en bonne santé âgés de 64 à 76 ans, six semaines d’injections nocturnes ont augmenté la sécrétion nocturne de GH, mais ni l’IGF-1 ni la masse musculaire ou grasse n’ont changé ; deux mesures de force sur six se sont améliorées</w:t>
      </w:r>
      <w:r>
        <w:rPr>
          <w:rStyle w:val="FootnoteReference"/>
        </w:rPr>
        <w:footnoteReference w:id="1250"/>
      </w:r>
      <w:r>
        <w:t xml:space="preserve">.</w:t>
      </w:r>
    </w:p>
    <w:p>
      <w:pPr>
        <w:pStyle w:val="FirstParagraph"/>
      </w:pPr>
      <w:r>
        <w:t xml:space="preserve">Deux études ultérieures sur la GHRH chez des personnes âgées ont été interrompues après 5 et 13 participants respectivement</w:t>
      </w:r>
      <w:r>
        <w:rPr>
          <w:rStyle w:val="FootnoteReference"/>
        </w:rPr>
        <w:footnoteReference w:id="1251"/>
      </w:r>
      <w:r>
        <w:t xml:space="preserve">.</w:t>
      </w:r>
    </w:p>
    <w:bookmarkEnd w:id="1252"/>
    <w:bookmarkStart w:id="1255" w:name="diagnostic"/>
    <w:p>
      <w:pPr>
        <w:pStyle w:val="Heading4"/>
      </w:pPr>
      <w:r>
        <w:t xml:space="preserve">Diagnostic</w:t>
      </w:r>
    </w:p>
    <w:p>
      <w:pPr>
        <w:pStyle w:val="FirstParagraph"/>
      </w:pPr>
      <w:r>
        <w:t xml:space="preserve">Comme substance de test, la sermoréline était administrée par voie intraveineuse pour vérifier si l’hypophyse réagissait à la GHRH. Associé à l’acide aminé arginine, ce test était considéré chez l’adulte comme une alternative à l’éprouvant test d’hypoglycémie insulinique</w:t>
      </w:r>
      <w:r>
        <w:rPr>
          <w:rStyle w:val="FootnoteReference"/>
        </w:rPr>
        <w:footnoteReference w:id="1253"/>
      </w:r>
      <w:r>
        <w:t xml:space="preserve">. Après que le produit de diagnostic a cessé d’être disponible aux États-Unis, une étude en cours sur un nouveau test (macimoréline) a dû modifier son schéma</w:t>
      </w:r>
      <w:r>
        <w:rPr>
          <w:rStyle w:val="FootnoteReference"/>
        </w:rPr>
        <w:footnoteReference w:id="1254"/>
      </w:r>
      <w:r>
        <w:t xml:space="preserve">.</w:t>
      </w:r>
    </w:p>
    <w:bookmarkEnd w:id="1255"/>
    <w:bookmarkStart w:id="1257" w:name="médecine-masculine-moderne"/>
    <w:p>
      <w:pPr>
        <w:pStyle w:val="Heading4"/>
      </w:pPr>
      <w:r>
        <w:t xml:space="preserve">« Médecine masculine » moderne</w:t>
      </w:r>
    </w:p>
    <w:p>
      <w:pPr>
        <w:pStyle w:val="FirstParagraph"/>
      </w:pPr>
      <w:r>
        <w:t xml:space="preserve">Une analyse rétrospective de dossiers d’une clinique masculine américaine a décrit 14 jeunes hommes sous testostérone à qui une association de sermoréline, de GHRP-2 et de GHRP-6 avait été prescrite. L’IGF-1 est passé en moyenne de 159,5 à 239,0 ng/ml</w:t>
      </w:r>
      <w:r>
        <w:rPr>
          <w:rStyle w:val="FootnoteReference"/>
        </w:rPr>
        <w:footnoteReference w:id="1256"/>
      </w:r>
      <w:r>
        <w:t xml:space="preserve">. Sur 105 hommes au départ, seuls 14 remplissaient les critères d’inclusion ; le travail ne permet aucune conclusion sur la masse musculaire, la perte de graisse ou la sécurité.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schéma</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Groupe d’étude Geref (Thorner 1996), PMID 8772599</w:t>
            </w:r>
          </w:p>
        </w:tc>
        <w:tc>
          <w:tcPr/>
          <w:p>
            <w:pPr>
              <w:pStyle w:val="Compact"/>
              <w:jc w:val="left"/>
            </w:pPr>
            <w:r>
              <w:t xml:space="preserve">110 enfants avec déficit en GH, en ouvert, sans groupe témoin</w:t>
            </w:r>
          </w:p>
        </w:tc>
        <w:tc>
          <w:tcPr/>
          <w:p>
            <w:pPr>
              <w:pStyle w:val="Compact"/>
              <w:jc w:val="left"/>
            </w:pPr>
            <w:r>
              <w:t xml:space="preserve">12 mois</w:t>
            </w:r>
          </w:p>
        </w:tc>
        <w:tc>
          <w:tcPr/>
          <w:p>
            <w:pPr>
              <w:pStyle w:val="Compact"/>
              <w:jc w:val="left"/>
            </w:pPr>
            <w:r>
              <w:t xml:space="preserve">croissance 4,1 → 7,2 cm/an</w:t>
            </w:r>
          </w:p>
        </w:tc>
      </w:tr>
      <w:tr>
        <w:tc>
          <w:tcPr/>
          <w:p>
            <w:pPr>
              <w:pStyle w:val="Compact"/>
              <w:jc w:val="left"/>
            </w:pPr>
            <w:r>
              <w:t xml:space="preserve">Comparaison avec la GH (Neyzi 1993), PMID 8329826</w:t>
            </w:r>
          </w:p>
        </w:tc>
        <w:tc>
          <w:tcPr/>
          <w:p>
            <w:pPr>
              <w:pStyle w:val="Compact"/>
              <w:jc w:val="left"/>
            </w:pPr>
            <w:r>
              <w:t xml:space="preserve">43 enfants, randomisés (2 doses de sermoréline vs GH)</w:t>
            </w:r>
          </w:p>
        </w:tc>
        <w:tc>
          <w:tcPr/>
          <w:p>
            <w:pPr>
              <w:pStyle w:val="Compact"/>
              <w:jc w:val="left"/>
            </w:pPr>
            <w:r>
              <w:t xml:space="preserve">6 mois</w:t>
            </w:r>
          </w:p>
        </w:tc>
        <w:tc>
          <w:tcPr/>
          <w:p>
            <w:pPr>
              <w:pStyle w:val="Compact"/>
              <w:jc w:val="left"/>
            </w:pPr>
            <w:r>
              <w:t xml:space="preserve">dose élevée proche de la GH, dose faible moins efficace</w:t>
            </w:r>
          </w:p>
        </w:tc>
      </w:tr>
      <w:tr>
        <w:tc>
          <w:tcPr/>
          <w:p>
            <w:pPr>
              <w:pStyle w:val="Compact"/>
              <w:jc w:val="left"/>
            </w:pPr>
            <w:r>
              <w:t xml:space="preserve">Adultes âgés (Khorram 1997), PMID 9141536</w:t>
            </w:r>
          </w:p>
        </w:tc>
        <w:tc>
          <w:tcPr/>
          <w:p>
            <w:pPr>
              <w:pStyle w:val="Compact"/>
              <w:jc w:val="left"/>
            </w:pPr>
            <w:r>
              <w:t xml:space="preserve">19 volontaires sains, 55–71 ans, simple aveugle, phase préalable sous placebo</w:t>
            </w:r>
          </w:p>
        </w:tc>
        <w:tc>
          <w:tcPr/>
          <w:p>
            <w:pPr>
              <w:pStyle w:val="Compact"/>
              <w:jc w:val="left"/>
            </w:pPr>
            <w:r>
              <w:t xml:space="preserve">5 mois</w:t>
            </w:r>
          </w:p>
        </w:tc>
        <w:tc>
          <w:tcPr/>
          <w:p>
            <w:pPr>
              <w:pStyle w:val="Compact"/>
              <w:jc w:val="left"/>
            </w:pPr>
            <w:r>
              <w:t xml:space="preserve">IGF-1 ↑, masse maigre ↑ seulement chez les hommes</w:t>
            </w:r>
          </w:p>
        </w:tc>
      </w:tr>
      <w:tr>
        <w:tc>
          <w:tcPr/>
          <w:p>
            <w:pPr>
              <w:pStyle w:val="Compact"/>
              <w:jc w:val="left"/>
            </w:pPr>
            <w:r>
              <w:t xml:space="preserve">Hommes âgés (Vittone 1997), PMID 9005976</w:t>
            </w:r>
          </w:p>
        </w:tc>
        <w:tc>
          <w:tcPr/>
          <w:p>
            <w:pPr>
              <w:pStyle w:val="Compact"/>
              <w:jc w:val="left"/>
            </w:pPr>
            <w:r>
              <w:t xml:space="preserve">11 volontaires sains, 64–76 ans, sans groupe témoin</w:t>
            </w:r>
          </w:p>
        </w:tc>
        <w:tc>
          <w:tcPr/>
          <w:p>
            <w:pPr>
              <w:pStyle w:val="Compact"/>
              <w:jc w:val="left"/>
            </w:pPr>
            <w:r>
              <w:t xml:space="preserve">6 semaines</w:t>
            </w:r>
          </w:p>
        </w:tc>
        <w:tc>
          <w:tcPr/>
          <w:p>
            <w:pPr>
              <w:pStyle w:val="Compact"/>
              <w:jc w:val="left"/>
            </w:pPr>
            <w:r>
              <w:t xml:space="preserve">GH ↑, IGF-1 et composition corporelle inchangés</w:t>
            </w:r>
          </w:p>
        </w:tc>
      </w:tr>
      <w:tr>
        <w:tc>
          <w:tcPr/>
          <w:p>
            <w:pPr>
              <w:pStyle w:val="Compact"/>
              <w:jc w:val="left"/>
            </w:pPr>
            <w:r>
              <w:t xml:space="preserve">Clinique masculine (Sigalos 2017), PMID 28830317</w:t>
            </w:r>
          </w:p>
        </w:tc>
        <w:tc>
          <w:tcPr/>
          <w:p>
            <w:pPr>
              <w:pStyle w:val="Compact"/>
              <w:jc w:val="left"/>
            </w:pPr>
            <w:r>
              <w:t xml:space="preserve">14 hommes, rétrospectif, association avec GHRP-2/-6</w:t>
            </w:r>
          </w:p>
        </w:tc>
        <w:tc>
          <w:tcPr/>
          <w:p>
            <w:pPr>
              <w:pStyle w:val="Compact"/>
              <w:jc w:val="left"/>
            </w:pPr>
            <w:r>
              <w:t xml:space="preserve">en moyenne 134 jours</w:t>
            </w:r>
          </w:p>
        </w:tc>
        <w:tc>
          <w:tcPr/>
          <w:p>
            <w:pPr>
              <w:pStyle w:val="Compact"/>
              <w:jc w:val="left"/>
            </w:pPr>
            <w:r>
              <w:t xml:space="preserve">IGF-1 159,5 → 239,0 ng/ml</w:t>
            </w:r>
          </w:p>
        </w:tc>
      </w:tr>
    </w:tbl>
    <w:bookmarkEnd w:id="1257"/>
    <w:bookmarkEnd w:id="1258"/>
    <w:bookmarkStart w:id="1261" w:name="études-animales-et-de-laboratoire-23"/>
    <w:p>
      <w:pPr>
        <w:pStyle w:val="Heading3"/>
      </w:pPr>
      <w:r>
        <w:t xml:space="preserve">Études animales et de laboratoire</w:t>
      </w:r>
    </w:p>
    <w:p>
      <w:pPr>
        <w:pStyle w:val="FirstParagraph"/>
      </w:pPr>
      <w:r>
        <w:t xml:space="preserve">La sermoréline elle-même a surtout été étudiée en laboratoire dans le contexte de sa découverte et de variantes à durée d’action prolongée, par exemple des variantes couplées au polyéthylène glycol qui agissaient plus longtemps que le peptide non modifié chez le rat et le porc</w:t>
      </w:r>
      <w:r>
        <w:rPr>
          <w:rStyle w:val="FootnoteReference"/>
        </w:rPr>
        <w:footnoteReference w:id="1259"/>
      </w:r>
      <w:r>
        <w:t xml:space="preserve">. Un travail purement computationnel, qui a croisé des données d’activité génique de patients atteints de gliome avec une base de données de médicaments, a cité la sermoréline comme candidat possible contre les tumeurs cérébrales récidivantes</w:t>
      </w:r>
      <w:r>
        <w:rPr>
          <w:rStyle w:val="FootnoteReference"/>
        </w:rPr>
        <w:footnoteReference w:id="1260"/>
      </w:r>
      <w:r>
        <w:t xml:space="preserve">. Il s’agit d’une hypothèse informatique sans confirmation en laboratoire ni chez des patients – et elle contraste nettement avec la crainte qu’une stimulation de l’axe de croissance favorise plutôt les tumeurs.</w:t>
      </w:r>
    </w:p>
    <w:bookmarkEnd w:id="1261"/>
    <w:bookmarkStart w:id="1267" w:name="risques-et-effets-indésirables-23"/>
    <w:p>
      <w:pPr>
        <w:pStyle w:val="Heading3"/>
      </w:pPr>
      <w:r>
        <w:t xml:space="preserve">Risques et effets indésirables</w:t>
      </w:r>
    </w:p>
    <w:p>
      <w:pPr>
        <w:pStyle w:val="FirstParagraph"/>
      </w:pPr>
      <w:r>
        <w:rPr>
          <w:bCs/>
          <w:b/>
        </w:rPr>
        <w:t xml:space="preserve">Établi (d’après les données d’autorisation et des études) :</w:t>
      </w:r>
      <w:r>
        <w:t xml:space="preserve"> </w:t>
      </w:r>
      <w:r>
        <w:t xml:space="preserve">des bouffées de chaleur transitoires au visage (flush) et des douleurs au point d’injection étaient les effets indésirables les plus fréquents</w:t>
      </w:r>
      <w:r>
        <w:rPr>
          <w:rStyle w:val="FootnoteReference"/>
        </w:rPr>
        <w:footnoteReference w:id="1262"/>
      </w:r>
      <w:r>
        <w:t xml:space="preserve">. Des anticorps contre la sermoréline apparaissaient fréquemment chez l’enfant, sans conséquences visibles</w:t>
      </w:r>
      <w:r>
        <w:rPr>
          <w:rStyle w:val="FootnoteReference"/>
        </w:rPr>
        <w:footnoteReference w:id="1263"/>
      </w:r>
      <w:r>
        <w:t xml:space="preserve">. Dans certaines études, la glycémie, l’insuline ou les lipides sanguins ont augmenté de façon transitoire</w:t>
      </w:r>
      <w:r>
        <w:rPr>
          <w:rStyle w:val="FootnoteReference"/>
        </w:rPr>
        <w:footnoteReference w:id="1264"/>
      </w:r>
      <w:r>
        <w:t xml:space="preserve">.</w:t>
      </w:r>
    </w:p>
    <w:p>
      <w:pPr>
        <w:pStyle w:val="BodyText"/>
      </w:pPr>
      <w:r>
        <w:rPr>
          <w:bCs/>
          <w:b/>
        </w:rPr>
        <w:t xml:space="preserve">Risques à long terme :</w:t>
      </w:r>
      <w:r>
        <w:t xml:space="preserve"> </w:t>
      </w:r>
      <w:r>
        <w:t xml:space="preserve">il n’existe pas de données systématiques à long terme sur la sermoréline chez l’adulte. Un rapport de cas décrit un culturiste amateur de 62 ans qui avait utilisé pendant environ 20 ans de l’hormone de croissance et des sécrétagogues de GH (dont la sermoréline avec le GHRP-6) et qui a développé des troubles de la déglutition dus à un gros ostéophyte de la colonne cervicale ; les auteurs jugent un lien possible, mais non démontré</w:t>
      </w:r>
      <w:r>
        <w:rPr>
          <w:rStyle w:val="FootnoteReference"/>
        </w:rPr>
        <w:footnoteReference w:id="1265"/>
      </w:r>
      <w:r>
        <w:t xml:space="preserve">. Sur la question de fond de savoir si une élévation durable de l’IGF-1 augmente le risque de cancer, voir l’introduction de ce groupe et la partie IV.</w:t>
      </w:r>
    </w:p>
    <w:p>
      <w:pPr>
        <w:pStyle w:val="BodyText"/>
      </w:pPr>
      <w:r>
        <w:rPr>
          <w:bCs/>
          <w:b/>
        </w:rPr>
        <w:t xml:space="preserve">Marché gris :</w:t>
      </w:r>
      <w:r>
        <w:t xml:space="preserve"> </w:t>
      </w:r>
      <w:r>
        <w:t xml:space="preserve">lors d’une opération douanière européenne, des produits à base de sermoréline ont été trouvés parmi des préparations injectables saisies, à côté d’hormone de croissance et de mélanotan II – sans étiquetage et parfois sans substance active</w:t>
      </w:r>
      <w:r>
        <w:rPr>
          <w:rStyle w:val="FootnoteReference"/>
        </w:rPr>
        <w:footnoteReference w:id="1266"/>
      </w:r>
      <w:r>
        <w:t xml:space="preserve">.</w:t>
      </w:r>
    </w:p>
    <w:bookmarkEnd w:id="1267"/>
    <w:bookmarkStart w:id="1271" w:name="statut-juridique-23"/>
    <w:p>
      <w:pPr>
        <w:pStyle w:val="Heading3"/>
      </w:pPr>
      <w:r>
        <w:t xml:space="preserve">Statut juridique</w:t>
      </w:r>
    </w:p>
    <w:p>
      <w:pPr>
        <w:pStyle w:val="FirstParagraph"/>
      </w:pPr>
      <w:r>
        <w:rPr>
          <w:iCs/>
          <w:i/>
        </w:rPr>
        <w:t xml:space="preserve">État 2026, à vérifier.</w:t>
      </w:r>
    </w:p>
    <w:p>
      <w:pPr>
        <w:numPr>
          <w:ilvl w:val="0"/>
          <w:numId w:val="1149"/>
        </w:numPr>
        <w:pStyle w:val="Compact"/>
      </w:pPr>
      <w:r>
        <w:rPr>
          <w:bCs/>
          <w:b/>
        </w:rPr>
        <w:t xml:space="preserve">Contexte de l’autorisation américaine :</w:t>
      </w:r>
      <w:r>
        <w:t xml:space="preserve"> </w:t>
      </w:r>
      <w:r>
        <w:t xml:space="preserve">Geref était autorisé aux États-Unis d’abord comme produit de diagnostic, puis à partir des années 1990 pour le traitement d’enfants présentant un déficit en hormone de croissance. Le fabricant a cessé la commercialisation vers la fin des années 2000 ; selon les informations publiques disponibles, pour des raisons de fabrication ou économiques, et non en raison d’un problème de sécurité nouvellement identifié. La disparition du produit de diagnostic à cette époque est documentée dans une étude</w:t>
      </w:r>
      <w:r>
        <w:rPr>
          <w:rStyle w:val="FootnoteReference"/>
        </w:rPr>
        <w:footnoteReference w:id="1268"/>
      </w:r>
      <w:r>
        <w:t xml:space="preserve">. Il n’existe aujourd’hui aucune spécialité dotée d’une autorisation valide.</w:t>
      </w:r>
    </w:p>
    <w:p>
      <w:pPr>
        <w:numPr>
          <w:ilvl w:val="0"/>
          <w:numId w:val="1149"/>
        </w:numPr>
        <w:pStyle w:val="Compact"/>
      </w:pPr>
      <w:r>
        <w:rPr>
          <w:bCs/>
          <w:b/>
        </w:rPr>
        <w:t xml:space="preserve">États-Unis aujourd’hui :</w:t>
      </w:r>
      <w:r>
        <w:t xml:space="preserve"> </w:t>
      </w:r>
      <w:r>
        <w:t xml:space="preserve">la sermoréline est fabriquée par des pharmacies de préparations magistrales (compounding) et prescrite surtout dans des cabinets anti-âge. La légalité et les conditions de cette pratique dépendent de l’évolution des règles de la FDA sur les substances pour préparations magistrales, qui font l’objet de débats controversés dans les milieux spécialisés</w:t>
      </w:r>
      <w:r>
        <w:rPr>
          <w:rStyle w:val="FootnoteReference"/>
        </w:rPr>
        <w:footnoteReference w:id="1269"/>
      </w:r>
      <w:r>
        <w:t xml:space="preserve">.</w:t>
      </w:r>
    </w:p>
    <w:p>
      <w:pPr>
        <w:numPr>
          <w:ilvl w:val="0"/>
          <w:numId w:val="1149"/>
        </w:numPr>
        <w:pStyle w:val="Compact"/>
      </w:pPr>
      <w:r>
        <w:rPr>
          <w:bCs/>
          <w:b/>
        </w:rPr>
        <w:t xml:space="preserve">UE, Allemagne, Autriche :</w:t>
      </w:r>
      <w:r>
        <w:t xml:space="preserve"> </w:t>
      </w:r>
      <w:r>
        <w:t xml:space="preserve">pas d’autorisation, aucune spécialité commercialisée. La délivrance en vue d’un usage humain sans autorisation est illégale selon la loi sur les médicaments de chaque pays ; les étiquettes « uniquement à des fins de recherche » n’y changent rien.</w:t>
      </w:r>
    </w:p>
    <w:p>
      <w:pPr>
        <w:numPr>
          <w:ilvl w:val="0"/>
          <w:numId w:val="1149"/>
        </w:numPr>
        <w:pStyle w:val="Compact"/>
      </w:pPr>
      <w:r>
        <w:rPr>
          <w:bCs/>
          <w:b/>
        </w:rPr>
        <w:t xml:space="preserve">AMA (WADA) :</w:t>
      </w:r>
      <w:r>
        <w:t xml:space="preserve"> </w:t>
      </w:r>
      <w:r>
        <w:t xml:space="preserve">interdite (S2). Des méthodes de détection de la sermoréline et de ses produits de dégradation dans l’urine ont été développées</w:t>
      </w:r>
      <w:r>
        <w:rPr>
          <w:rStyle w:val="FootnoteReference"/>
        </w:rPr>
        <w:footnoteReference w:id="1270"/>
      </w:r>
      <w:r>
        <w:t xml:space="preserve">.</w:t>
      </w:r>
    </w:p>
    <w:bookmarkEnd w:id="1271"/>
    <w:bookmarkStart w:id="1272" w:name="études-en-cours-et-perspectives-23"/>
    <w:p>
      <w:pPr>
        <w:pStyle w:val="Heading3"/>
      </w:pPr>
      <w:r>
        <w:t xml:space="preserve">Études en cours et perspectives</w:t>
      </w:r>
    </w:p>
    <w:p>
      <w:pPr>
        <w:pStyle w:val="FirstParagraph"/>
      </w:pPr>
      <w:r>
        <w:t xml:space="preserve">Aucune étude clinique en cours portant sur la sermoréline elle-même n’est répertoriée sur ClinicalTrials.gov en octobre 2026 ; les entrées du registre sous ce mot-clé concernent des études terminées sur la GHRH ou la tésamoréline.</w:t>
      </w:r>
      <w:r>
        <w:t xml:space="preserve"> </w:t>
      </w:r>
      <w:r>
        <w:rPr>
          <w:iCs/>
          <w:i/>
        </w:rPr>
        <w:t xml:space="preserve">Appréciation de l’auteur :</w:t>
      </w:r>
      <w:r>
        <w:t xml:space="preserve"> </w:t>
      </w:r>
      <w:r>
        <w:t xml:space="preserve">un retour comme médicament autorisé n’est pas en vue. La demande continuera d’être portée par les cliniques et les vendeurs en ligne, et non par de nouvelles données d’études.</w:t>
      </w:r>
    </w:p>
    <w:bookmarkEnd w:id="1272"/>
    <w:bookmarkStart w:id="1273" w:name="conclusion-23"/>
    <w:p>
      <w:pPr>
        <w:pStyle w:val="Heading3"/>
      </w:pPr>
      <w:r>
        <w:t xml:space="preserve">Conclusion</w:t>
      </w:r>
    </w:p>
    <w:p>
      <w:pPr>
        <w:pStyle w:val="FirstParagraph"/>
      </w:pPr>
      <w:r>
        <w:t xml:space="preserve">La sermoréline stimule de manière fiable la libération endogène d’hormone de croissance et était autorisée aux États-Unis pour les enfants présentant un déficit en hormone de croissance, mais elle y agissait moins que l’hormone de croissance elle-même. Les études chez les adultes âgés ne portent chacune que sur une dizaine à une vingtaine de personnes et ne montrent tout au plus que de petits effets hétérogènes. Les preuves d’un bénéfice comme produit « anti-âge » ou pour améliorer la performance font défaut, tout comme les données de sécurité à long terme.</w:t>
      </w:r>
    </w:p>
    <w:bookmarkEnd w:id="1273"/>
    <w:bookmarkEnd w:id="1274"/>
    <w:bookmarkStart w:id="1314" w:name="tésamoréline"/>
    <w:p>
      <w:pPr>
        <w:pStyle w:val="Heading2"/>
      </w:pPr>
      <w:r>
        <w:t xml:space="preserve">Tésamoréline</w:t>
      </w:r>
    </w:p>
    <w:p>
      <w:pPr>
        <w:pStyle w:val="FirstParagraph"/>
      </w:pPr>
      <w:r>
        <w:t xml:space="preserve">La tésamoréline est le seul peptide de ce groupe qui soit aujourd’hui autorisé aux États-Unis comme médicament pour un traitement au long cours – mais pour une situation très particulière : l’excès de graisse abdominale chez les personnes vivant avec le VIH. C’est justement ce qui la rend instructive. La tésamoréline permet de montrer ce qu’une augmentation de la sécrétion endogène d’hormone de croissance produit réellement dans des études rigoureuses contrôlées contre placebo – et ce qu’elle ne produit pas. Sur Internet, en revanche, elle est volontiers présentée comme le « peptide anti-graisse abdominale » pour tout le monde. Ce chapitre sépare l’usage démontré des espoirs.</w:t>
      </w:r>
    </w:p>
    <w:bookmarkStart w:id="1277" w:name="fiche-signalétique-24"/>
    <w:p>
      <w:pPr>
        <w:pStyle w:val="Heading3"/>
      </w:pPr>
      <w:r>
        <w:t xml:space="preserve">Fiche signalétique</w:t>
      </w:r>
    </w:p>
    <w:p>
      <w:pPr>
        <w:numPr>
          <w:ilvl w:val="0"/>
          <w:numId w:val="1150"/>
        </w:numPr>
        <w:pStyle w:val="Compact"/>
      </w:pPr>
      <w:r>
        <w:rPr>
          <w:bCs/>
          <w:b/>
        </w:rPr>
        <w:t xml:space="preserve">Nature et structure :</w:t>
      </w:r>
      <w:r>
        <w:t xml:space="preserve"> </w:t>
      </w:r>
      <w:r>
        <w:t xml:space="preserve">peptide de synthèse de 44 acides aminés ; il correspond à l’hormone de libération de l’hormone de croissance humaine complète, GHRH(1-44)</w:t>
      </w:r>
      <w:r>
        <w:rPr>
          <w:rStyle w:val="FootnoteReference"/>
        </w:rPr>
        <w:footnoteReference w:id="1275"/>
      </w:r>
      <w:r>
        <w:t xml:space="preserve">, au début de laquelle est fixé un groupement chimique supplémentaire qui retarde sa dégradation rapide dans le sang.</w:t>
      </w:r>
    </w:p>
    <w:p>
      <w:pPr>
        <w:numPr>
          <w:ilvl w:val="0"/>
          <w:numId w:val="1150"/>
        </w:numPr>
        <w:pStyle w:val="Compact"/>
      </w:pPr>
      <w:r>
        <w:rPr>
          <w:bCs/>
          <w:b/>
        </w:rPr>
        <w:t xml:space="preserve">Origine :</w:t>
      </w:r>
      <w:r>
        <w:t xml:space="preserve"> </w:t>
      </w:r>
      <w:r>
        <w:t xml:space="preserve">développée par la société canadienne Theratechnologies (nom de développement TH9507).</w:t>
      </w:r>
    </w:p>
    <w:p>
      <w:pPr>
        <w:numPr>
          <w:ilvl w:val="0"/>
          <w:numId w:val="1150"/>
        </w:numPr>
        <w:pStyle w:val="Compact"/>
      </w:pPr>
      <w:r>
        <w:rPr>
          <w:bCs/>
          <w:b/>
        </w:rPr>
        <w:t xml:space="preserve">Principe d’action :</w:t>
      </w:r>
      <w:r>
        <w:t xml:space="preserve"> </w:t>
      </w:r>
      <w:r>
        <w:t xml:space="preserve">se lie, comme la GHRH endogène, à son récepteur dans l’hypophyse et augmente ainsi la sécrétion propre, toujours pulsatile, d’hormone de croissance (GH) ; en conséquence, le messager IGF-1 augmente.</w:t>
      </w:r>
    </w:p>
    <w:p>
      <w:pPr>
        <w:numPr>
          <w:ilvl w:val="0"/>
          <w:numId w:val="1150"/>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oui (Egrifta, depuis 2010) pour la réduction de l’excès de graisse abdominale chez les adultes vivant avec le VIH et présentant une lipodystrophie</w:t>
      </w:r>
      <w:r>
        <w:rPr>
          <w:rStyle w:val="FootnoteReference"/>
        </w:rPr>
        <w:footnoteReference w:id="1276"/>
      </w:r>
      <w:r>
        <w:t xml:space="preserve">.</w:t>
      </w:r>
    </w:p>
    <w:p>
      <w:pPr>
        <w:numPr>
          <w:ilvl w:val="0"/>
          <w:numId w:val="1150"/>
        </w:numPr>
        <w:pStyle w:val="Compact"/>
      </w:pPr>
      <w:r>
        <w:rPr>
          <w:bCs/>
          <w:b/>
        </w:rPr>
        <w:t xml:space="preserve">AMA (WADA) :</w:t>
      </w:r>
      <w:r>
        <w:t xml:space="preserve"> </w:t>
      </w:r>
      <w:r>
        <w:t xml:space="preserve">interdite, classe S2 (hormones peptidiques, facteurs de croissance, substances apparentées) – expressément couverte en tant qu’analogue de la GHRH.</w:t>
      </w:r>
    </w:p>
    <w:p>
      <w:pPr>
        <w:numPr>
          <w:ilvl w:val="0"/>
          <w:numId w:val="1150"/>
        </w:numPr>
        <w:pStyle w:val="Compact"/>
      </w:pPr>
      <w:r>
        <w:rPr>
          <w:bCs/>
          <w:b/>
        </w:rPr>
        <w:t xml:space="preserve">Niveau de preuve : A</w:t>
      </w:r>
      <w:r>
        <w:t xml:space="preserve"> </w:t>
      </w:r>
      <w:r>
        <w:t xml:space="preserve">– deux grandes études de phase 3 totalisant 806 participants, plusieurs autres études randomisées, autorisation aux États-Unis.</w:t>
      </w:r>
    </w:p>
    <w:bookmarkEnd w:id="1277"/>
    <w:bookmarkStart w:id="1278" w:name="mode-daction-supposé-24"/>
    <w:p>
      <w:pPr>
        <w:pStyle w:val="Heading3"/>
      </w:pPr>
      <w:r>
        <w:t xml:space="preserve">Mode d’action supposé</w:t>
      </w:r>
    </w:p>
    <w:p>
      <w:pPr>
        <w:pStyle w:val="FirstParagraph"/>
      </w:pPr>
      <w:r>
        <w:t xml:space="preserve">L’hormone de croissance n’est pas libérée par l’hypophyse de manière régulière, mais par pics, surtout la nuit. Cette sécrétion est pilotée par deux antagonistes issus de l’hypothalamus : la GHRH accélère, la somatostatine freine. L’hormone de croissance elle-même dégrade les graisses – en particulier la graisse située entre les organes de la cavité abdominale (graisse viscérale) – et stimule la production par le foie d’IGF-1, qui assure une grande partie des effets anabolisants.</w:t>
      </w:r>
    </w:p>
    <w:p>
      <w:pPr>
        <w:pStyle w:val="BodyText"/>
      </w:pPr>
      <w:r>
        <w:t xml:space="preserve">Sous certains traitements anti-VIH, surtout les plus anciens, certaines personnes accumulent une quantité frappante de graisse abdominale, tandis que les bras et les jambes s’amincissent plutôt. Cette redistribution des graisses s’appelle lipodystrophie. Chez les personnes concernées, la sécrétion d’hormone de croissance est souvent diminuée. L’idée derrière la tésamoréline : au lieu d’injecter de l’hormone de croissance venue de l’extérieur, on stimule l’hypophyse elle-même. Comme les boucles de rétrocontrôle de l’organisme sont préservées, les taux excessifs et leurs effets indésirables devraient être plus rares qu’avec l’administration directe de GH – une hypothèse que les études confirment en partie, mais pas entièrement.</w:t>
      </w:r>
    </w:p>
    <w:bookmarkEnd w:id="1278"/>
    <w:bookmarkStart w:id="1296" w:name="études-chez-lhumain-24"/>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23</w:t>
      </w:r>
      <w:r>
        <w:t xml:space="preserve"> </w:t>
      </w:r>
      <w:r>
        <w:t xml:space="preserve">études chez l’humain dans PubMed (</w:t>
      </w:r>
      <w:r>
        <w:rPr>
          <w:rStyle w:val="VerbatimChar"/>
        </w:rPr>
        <w:t xml:space="preserve">humanstudien_alle</w:t>
      </w:r>
      <w:r>
        <w:t xml:space="preserve">) et</w:t>
      </w:r>
      <w:r>
        <w:t xml:space="preserve"> </w:t>
      </w:r>
      <w:r>
        <w:rPr>
          <w:bCs/>
          <w:b/>
        </w:rPr>
        <w:t xml:space="preserve">24</w:t>
      </w:r>
      <w:r>
        <w:t xml:space="preserve"> </w:t>
      </w:r>
      <w:r>
        <w:t xml:space="preserve">entrées sur ClinicalTrials.gov ; l’une d’elles (promoteur « Hudson Biotech », mention « Mock Study » dans le titre) est manifestement une entrée d’exemple fictive et n’est pas comptée ici, de sorte qu’il reste</w:t>
      </w:r>
      <w:r>
        <w:t xml:space="preserve"> </w:t>
      </w:r>
      <w:r>
        <w:rPr>
          <w:bCs/>
          <w:b/>
        </w:rPr>
        <w:t xml:space="preserve">23</w:t>
      </w:r>
      <w:r>
        <w:t xml:space="preserve"> </w:t>
      </w:r>
      <w:r>
        <w:t xml:space="preserve">véritables études enregistrées. S’y ajoutent trois revues systématiques avec méta-analyses.</w:t>
      </w:r>
    </w:p>
    <w:bookmarkStart w:id="1284" w:name="les-études-dautorisation"/>
    <w:p>
      <w:pPr>
        <w:pStyle w:val="Heading4"/>
      </w:pPr>
      <w:r>
        <w:t xml:space="preserve">Les études d’autorisation</w:t>
      </w:r>
    </w:p>
    <w:p>
      <w:pPr>
        <w:pStyle w:val="FirstParagraph"/>
      </w:pPr>
      <w:r>
        <w:t xml:space="preserve">L’autorisation repose sur deux études de phase 3 de conception presque identique, menées chez des personnes vivant avec le VIH et présentant un excès de graisse abdominale. Dans les deux, les participants recevaient selon un rapport 2:1, chaque jour en injection sous-cutanée, de la tésamoréline ou un médicament factice (placebo) ; après 26 semaines suivait une phase de prolongation au cours de laquelle une partie du groupe tésamoréline poursuivait le traitement et une autre passait au placebo.</w:t>
      </w:r>
    </w:p>
    <w:p>
      <w:pPr>
        <w:pStyle w:val="BodyText"/>
      </w:pPr>
      <w:r>
        <w:t xml:space="preserve">Dans la première étude, portant sur 412 participants (86 % d’hommes), la graisse viscérale, mesurée par tomodensitométrie, a diminué de 15,2 % sous tésamoréline et augmenté de 5,0 % sous placebo. Les triglycérides (lipides sanguins) ont baissé de 50 mg/dl contre une hausse de 9 mg/dl. L’IGF-1 a augmenté de 81,0 %. Les valeurs de glycémie ne différaient pas significativement ; toutefois, davantage de participants du groupe tésamoréline ont arrêté en raison d’effets indésirables</w:t>
      </w:r>
      <w:r>
        <w:rPr>
          <w:rStyle w:val="FootnoteReference"/>
        </w:rPr>
        <w:footnoteReference w:id="1279"/>
      </w:r>
      <w:r>
        <w:t xml:space="preserve">. Sur 52 semaines, avec un traitement continu, la réduction de la graisse abdominale s’est maintenue à environ −18 % ; après l’arrêt, la graisse est revenue</w:t>
      </w:r>
      <w:r>
        <w:rPr>
          <w:rStyle w:val="FootnoteReference"/>
        </w:rPr>
        <w:footnoteReference w:id="1280"/>
      </w:r>
      <w:r>
        <w:t xml:space="preserve">.</w:t>
      </w:r>
    </w:p>
    <w:p>
      <w:pPr>
        <w:pStyle w:val="BodyText"/>
      </w:pPr>
      <w:r>
        <w:t xml:space="preserve">La deuxième étude, portant sur 404 participants, l’a confirmé : −10,9 % de graisse viscérale sous tésamoréline contre −0,6 % sous placebo après six mois, aucune modification de la graisse sous-cutanée des bras, des jambes et de l’abdomen, et une perte rapide de l’effet après passage au placebo</w:t>
      </w:r>
      <w:r>
        <w:rPr>
          <w:rStyle w:val="FootnoteReference"/>
        </w:rPr>
        <w:footnoteReference w:id="1281"/>
      </w:r>
      <w:r>
        <w:t xml:space="preserve">.</w:t>
      </w:r>
    </w:p>
    <w:p>
      <w:pPr>
        <w:pStyle w:val="BodyText"/>
      </w:pPr>
      <w:r>
        <w:t xml:space="preserve">L’analyse commune des deux études, portant sur 806 personnes, a montré après 26 semaines un effet du traitement de −15,4 % sur la graisse viscérale, des améliorations des triglycérides et du rapport cholestérol total/HDL ainsi que de la satisfaction quant à l’apparence du ventre. Les auteurs n’ont pas constaté de différences cliniquement significatives de la glycémie</w:t>
      </w:r>
      <w:r>
        <w:rPr>
          <w:rStyle w:val="FootnoteReference"/>
        </w:rPr>
        <w:footnoteReference w:id="1282"/>
      </w:r>
      <w:r>
        <w:t xml:space="preserve">. Tout le monde n’en bénéficie pas de la même façon : une analyse ultérieure a défini à l’avance une diminution de la graisse abdominale d’au moins 8 % comme « réponse ». Chez ces répondeurs, les triglycérides ont baissé nettement plus, et la glycémie et l’HbA1c sont restées largement stables ; chez les non-répondeurs, la glycémie à jeun et l’HbA1c ont légèrement augmenté (analyse a posteriori)</w:t>
      </w:r>
      <w:r>
        <w:rPr>
          <w:rStyle w:val="FootnoteReference"/>
        </w:rPr>
        <w:footnoteReference w:id="1283"/>
      </w:r>
      <w:r>
        <w:t xml:space="preserve">.</w:t>
      </w:r>
    </w:p>
    <w:bookmarkEnd w:id="1284"/>
    <w:bookmarkStart w:id="1287" w:name="graisse-hépatique"/>
    <w:p>
      <w:pPr>
        <w:pStyle w:val="Heading4"/>
      </w:pPr>
      <w:r>
        <w:t xml:space="preserve">Graisse hépatique</w:t>
      </w:r>
    </w:p>
    <w:p>
      <w:pPr>
        <w:pStyle w:val="FirstParagraph"/>
      </w:pPr>
      <w:r>
        <w:t xml:space="preserve">L’effet sur la stéatose hépatique est particulièrement intéressant. Dans une étude plus petite portant sur 50 personnes vivant avec le VIH, la graisse hépatique a diminué en plus de la graisse abdominale ; la glycémie à jeun a augmenté temporairement après deux semaines, et après six mois il n’y avait plus de différence significative</w:t>
      </w:r>
      <w:r>
        <w:rPr>
          <w:rStyle w:val="FootnoteReference"/>
        </w:rPr>
        <w:footnoteReference w:id="1285"/>
      </w:r>
      <w:r>
        <w:t xml:space="preserve">. Une étude randomisée en double aveugle qui a suivi a examiné de façon ciblée 61 personnes vivant avec le VIH et atteintes de stéatose hépatique non alcoolique pendant douze mois, avec biopsies hépatiques. La fraction de graisse hépatique a diminué de 4,1 points de pourcentage de plus en valeur absolue que sous placebo, soit 37 % en valeur relative ; 35 % du groupe tésamoréline, mais seulement 4 % du groupe placebo, se situaient à la fin sous le seuil de stéatose de 5 %</w:t>
      </w:r>
      <w:r>
        <w:rPr>
          <w:rStyle w:val="FootnoteReference"/>
        </w:rPr>
        <w:footnoteReference w:id="1286"/>
      </w:r>
      <w:r>
        <w:t xml:space="preserve">. On n’a pas étudié si cela prévient à long terme la cirrhose ou le cancer du foie.</w:t>
      </w:r>
    </w:p>
    <w:bookmarkEnd w:id="1287"/>
    <w:bookmarkStart w:id="1292" w:name="autres-applications"/>
    <w:p>
      <w:pPr>
        <w:pStyle w:val="Heading4"/>
      </w:pPr>
      <w:r>
        <w:t xml:space="preserve">Autres applications</w:t>
      </w:r>
    </w:p>
    <w:p>
      <w:pPr>
        <w:pStyle w:val="FirstParagraph"/>
      </w:pPr>
      <w:r>
        <w:t xml:space="preserve">En dehors du VIH, il n’existe que des études plus petites :</w:t>
      </w:r>
    </w:p>
    <w:p>
      <w:pPr>
        <w:numPr>
          <w:ilvl w:val="0"/>
          <w:numId w:val="1151"/>
        </w:numPr>
        <w:pStyle w:val="Compact"/>
      </w:pPr>
      <w:r>
        <w:t xml:space="preserve">Chez 60 personnes présentant une obésité abdominale et une sécrétion de GH diminuée (sans VIH), la tésamoréline a réduit sur douze mois la graisse viscérale, les triglycérides, la protéine C réactive et l’épaisseur de la paroi carotidienne, sans détériorer la glycémie</w:t>
      </w:r>
      <w:r>
        <w:rPr>
          <w:rStyle w:val="FootnoteReference"/>
        </w:rPr>
        <w:footnoteReference w:id="1288"/>
      </w:r>
      <w:r>
        <w:t xml:space="preserve">.</w:t>
      </w:r>
    </w:p>
    <w:p>
      <w:pPr>
        <w:numPr>
          <w:ilvl w:val="0"/>
          <w:numId w:val="1151"/>
        </w:numPr>
        <w:pStyle w:val="Compact"/>
      </w:pPr>
      <w:r>
        <w:t xml:space="preserve">Chez 53 personnes atteintes de diabète de type 2, ni la réponse insulinique ni l’HbA1c n’ont changé sur douze semaines par rapport au placebo</w:t>
      </w:r>
      <w:r>
        <w:rPr>
          <w:rStyle w:val="FootnoteReference"/>
        </w:rPr>
        <w:footnoteReference w:id="1289"/>
      </w:r>
      <w:r>
        <w:t xml:space="preserve">.</w:t>
      </w:r>
    </w:p>
    <w:p>
      <w:pPr>
        <w:numPr>
          <w:ilvl w:val="0"/>
          <w:numId w:val="1151"/>
        </w:numPr>
        <w:pStyle w:val="Compact"/>
      </w:pPr>
      <w:r>
        <w:t xml:space="preserve">Dans une étude portant sur 152 adultes âgés (55 à 87 ans), dont 66 présentant un trouble cognitif léger, un effet favorable sur l’évaluation globale des performances cognitives a été observé après 20 semaines, surtout sur les fonctions exécutives. Des effets indésirables – généralement légers – ont été rapportés par 68 % des participants sous tésamoréline contre 36 % sous placebo</w:t>
      </w:r>
      <w:r>
        <w:rPr>
          <w:rStyle w:val="FootnoteReference"/>
        </w:rPr>
        <w:footnoteReference w:id="1290"/>
      </w:r>
      <w:r>
        <w:t xml:space="preserve">. Une étude de confirmation fait défaut.</w:t>
      </w:r>
    </w:p>
    <w:p>
      <w:pPr>
        <w:numPr>
          <w:ilvl w:val="0"/>
          <w:numId w:val="1151"/>
        </w:numPr>
        <w:pStyle w:val="Compact"/>
      </w:pPr>
      <w:r>
        <w:t xml:space="preserve">Chez 73 personnes vivant avec le VIH, présentant une obésité abdominale et des troubles cognitifs, une étude de phase 2 en ouvert n’a montré aucune différence significative des performances cognitives par rapport au traitement standard</w:t>
      </w:r>
      <w:r>
        <w:rPr>
          <w:rStyle w:val="FootnoteReference"/>
        </w:rPr>
        <w:footnoteReference w:id="1291"/>
      </w:r>
      <w:r>
        <w:t xml:space="preserve">.</w:t>
      </w:r>
    </w:p>
    <w:bookmarkEnd w:id="1292"/>
    <w:bookmarkStart w:id="1295" w:name="méta-analyses"/>
    <w:p>
      <w:pPr>
        <w:pStyle w:val="Heading4"/>
      </w:pPr>
      <w:r>
        <w:t xml:space="preserve">Méta-analyses</w:t>
      </w:r>
    </w:p>
    <w:p>
      <w:pPr>
        <w:pStyle w:val="FirstParagraph"/>
      </w:pPr>
      <w:r>
        <w:t xml:space="preserve">Deux méta-analyses de 2026 synthétisent les études randomisées dans la lipodystrophie liée au VIH. L’une (quatre études, 909 personnes) a constaté une réduction de la graisse viscérale, du tour de taille de 1,61 cm et de la graisse du tronc, ainsi qu’une augmentation de la masse maigre de 1,42 kg ; le taux d’arrêt pour effets indésirables avait tendance à être plus élevé (rapport de risque 2,25, de justesse non significatif statistiquement)</w:t>
      </w:r>
      <w:r>
        <w:rPr>
          <w:rStyle w:val="FootnoteReference"/>
        </w:rPr>
        <w:footnoteReference w:id="1293"/>
      </w:r>
      <w:r>
        <w:t xml:space="preserve">. L’autre (cinq études) a confirmé la diminution de la graisse hépatique de 4,28 points de pourcentage et a cité les douleurs articulaires et musculaires, les paresthésies et les réactions cutanées au point d’injection comme effets indésirables typiques</w:t>
      </w:r>
      <w:r>
        <w:rPr>
          <w:rStyle w:val="FootnoteReference"/>
        </w:rPr>
        <w:footnoteReference w:id="1294"/>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3, étude 1 (Falutz 2007), PMID 18057338</w:t>
            </w:r>
          </w:p>
        </w:tc>
        <w:tc>
          <w:tcPr/>
          <w:p>
            <w:pPr>
              <w:pStyle w:val="Compact"/>
              <w:jc w:val="left"/>
            </w:pPr>
            <w:r>
              <w:t xml:space="preserve">412 personnes vivant avec le VIH et graisse abdominale, ECR contre placebo</w:t>
            </w:r>
          </w:p>
        </w:tc>
        <w:tc>
          <w:tcPr/>
          <w:p>
            <w:pPr>
              <w:pStyle w:val="Compact"/>
              <w:jc w:val="left"/>
            </w:pPr>
            <w:r>
              <w:t xml:space="preserve">26 semaines</w:t>
            </w:r>
          </w:p>
        </w:tc>
        <w:tc>
          <w:tcPr/>
          <w:p>
            <w:pPr>
              <w:pStyle w:val="Compact"/>
              <w:jc w:val="left"/>
            </w:pPr>
            <w:r>
              <w:t xml:space="preserve">graisse viscérale −15,2 % vs +5,0 %</w:t>
            </w:r>
          </w:p>
        </w:tc>
      </w:tr>
      <w:tr>
        <w:tc>
          <w:tcPr/>
          <w:p>
            <w:pPr>
              <w:pStyle w:val="Compact"/>
              <w:jc w:val="left"/>
            </w:pPr>
            <w:r>
              <w:t xml:space="preserve">Phase 3, étude 2 (Falutz 2010), PMID 20101189</w:t>
            </w:r>
          </w:p>
        </w:tc>
        <w:tc>
          <w:tcPr/>
          <w:p>
            <w:pPr>
              <w:pStyle w:val="Compact"/>
              <w:jc w:val="left"/>
            </w:pPr>
            <w:r>
              <w:t xml:space="preserve">404 personnes vivant avec le VIH, ECR avec phase de prolongation</w:t>
            </w:r>
          </w:p>
        </w:tc>
        <w:tc>
          <w:tcPr/>
          <w:p>
            <w:pPr>
              <w:pStyle w:val="Compact"/>
              <w:jc w:val="left"/>
            </w:pPr>
            <w:r>
              <w:t xml:space="preserve">12 mois</w:t>
            </w:r>
          </w:p>
        </w:tc>
        <w:tc>
          <w:tcPr/>
          <w:p>
            <w:pPr>
              <w:pStyle w:val="Compact"/>
              <w:jc w:val="left"/>
            </w:pPr>
            <w:r>
              <w:t xml:space="preserve">−10,9 % vs −0,6 % après 6 mois ; effet perdu après l’arrêt</w:t>
            </w:r>
          </w:p>
        </w:tc>
      </w:tr>
      <w:tr>
        <w:tc>
          <w:tcPr/>
          <w:p>
            <w:pPr>
              <w:pStyle w:val="Compact"/>
              <w:jc w:val="left"/>
            </w:pPr>
            <w:r>
              <w:t xml:space="preserve">Analyse poolée (Falutz 2010), PMID 20554713</w:t>
            </w:r>
          </w:p>
        </w:tc>
        <w:tc>
          <w:tcPr/>
          <w:p>
            <w:pPr>
              <w:pStyle w:val="Compact"/>
              <w:jc w:val="left"/>
            </w:pPr>
            <w:r>
              <w:t xml:space="preserve">806 personnes issues des deux études de phase 3</w:t>
            </w:r>
          </w:p>
        </w:tc>
        <w:tc>
          <w:tcPr/>
          <w:p>
            <w:pPr>
              <w:pStyle w:val="Compact"/>
              <w:jc w:val="left"/>
            </w:pPr>
            <w:r>
              <w:t xml:space="preserve">26–52 semaines</w:t>
            </w:r>
          </w:p>
        </w:tc>
        <w:tc>
          <w:tcPr/>
          <w:p>
            <w:pPr>
              <w:pStyle w:val="Compact"/>
              <w:jc w:val="left"/>
            </w:pPr>
            <w:r>
              <w:t xml:space="preserve">effet du traitement −15,4 % ; glycémie sans changement cliniquement pertinent</w:t>
            </w:r>
          </w:p>
        </w:tc>
      </w:tr>
      <w:tr>
        <w:tc>
          <w:tcPr/>
          <w:p>
            <w:pPr>
              <w:pStyle w:val="Compact"/>
              <w:jc w:val="left"/>
            </w:pPr>
            <w:r>
              <w:t xml:space="preserve">Stéatose hépatique et VIH (Stanley 2019), PMID 31611038</w:t>
            </w:r>
          </w:p>
        </w:tc>
        <w:tc>
          <w:tcPr/>
          <w:p>
            <w:pPr>
              <w:pStyle w:val="Compact"/>
              <w:jc w:val="left"/>
            </w:pPr>
            <w:r>
              <w:t xml:space="preserve">61 personnes vivant avec le VIH et stéatose, ECR</w:t>
            </w:r>
          </w:p>
        </w:tc>
        <w:tc>
          <w:tcPr/>
          <w:p>
            <w:pPr>
              <w:pStyle w:val="Compact"/>
              <w:jc w:val="left"/>
            </w:pPr>
            <w:r>
              <w:t xml:space="preserve">12 mois</w:t>
            </w:r>
          </w:p>
        </w:tc>
        <w:tc>
          <w:tcPr/>
          <w:p>
            <w:pPr>
              <w:pStyle w:val="Compact"/>
              <w:jc w:val="left"/>
            </w:pPr>
            <w:r>
              <w:t xml:space="preserve">fraction de graisse hépatique −4,1 points de pourcentage vs placebo</w:t>
            </w:r>
          </w:p>
        </w:tc>
      </w:tr>
      <w:tr>
        <w:tc>
          <w:tcPr/>
          <w:p>
            <w:pPr>
              <w:pStyle w:val="Compact"/>
              <w:jc w:val="left"/>
            </w:pPr>
            <w:r>
              <w:t xml:space="preserve">Sans VIH (Makimura 2012), PMID 23015655</w:t>
            </w:r>
          </w:p>
        </w:tc>
        <w:tc>
          <w:tcPr/>
          <w:p>
            <w:pPr>
              <w:pStyle w:val="Compact"/>
              <w:jc w:val="left"/>
            </w:pPr>
            <w:r>
              <w:t xml:space="preserve">60 adultes avec obésité abdominale, ECR</w:t>
            </w:r>
          </w:p>
        </w:tc>
        <w:tc>
          <w:tcPr/>
          <w:p>
            <w:pPr>
              <w:pStyle w:val="Compact"/>
              <w:jc w:val="left"/>
            </w:pPr>
            <w:r>
              <w:t xml:space="preserve">12 mois</w:t>
            </w:r>
          </w:p>
        </w:tc>
        <w:tc>
          <w:tcPr/>
          <w:p>
            <w:pPr>
              <w:pStyle w:val="Compact"/>
              <w:jc w:val="left"/>
            </w:pPr>
            <w:r>
              <w:t xml:space="preserve">graisse viscérale −35 cm² par rapport au placebo</w:t>
            </w:r>
          </w:p>
        </w:tc>
      </w:tr>
      <w:tr>
        <w:tc>
          <w:tcPr/>
          <w:p>
            <w:pPr>
              <w:pStyle w:val="Compact"/>
              <w:jc w:val="left"/>
            </w:pPr>
            <w:r>
              <w:t xml:space="preserve">Cognition chez le sujet âgé (Baker 2012), PMID 22869065</w:t>
            </w:r>
          </w:p>
        </w:tc>
        <w:tc>
          <w:tcPr/>
          <w:p>
            <w:pPr>
              <w:pStyle w:val="Compact"/>
              <w:jc w:val="left"/>
            </w:pPr>
            <w:r>
              <w:t xml:space="preserve">152 personnes âgées, dont 66 avec trouble cognitif léger, ECR</w:t>
            </w:r>
          </w:p>
        </w:tc>
        <w:tc>
          <w:tcPr/>
          <w:p>
            <w:pPr>
              <w:pStyle w:val="Compact"/>
              <w:jc w:val="left"/>
            </w:pPr>
            <w:r>
              <w:t xml:space="preserve">20 semaines</w:t>
            </w:r>
          </w:p>
        </w:tc>
        <w:tc>
          <w:tcPr/>
          <w:p>
            <w:pPr>
              <w:pStyle w:val="Compact"/>
              <w:jc w:val="left"/>
            </w:pPr>
            <w:r>
              <w:t xml:space="preserve">effet favorable sur les performances cognitives ; plus d’effets indésirables</w:t>
            </w:r>
          </w:p>
        </w:tc>
      </w:tr>
      <w:tr>
        <w:tc>
          <w:tcPr/>
          <w:p>
            <w:pPr>
              <w:pStyle w:val="Compact"/>
              <w:jc w:val="left"/>
            </w:pPr>
            <w:r>
              <w:t xml:space="preserve">Méta-analyse (Ditta 2026), PMID 42538058</w:t>
            </w:r>
          </w:p>
        </w:tc>
        <w:tc>
          <w:tcPr/>
          <w:p>
            <w:pPr>
              <w:pStyle w:val="Compact"/>
              <w:jc w:val="left"/>
            </w:pPr>
            <w:r>
              <w:t xml:space="preserve">4 ECR, 909 personnes vivant avec le VIH</w:t>
            </w:r>
          </w:p>
        </w:tc>
        <w:tc>
          <w:tcPr/>
          <w:p>
            <w:pPr>
              <w:pStyle w:val="Compact"/>
              <w:jc w:val="left"/>
            </w:pPr>
            <w:r>
              <w:t xml:space="preserve">–</w:t>
            </w:r>
          </w:p>
        </w:tc>
        <w:tc>
          <w:tcPr/>
          <w:p>
            <w:pPr>
              <w:pStyle w:val="Compact"/>
              <w:jc w:val="left"/>
            </w:pPr>
            <w:r>
              <w:t xml:space="preserve">moins de graisse viscérale, +1,42 kg de masse maigre</w:t>
            </w:r>
          </w:p>
        </w:tc>
      </w:tr>
    </w:tbl>
    <w:bookmarkEnd w:id="1295"/>
    <w:bookmarkEnd w:id="1296"/>
    <w:bookmarkStart w:id="1300" w:name="études-animales-et-de-laboratoire-24"/>
    <w:p>
      <w:pPr>
        <w:pStyle w:val="Heading3"/>
      </w:pPr>
      <w:r>
        <w:t xml:space="preserve">Études animales et de laboratoire</w:t>
      </w:r>
    </w:p>
    <w:p>
      <w:pPr>
        <w:pStyle w:val="FirstParagraph"/>
      </w:pPr>
      <w:r>
        <w:t xml:space="preserve">Pour la tésamoréline elle-même, il existe relativement peu de recherche animale propre ; son développement s’est appuyé sur la GHRH endogène, bien étudiée. Une revue examine si une stimulation de l’axe de l’hormone de croissance pourrait favoriser la régénération des nerfs lésés et s’appuie pour cela principalement sur des études animales et mécanistiques</w:t>
      </w:r>
      <w:r>
        <w:rPr>
          <w:rStyle w:val="FootnoteReference"/>
        </w:rPr>
        <w:footnoteReference w:id="1297"/>
      </w:r>
      <w:r>
        <w:t xml:space="preserve">. Une petite étude de phase 2 sur ce sujet chez l’humain est enregistrée</w:t>
      </w:r>
      <w:r>
        <w:rPr>
          <w:rStyle w:val="FootnoteReference"/>
        </w:rPr>
        <w:footnoteReference w:id="1298"/>
      </w:r>
      <w:r>
        <w:t xml:space="preserve">.</w:t>
      </w:r>
    </w:p>
    <w:p>
      <w:pPr>
        <w:pStyle w:val="BodyText"/>
      </w:pPr>
      <w:r>
        <w:t xml:space="preserve">Une analyse tissulaire des biopsies hépatiques de l’étude sur la stéatose a montré que, sous tésamoréline, des groupes de gènes liés à la production d’énergie dans les mitochondries étaient plus actifs, et des groupes de gènes liés à l’inflammation, au remodelage tissulaire et à la division cellulaire moins actifs que sous placebo</w:t>
      </w:r>
      <w:r>
        <w:rPr>
          <w:rStyle w:val="FootnoteReference"/>
        </w:rPr>
        <w:footnoteReference w:id="1299"/>
      </w:r>
      <w:r>
        <w:t xml:space="preserve">. Ce sont des résultats issus d’échantillons de tissus humains, mais pas des critères cliniques.</w:t>
      </w:r>
    </w:p>
    <w:bookmarkEnd w:id="1300"/>
    <w:bookmarkStart w:id="1309" w:name="risques-et-effets-indésirables-24"/>
    <w:p>
      <w:pPr>
        <w:pStyle w:val="Heading3"/>
      </w:pPr>
      <w:r>
        <w:t xml:space="preserve">Risques et effets indésirables</w:t>
      </w:r>
    </w:p>
    <w:p>
      <w:pPr>
        <w:pStyle w:val="FirstParagraph"/>
      </w:pPr>
      <w:r>
        <w:rPr>
          <w:bCs/>
          <w:b/>
        </w:rPr>
        <w:t xml:space="preserve">Établi par les études :</w:t>
      </w:r>
    </w:p>
    <w:p>
      <w:pPr>
        <w:numPr>
          <w:ilvl w:val="0"/>
          <w:numId w:val="1152"/>
        </w:numPr>
        <w:pStyle w:val="Compact"/>
      </w:pPr>
      <w:r>
        <w:t xml:space="preserve">Réactions au point d’injection (rougeur, démangeaisons) – plus fréquentes que sous placebo dans l’étude sur la stéatose, mais pas graves</w:t>
      </w:r>
      <w:r>
        <w:rPr>
          <w:rStyle w:val="FootnoteReference"/>
        </w:rPr>
        <w:footnoteReference w:id="1301"/>
      </w:r>
      <w:r>
        <w:t xml:space="preserve">.</w:t>
      </w:r>
    </w:p>
    <w:p>
      <w:pPr>
        <w:numPr>
          <w:ilvl w:val="0"/>
          <w:numId w:val="1152"/>
        </w:numPr>
        <w:pStyle w:val="Compact"/>
      </w:pPr>
      <w:r>
        <w:t xml:space="preserve">Effets typiques de l’hormone de croissance tels que douleurs articulaires et musculaires ainsi que paresthésies</w:t>
      </w:r>
      <w:r>
        <w:rPr>
          <w:rStyle w:val="FootnoteReference"/>
        </w:rPr>
        <w:footnoteReference w:id="1302"/>
      </w:r>
      <w:r>
        <w:t xml:space="preserve">.</w:t>
      </w:r>
    </w:p>
    <w:p>
      <w:pPr>
        <w:numPr>
          <w:ilvl w:val="0"/>
          <w:numId w:val="1152"/>
        </w:numPr>
        <w:pStyle w:val="Compact"/>
      </w:pPr>
      <w:r>
        <w:t xml:space="preserve">Glycémie : dans les grandes études, pas de détérioration cliniquement pertinente en moyenne, mais une hausse temporaire de la glycémie à jeun au cours des premières semaines</w:t>
      </w:r>
      <w:r>
        <w:rPr>
          <w:rStyle w:val="FootnoteReference"/>
        </w:rPr>
        <w:footnoteReference w:id="1303"/>
      </w:r>
      <w:r>
        <w:t xml:space="preserve"> </w:t>
      </w:r>
      <w:r>
        <w:t xml:space="preserve">et une légère hausse chez les personnes dont la graisse abdominale n’a pas répondu</w:t>
      </w:r>
      <w:r>
        <w:rPr>
          <w:rStyle w:val="FootnoteReference"/>
        </w:rPr>
        <w:footnoteReference w:id="1304"/>
      </w:r>
      <w:r>
        <w:t xml:space="preserve">. Les personnes diabétiques devraient faire l’objet d’une surveillance médicale.</w:t>
      </w:r>
    </w:p>
    <w:p>
      <w:pPr>
        <w:numPr>
          <w:ilvl w:val="0"/>
          <w:numId w:val="1152"/>
        </w:numPr>
        <w:pStyle w:val="Compact"/>
      </w:pPr>
      <w:r>
        <w:t xml:space="preserve">Davantage d’arrêts de traitement pour effets indésirables que sous placebo</w:t>
      </w:r>
      <w:r>
        <w:rPr>
          <w:rStyle w:val="FootnoteReference"/>
        </w:rPr>
        <w:footnoteReference w:id="1305"/>
      </w:r>
      <w:r>
        <w:t xml:space="preserve">.</w:t>
      </w:r>
    </w:p>
    <w:p>
      <w:pPr>
        <w:numPr>
          <w:ilvl w:val="0"/>
          <w:numId w:val="1152"/>
        </w:numPr>
        <w:pStyle w:val="Compact"/>
      </w:pPr>
      <w:r>
        <w:t xml:space="preserve">L’effet n’est pas durable : après l’arrêt, la graisse abdominale revient</w:t>
      </w:r>
      <w:r>
        <w:rPr>
          <w:rStyle w:val="FootnoteReference"/>
        </w:rPr>
        <w:footnoteReference w:id="1306"/>
      </w:r>
      <w:r>
        <w:t xml:space="preserve">.</w:t>
      </w:r>
    </w:p>
    <w:p>
      <w:pPr>
        <w:pStyle w:val="FirstParagraph"/>
      </w:pPr>
      <w:r>
        <w:rPr>
          <w:bCs/>
          <w:b/>
        </w:rPr>
        <w:t xml:space="preserve">Incertain ou théorique :</w:t>
      </w:r>
      <w:r>
        <w:t xml:space="preserve"> </w:t>
      </w:r>
      <w:r>
        <w:t xml:space="preserve">la tésamoréline augmente nettement l’IGF-1 – de 81 % dans la première étude de phase 3. Dans les études observationnelles, des taux élevés d’IGF-1 sont associés à un risque légèrement plus élevé de certains cancers (détails dans l’introduction de ce groupe et dans la partie IV). Les études sur la tésamoréline elles-mêmes ne permettent pas de déduire un risque accru de cancer, mais elles étaient trop courtes pour cela. Une étude observationnelle à long terme du fabricant portant sur 391 participants</w:t>
      </w:r>
      <w:r>
        <w:rPr>
          <w:rStyle w:val="FootnoteReference"/>
        </w:rPr>
        <w:footnoteReference w:id="1307"/>
      </w:r>
      <w:r>
        <w:t xml:space="preserve"> </w:t>
      </w:r>
      <w:r>
        <w:t xml:space="preserve">et une étude sur la rétinopathie diabétique</w:t>
      </w:r>
      <w:r>
        <w:rPr>
          <w:rStyle w:val="FootnoteReference"/>
        </w:rPr>
        <w:footnoteReference w:id="1308"/>
      </w:r>
      <w:r>
        <w:t xml:space="preserve"> </w:t>
      </w:r>
      <w:r>
        <w:t xml:space="preserve">ont été arrêtées prématurément ; je n’ai pas trouvé de résultats publiés à leur sujet dans PubMed. Selon le résumé des caractéristiques du produit, la tésamoréline ne doit pas être utilisée en cas de cancer actif ; les détails sont réglés par le résumé des caractéristiques du produit, et l’utilisation relève d’un encadrement médical.</w:t>
      </w:r>
    </w:p>
    <w:bookmarkEnd w:id="1309"/>
    <w:bookmarkStart w:id="1311" w:name="statut-juridique-24"/>
    <w:p>
      <w:pPr>
        <w:pStyle w:val="Heading3"/>
      </w:pPr>
      <w:r>
        <w:t xml:space="preserve">Statut juridique</w:t>
      </w:r>
    </w:p>
    <w:p>
      <w:pPr>
        <w:pStyle w:val="FirstParagraph"/>
      </w:pPr>
      <w:r>
        <w:rPr>
          <w:iCs/>
          <w:i/>
        </w:rPr>
        <w:t xml:space="preserve">État 2026, à vérifier.</w:t>
      </w:r>
    </w:p>
    <w:p>
      <w:pPr>
        <w:numPr>
          <w:ilvl w:val="0"/>
          <w:numId w:val="1153"/>
        </w:numPr>
        <w:pStyle w:val="Compact"/>
      </w:pPr>
      <w:r>
        <w:rPr>
          <w:bCs/>
          <w:b/>
        </w:rPr>
        <w:t xml:space="preserve">UE :</w:t>
      </w:r>
      <w:r>
        <w:t xml:space="preserve"> </w:t>
      </w:r>
      <w:r>
        <w:t xml:space="preserve">non autorisée. La tésamoréline n’est commercialisée comme médicament dans aucun État de l’UE.</w:t>
      </w:r>
    </w:p>
    <w:p>
      <w:pPr>
        <w:numPr>
          <w:ilvl w:val="0"/>
          <w:numId w:val="1153"/>
        </w:numPr>
        <w:pStyle w:val="Compact"/>
      </w:pPr>
      <w:r>
        <w:rPr>
          <w:bCs/>
          <w:b/>
        </w:rPr>
        <w:t xml:space="preserve">Allemagne et Autriche :</w:t>
      </w:r>
      <w:r>
        <w:t xml:space="preserve"> </w:t>
      </w:r>
      <w:r>
        <w:t xml:space="preserve">aucune autorisation. Un approvisionnement ne serait envisageable, le cas échéant, que par une importation individuelle, sous responsabilité médicale, d’un médicament autorisé à l’étranger ; la remise de produits du marché gris destinés à un usage humain est illicite.</w:t>
      </w:r>
    </w:p>
    <w:p>
      <w:pPr>
        <w:numPr>
          <w:ilvl w:val="0"/>
          <w:numId w:val="1153"/>
        </w:numPr>
        <w:pStyle w:val="Compact"/>
      </w:pPr>
      <w:r>
        <w:rPr>
          <w:bCs/>
          <w:b/>
        </w:rPr>
        <w:t xml:space="preserve">États-Unis :</w:t>
      </w:r>
      <w:r>
        <w:t xml:space="preserve"> </w:t>
      </w:r>
      <w:r>
        <w:t xml:space="preserve">autorisée sous le nom d’Egrifta (sur ordonnance), exclusivement pour la réduction de l’excès de graisse abdominale dans la lipodystrophie associée au VIH. Toute autre utilisation – par exemple « pour maigrir » ou « contre le vieillissement » – est hors AMM (off-label).</w:t>
      </w:r>
    </w:p>
    <w:p>
      <w:pPr>
        <w:numPr>
          <w:ilvl w:val="0"/>
          <w:numId w:val="1153"/>
        </w:numPr>
        <w:pStyle w:val="Compact"/>
      </w:pPr>
      <w:r>
        <w:rPr>
          <w:bCs/>
          <w:b/>
        </w:rPr>
        <w:t xml:space="preserve">AMA (WADA) :</w:t>
      </w:r>
      <w:r>
        <w:t xml:space="preserve"> </w:t>
      </w:r>
      <w:r>
        <w:t xml:space="preserve">interdite (S2), en compétition et hors compétition. Les laboratoires antidopage ont mis au point des méthodes de détection de la tésamoréline et d’autres analogues de la GHRH dans l’urine</w:t>
      </w:r>
      <w:r>
        <w:rPr>
          <w:rStyle w:val="FootnoteReference"/>
        </w:rPr>
        <w:footnoteReference w:id="1310"/>
      </w:r>
      <w:r>
        <w:t xml:space="preserve">.</w:t>
      </w:r>
    </w:p>
    <w:bookmarkEnd w:id="1311"/>
    <w:bookmarkStart w:id="1312" w:name="études-en-cours-et-perspectives-24"/>
    <w:p>
      <w:pPr>
        <w:pStyle w:val="Heading3"/>
      </w:pPr>
      <w:r>
        <w:t xml:space="preserve">Études en cours et perspectives</w:t>
      </w:r>
    </w:p>
    <w:p>
      <w:pPr>
        <w:pStyle w:val="FirstParagraph"/>
      </w:pPr>
      <w:r>
        <w:t xml:space="preserve">En octobre 2026, ClinicalTrials.gov recense notamment les études ouvertes suivantes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Plan</w:t>
            </w:r>
          </w:p>
        </w:tc>
        <w:tc>
          <w:tcPr/>
          <w:p>
            <w:pPr>
              <w:pStyle w:val="Compact"/>
              <w:jc w:val="left"/>
            </w:pPr>
            <w:r>
              <w:t xml:space="preserve">Statut</w:t>
            </w:r>
          </w:p>
        </w:tc>
        <w:tc>
          <w:tcPr/>
          <w:p>
            <w:pPr>
              <w:pStyle w:val="Compact"/>
              <w:jc w:val="left"/>
            </w:pPr>
            <w:r>
              <w:t xml:space="preserve">Thème</w:t>
            </w:r>
          </w:p>
        </w:tc>
      </w:tr>
      <w:tr>
        <w:tc>
          <w:tcPr/>
          <w:p>
            <w:pPr>
              <w:pStyle w:val="Compact"/>
              <w:jc w:val="left"/>
            </w:pPr>
            <w:r>
              <w:t xml:space="preserve">NCT06554717</w:t>
            </w:r>
          </w:p>
        </w:tc>
        <w:tc>
          <w:tcPr/>
          <w:p>
            <w:pPr>
              <w:pStyle w:val="Compact"/>
              <w:jc w:val="left"/>
            </w:pPr>
            <w:r>
              <w:t xml:space="preserve">Phase 2, 100 personnes</w:t>
            </w:r>
          </w:p>
        </w:tc>
        <w:tc>
          <w:tcPr/>
          <w:p>
            <w:pPr>
              <w:pStyle w:val="Compact"/>
              <w:jc w:val="left"/>
            </w:pPr>
            <w:r>
              <w:t xml:space="preserve">en recrutement (début 2025)</w:t>
            </w:r>
          </w:p>
        </w:tc>
        <w:tc>
          <w:tcPr/>
          <w:p>
            <w:pPr>
              <w:pStyle w:val="Compact"/>
              <w:jc w:val="left"/>
            </w:pPr>
            <w:r>
              <w:t xml:space="preserve">tésamoréline en complément de l’entraînement dans le VIH – capacité physique</w:t>
            </w:r>
          </w:p>
        </w:tc>
      </w:tr>
      <w:tr>
        <w:tc>
          <w:tcPr/>
          <w:p>
            <w:pPr>
              <w:pStyle w:val="Compact"/>
              <w:jc w:val="left"/>
            </w:pPr>
            <w:r>
              <w:t xml:space="preserve">NCT03150511</w:t>
            </w:r>
          </w:p>
        </w:tc>
        <w:tc>
          <w:tcPr/>
          <w:p>
            <w:pPr>
              <w:pStyle w:val="Compact"/>
              <w:jc w:val="left"/>
            </w:pPr>
            <w:r>
              <w:t xml:space="preserve">Phase 2, 36 personnes</w:t>
            </w:r>
          </w:p>
        </w:tc>
        <w:tc>
          <w:tcPr/>
          <w:p>
            <w:pPr>
              <w:pStyle w:val="Compact"/>
              <w:jc w:val="left"/>
            </w:pPr>
            <w:r>
              <w:t xml:space="preserve">en recrutement (depuis 2018)</w:t>
            </w:r>
          </w:p>
        </w:tc>
        <w:tc>
          <w:tcPr/>
          <w:p>
            <w:pPr>
              <w:pStyle w:val="Compact"/>
              <w:jc w:val="left"/>
            </w:pPr>
            <w:r>
              <w:t xml:space="preserve">récupération après lésion des nerfs périphériques</w:t>
            </w:r>
          </w:p>
        </w:tc>
      </w:tr>
    </w:tbl>
    <w:p>
      <w:pPr>
        <w:pStyle w:val="BodyText"/>
      </w:pPr>
      <w:r>
        <w:t xml:space="preserve">Ce qui est</w:t>
      </w:r>
      <w:r>
        <w:t xml:space="preserve"> </w:t>
      </w:r>
      <w:r>
        <w:rPr>
          <w:iCs/>
          <w:i/>
        </w:rPr>
        <w:t xml:space="preserve">établi</w:t>
      </w:r>
      <w:r>
        <w:t xml:space="preserve">, c’est donc seulement que la recherche se poursuit dans de petites études de phase 2.</w:t>
      </w:r>
      <w:r>
        <w:t xml:space="preserve"> </w:t>
      </w:r>
      <w:r>
        <w:rPr>
          <w:iCs/>
          <w:i/>
        </w:rPr>
        <w:t xml:space="preserve">Appréciation de l’auteur :</w:t>
      </w:r>
      <w:r>
        <w:t xml:space="preserve"> </w:t>
      </w:r>
      <w:r>
        <w:t xml:space="preserve">la stéatose hépatique en dehors du VIH serait le nouveau domaine d’application le plus évident, mais d’autres substances actives y sont désormais en concurrence avec des programmes d’études nettement plus vastes. Une autorisation dans l’UE n’est pas en vue dans un avenir prévisible.</w:t>
      </w:r>
    </w:p>
    <w:bookmarkEnd w:id="1312"/>
    <w:bookmarkStart w:id="1313" w:name="conclusion-24"/>
    <w:p>
      <w:pPr>
        <w:pStyle w:val="Heading3"/>
      </w:pPr>
      <w:r>
        <w:t xml:space="preserve">Conclusion</w:t>
      </w:r>
    </w:p>
    <w:p>
      <w:pPr>
        <w:pStyle w:val="FirstParagraph"/>
      </w:pPr>
      <w:r>
        <w:t xml:space="preserve">La tésamoréline est le peptide le mieux étudié de l’axe de l’hormone de croissance : deux grandes études de phase 3 montrent qu’elle réduit d’environ 15 à 18 % la graisse abdominale viscérale chez les personnes vivant avec le VIH et qu’elle diminue aussi la graisse hépatique. L’effet ne dure qu’aussi longtemps que le traitement, et tout le monde ne répond pas. Pour les personnes en bonne santé, les sportives et sportifs ou comme produit « anti-âge », il n’existe pas de données solides. La sécurité à long terme, notamment au regard de l’IGF-1 élevé, n’est pas définitivement établie.</w:t>
      </w:r>
    </w:p>
    <w:bookmarkEnd w:id="1313"/>
    <w:bookmarkEnd w:id="1314"/>
    <w:bookmarkStart w:id="1339" w:name="cjc-1295"/>
    <w:p>
      <w:pPr>
        <w:pStyle w:val="Heading2"/>
      </w:pPr>
      <w:r>
        <w:t xml:space="preserve">CJC-1295</w:t>
      </w:r>
    </w:p>
    <w:p>
      <w:pPr>
        <w:pStyle w:val="FirstParagraph"/>
      </w:pPr>
      <w:r>
        <w:t xml:space="preserve">Sous le nom de CJC-1295, deux substances différentes sont vendues sur Internet – et c’est le point le plus important de ce chapitre. Le CJC-1295 d’origine, de la société ConjuChem, est une hormone de libération de l’hormone de croissance dotée d’une « ancre » chimique qui se fixe dans le sang à la protéine albumine et prolonge l’effet à environ une semaine. Les revendeurs du marché gris proposent en outre du « CJC-1295 sans DAC », qui s’appelle le plus souvent dans la littérature spécialisée « GRF (1-29) modifié ». Pour le premier, il existe deux petites études chez des personnes en bonne santé ; pour le second, pas une seule.</w:t>
      </w:r>
    </w:p>
    <w:bookmarkStart w:id="1316" w:name="fiche-signalétique-25"/>
    <w:p>
      <w:pPr>
        <w:pStyle w:val="Heading3"/>
      </w:pPr>
      <w:r>
        <w:t xml:space="preserve">Fiche signalétique</w:t>
      </w:r>
    </w:p>
    <w:p>
      <w:pPr>
        <w:numPr>
          <w:ilvl w:val="0"/>
          <w:numId w:val="1154"/>
        </w:numPr>
        <w:pStyle w:val="Compact"/>
      </w:pPr>
      <w:r>
        <w:rPr>
          <w:bCs/>
          <w:b/>
        </w:rPr>
        <w:t xml:space="preserve">Nature et structure :</w:t>
      </w:r>
      <w:r>
        <w:t xml:space="preserve"> </w:t>
      </w:r>
      <w:r>
        <w:t xml:space="preserve">analogue synthétique de l’hormone de libération de l’hormone de croissance, construit sur ses 29 premiers acides aminés avec quatre éléments remplacés qui rendent la dégradation plus difficile.</w:t>
      </w:r>
    </w:p>
    <w:p>
      <w:pPr>
        <w:numPr>
          <w:ilvl w:val="1"/>
          <w:numId w:val="1155"/>
        </w:numPr>
        <w:pStyle w:val="Compact"/>
      </w:pPr>
      <w:r>
        <w:rPr>
          <w:iCs/>
          <w:i/>
        </w:rPr>
        <w:t xml:space="preserve">CJC-1295 avec DAC</w:t>
      </w:r>
      <w:r>
        <w:t xml:space="preserve"> </w:t>
      </w:r>
      <w:r>
        <w:t xml:space="preserve">(Drug Affinity Complex) : en plus, une ancre réactive en bout de chaîne, qui se lie solidement à l’albumine après l’injection</w:t>
      </w:r>
      <w:r>
        <w:rPr>
          <w:rStyle w:val="FootnoteReference"/>
        </w:rPr>
        <w:footnoteReference w:id="1315"/>
      </w:r>
      <w:r>
        <w:t xml:space="preserve">.</w:t>
      </w:r>
    </w:p>
    <w:p>
      <w:pPr>
        <w:numPr>
          <w:ilvl w:val="1"/>
          <w:numId w:val="1155"/>
        </w:numPr>
        <w:pStyle w:val="Compact"/>
      </w:pPr>
      <w:r>
        <w:rPr>
          <w:iCs/>
          <w:i/>
        </w:rPr>
        <w:t xml:space="preserve">CJC-1295 sans DAC</w:t>
      </w:r>
      <w:r>
        <w:t xml:space="preserve"> </w:t>
      </w:r>
      <w:r>
        <w:t xml:space="preserve">(« Mod GRF 1-29 ») : la même chaîne sans ancre ; courte durée d’action.</w:t>
      </w:r>
    </w:p>
    <w:p>
      <w:pPr>
        <w:numPr>
          <w:ilvl w:val="0"/>
          <w:numId w:val="1154"/>
        </w:numPr>
        <w:pStyle w:val="Compact"/>
      </w:pPr>
      <w:r>
        <w:rPr>
          <w:bCs/>
          <w:b/>
        </w:rPr>
        <w:t xml:space="preserve">Origine :</w:t>
      </w:r>
      <w:r>
        <w:t xml:space="preserve"> </w:t>
      </w:r>
      <w:r>
        <w:t xml:space="preserve">développé par ConjuChem (Canada) dans les années 2000 ; le développement clinique n’a pas été poursuivi.</w:t>
      </w:r>
    </w:p>
    <w:p>
      <w:pPr>
        <w:numPr>
          <w:ilvl w:val="0"/>
          <w:numId w:val="1154"/>
        </w:numPr>
        <w:pStyle w:val="Compact"/>
      </w:pPr>
      <w:r>
        <w:rPr>
          <w:bCs/>
          <w:b/>
        </w:rPr>
        <w:t xml:space="preserve">Principe d’action :</w:t>
      </w:r>
      <w:r>
        <w:t xml:space="preserve"> </w:t>
      </w:r>
      <w:r>
        <w:t xml:space="preserve">liaison au récepteur de la GHRH de l’hypophyse ; augmentation de l’hormone de croissance et de l’IGF-1.</w:t>
      </w:r>
    </w:p>
    <w:p>
      <w:pPr>
        <w:numPr>
          <w:ilvl w:val="0"/>
          <w:numId w:val="1154"/>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p>
    <w:p>
      <w:pPr>
        <w:numPr>
          <w:ilvl w:val="0"/>
          <w:numId w:val="1154"/>
        </w:numPr>
        <w:pStyle w:val="Compact"/>
      </w:pPr>
      <w:r>
        <w:rPr>
          <w:bCs/>
          <w:b/>
        </w:rPr>
        <w:t xml:space="preserve">AMA (WADA) :</w:t>
      </w:r>
      <w:r>
        <w:t xml:space="preserve"> </w:t>
      </w:r>
      <w:r>
        <w:t xml:space="preserve">interdit, classe S2 – le CJC-1295 est expressément nommé en tant qu’analogue de la GHRH.</w:t>
      </w:r>
    </w:p>
    <w:p>
      <w:pPr>
        <w:numPr>
          <w:ilvl w:val="0"/>
          <w:numId w:val="1154"/>
        </w:numPr>
        <w:pStyle w:val="Compact"/>
      </w:pPr>
      <w:r>
        <w:rPr>
          <w:bCs/>
          <w:b/>
        </w:rPr>
        <w:t xml:space="preserve">Niveau de preuve : C</w:t>
      </w:r>
      <w:r>
        <w:t xml:space="preserve"> </w:t>
      </w:r>
      <w:r>
        <w:t xml:space="preserve">– deux petites études de phase 1 chez des personnes en bonne santé (avec DAC) ; aucune étude sur un bénéfice clinique ; aucune étude chez l’humain pour la variante sans DAC.</w:t>
      </w:r>
    </w:p>
    <w:bookmarkEnd w:id="1316"/>
    <w:bookmarkStart w:id="1318" w:name="mode-daction-supposé-25"/>
    <w:p>
      <w:pPr>
        <w:pStyle w:val="Heading3"/>
      </w:pPr>
      <w:r>
        <w:t xml:space="preserve">Mode d’action supposé</w:t>
      </w:r>
    </w:p>
    <w:p>
      <w:pPr>
        <w:pStyle w:val="FirstParagraph"/>
      </w:pPr>
      <w:r>
        <w:t xml:space="preserve">La GHRH naturelle est éliminée du sang en quelques minutes par l’enzyme dipeptidyl-peptidase-4 et par les reins. L’ancre DAC devait résoudre ce problème : après l’injection, elle réagit avec un groupement soufré libre de l’albumine. Le peptide « chevauche » alors l’albumine, dont la durée de vie se compte en semaines, et est libéré lentement. Chez le rat, le CJC-1295 restait ainsi détectable dans le sang pendant plus de 72 heures</w:t>
      </w:r>
      <w:r>
        <w:rPr>
          <w:rStyle w:val="FootnoteReference"/>
        </w:rPr>
        <w:footnoteReference w:id="1317"/>
      </w:r>
      <w:r>
        <w:t xml:space="preserve">.</w:t>
      </w:r>
    </w:p>
    <w:p>
      <w:pPr>
        <w:pStyle w:val="BodyText"/>
      </w:pPr>
      <w:r>
        <w:t xml:space="preserve">Le CJC-1295 avec DAC se distingue ainsi fondamentalement de tous les autres sécrétagogues de GH : au lieu d’impulsions brèves, il produit une stimulation continue de l’hypophyse. Savoir si cela est physiologiquement favorable était l’une des questions ouvertes du développement. La variante sans DAC agit en revanche aussi brièvement que la sermoréline et est souvent proposée sur le marché gris en association avec des sécrétagogues de GH du groupe de la ghréline (par exemple l’ipamoréline) – une pratique pour laquelle il n’existe aucune étude.</w:t>
      </w:r>
    </w:p>
    <w:bookmarkEnd w:id="1318"/>
    <w:bookmarkStart w:id="1324" w:name="études-chez-lhumain-25"/>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2</w:t>
      </w:r>
      <w:r>
        <w:t xml:space="preserve"> </w:t>
      </w:r>
      <w:r>
        <w:t xml:space="preserve">études chez l’humain dans PubMed (</w:t>
      </w:r>
      <w:r>
        <w:rPr>
          <w:rStyle w:val="VerbatimChar"/>
        </w:rPr>
        <w:t xml:space="preserve">humanstudien_alle</w:t>
      </w:r>
      <w:r>
        <w:t xml:space="preserve">) et</w:t>
      </w:r>
      <w:r>
        <w:t xml:space="preserve"> </w:t>
      </w:r>
      <w:r>
        <w:rPr>
          <w:bCs/>
          <w:b/>
        </w:rPr>
        <w:t xml:space="preserve">1</w:t>
      </w:r>
      <w:r>
        <w:t xml:space="preserve"> </w:t>
      </w:r>
      <w:r>
        <w:t xml:space="preserve">entrée sur ClinicalTrials.gov. Une recherche complémentaire ciblée a mis au jour en outre une analyse ultérieure d’échantillons sanguins issus de l’une des deux études. Tous les travaux concernent le CJC-1295</w:t>
      </w:r>
      <w:r>
        <w:t xml:space="preserve"> </w:t>
      </w:r>
      <w:r>
        <w:rPr>
          <w:iCs/>
          <w:i/>
        </w:rPr>
        <w:t xml:space="preserve">avec</w:t>
      </w:r>
      <w:r>
        <w:t xml:space="preserve"> </w:t>
      </w:r>
      <w:r>
        <w:t xml:space="preserve">DAC.</w:t>
      </w:r>
    </w:p>
    <w:p>
      <w:pPr>
        <w:pStyle w:val="BodyText"/>
      </w:pPr>
      <w:r>
        <w:rPr>
          <w:bCs/>
          <w:b/>
        </w:rPr>
        <w:t xml:space="preserve">Recherche de dose chez des personnes en bonne santé :</w:t>
      </w:r>
      <w:r>
        <w:t xml:space="preserve"> </w:t>
      </w:r>
      <w:r>
        <w:t xml:space="preserve">dans deux études randomisées, contrôlées contre placebo, en double aveugle et à doses croissantes, des adultes en bonne santé âgés de 21 à 61 ans ont reçu une injection unique ou deux à trois injections hebdomadaires ou bimensuelles. Après une seule injection, l’hormone de croissance a augmenté en moyenne d’un facteur 2 à 10 pendant six jours ou plus, l’IGF-1 d’un facteur 1,5 à 3 pendant 9 à 11 jours. La demi-vie était de 5,8 à 8,1 jours. Après plusieurs doses, l’IGF-1 est resté au-dessus de la valeur initiale jusqu’à 28 jours. Aucun effet indésirable grave n’a été rapporté</w:t>
      </w:r>
      <w:r>
        <w:rPr>
          <w:rStyle w:val="FootnoteReference"/>
        </w:rPr>
        <w:footnoteReference w:id="1319"/>
      </w:r>
      <w:r>
        <w:t xml:space="preserve">.</w:t>
      </w:r>
    </w:p>
    <w:p>
      <w:pPr>
        <w:pStyle w:val="BodyText"/>
      </w:pPr>
      <w:r>
        <w:rPr>
          <w:bCs/>
          <w:b/>
        </w:rPr>
        <w:t xml:space="preserve">Pulsatilité :</w:t>
      </w:r>
      <w:r>
        <w:t xml:space="preserve"> </w:t>
      </w:r>
      <w:r>
        <w:t xml:space="preserve">une deuxième étude a examiné chez des hommes en bonne santé âgés de 20 à 40 ans si le caractère naturellement pulsatile de la sécrétion de GH était préservé. Une semaine après l’injection, la fréquence et l’amplitude des pics de GH étaient inchangées, mais le niveau de base entre les pics était multiplié par 7,5 ; la GH moyenne a augmenté de 46 %, l’IGF-1 de 45 %</w:t>
      </w:r>
      <w:r>
        <w:rPr>
          <w:rStyle w:val="FootnoteReference"/>
        </w:rPr>
        <w:footnoteReference w:id="1320"/>
      </w:r>
      <w:r>
        <w:t xml:space="preserve">.</w:t>
      </w:r>
    </w:p>
    <w:p>
      <w:pPr>
        <w:pStyle w:val="BodyText"/>
      </w:pPr>
      <w:r>
        <w:rPr>
          <w:bCs/>
          <w:b/>
        </w:rPr>
        <w:t xml:space="preserve">Protéines sanguines :</w:t>
      </w:r>
      <w:r>
        <w:t xml:space="preserve"> </w:t>
      </w:r>
      <w:r>
        <w:t xml:space="preserve">une analyse d’échantillons de sérum de 11 jeunes hommes avant et une semaine après l’injection a recherché de nouveaux marqueurs de l’effet de l’hormone de croissance et a trouvé des modifications de certaines protéines sanguines</w:t>
      </w:r>
      <w:r>
        <w:rPr>
          <w:rStyle w:val="FootnoteReference"/>
        </w:rPr>
        <w:footnoteReference w:id="1321"/>
      </w:r>
      <w:r>
        <w:t xml:space="preserve">. Il s’agit de recherche fondamentale sans portée clinique.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Recherche de dose (Teichman 2006), PMID 16352683</w:t>
            </w:r>
          </w:p>
        </w:tc>
        <w:tc>
          <w:tcPr/>
          <w:p>
            <w:pPr>
              <w:pStyle w:val="Compact"/>
              <w:jc w:val="left"/>
            </w:pPr>
            <w:r>
              <w:t xml:space="preserve">adultes en bonne santé 21–61 ans, deux ECR contre placebo, doses croissantes</w:t>
            </w:r>
          </w:p>
        </w:tc>
        <w:tc>
          <w:tcPr/>
          <w:p>
            <w:pPr>
              <w:pStyle w:val="Compact"/>
              <w:jc w:val="left"/>
            </w:pPr>
            <w:r>
              <w:t xml:space="preserve">28 ou 49 jours</w:t>
            </w:r>
          </w:p>
        </w:tc>
        <w:tc>
          <w:tcPr/>
          <w:p>
            <w:pPr>
              <w:pStyle w:val="Compact"/>
              <w:jc w:val="left"/>
            </w:pPr>
            <w:r>
              <w:t xml:space="preserve">GH ×2 à ×10, IGF-1 ×1,5 à ×3 ; demi-vie 5,8–8,1 jours</w:t>
            </w:r>
          </w:p>
        </w:tc>
      </w:tr>
      <w:tr>
        <w:tc>
          <w:tcPr/>
          <w:p>
            <w:pPr>
              <w:pStyle w:val="Compact"/>
              <w:jc w:val="left"/>
            </w:pPr>
            <w:r>
              <w:t xml:space="preserve">Pulsatilité de la GH (Ionescu 2006), PMID 17018654</w:t>
            </w:r>
          </w:p>
        </w:tc>
        <w:tc>
          <w:tcPr/>
          <w:p>
            <w:pPr>
              <w:pStyle w:val="Compact"/>
              <w:jc w:val="left"/>
            </w:pPr>
            <w:r>
              <w:t xml:space="preserve">hommes en bonne santé 20–40 ans, comparaison avant-après</w:t>
            </w:r>
          </w:p>
        </w:tc>
        <w:tc>
          <w:tcPr/>
          <w:p>
            <w:pPr>
              <w:pStyle w:val="Compact"/>
              <w:jc w:val="left"/>
            </w:pPr>
            <w:r>
              <w:t xml:space="preserve">1 semaine après dose unique</w:t>
            </w:r>
          </w:p>
        </w:tc>
        <w:tc>
          <w:tcPr/>
          <w:p>
            <w:pPr>
              <w:pStyle w:val="Compact"/>
              <w:jc w:val="left"/>
            </w:pPr>
            <w:r>
              <w:t xml:space="preserve">pics préservés, GH de base ×7,5, IGF-1 +45 %</w:t>
            </w:r>
          </w:p>
        </w:tc>
      </w:tr>
      <w:tr>
        <w:tc>
          <w:tcPr/>
          <w:p>
            <w:pPr>
              <w:pStyle w:val="Compact"/>
              <w:jc w:val="left"/>
            </w:pPr>
            <w:r>
              <w:t xml:space="preserve">Graisse abdominale et VIH, NCT00267527</w:t>
            </w:r>
          </w:p>
        </w:tc>
        <w:tc>
          <w:tcPr/>
          <w:p>
            <w:pPr>
              <w:pStyle w:val="Compact"/>
              <w:jc w:val="left"/>
            </w:pPr>
            <w:r>
              <w:t xml:space="preserve">120 personnes prévues, phase 2, ECR</w:t>
            </w:r>
          </w:p>
        </w:tc>
        <w:tc>
          <w:tcPr/>
          <w:p>
            <w:pPr>
              <w:pStyle w:val="Compact"/>
              <w:jc w:val="left"/>
            </w:pPr>
            <w:r>
              <w:t xml:space="preserve">12 semaines prévues</w:t>
            </w:r>
          </w:p>
        </w:tc>
        <w:tc>
          <w:tcPr/>
          <w:p>
            <w:pPr>
              <w:pStyle w:val="Compact"/>
              <w:jc w:val="left"/>
            </w:pPr>
            <w:r>
              <w:t xml:space="preserve">interrompue en 2006 ; aucun résultat publié</w:t>
            </w:r>
          </w:p>
        </w:tc>
      </w:tr>
    </w:tbl>
    <w:bookmarkStart w:id="1323" w:name="X9d4e0d88824d35e39709ddc629db5cfa1c1f5b7"/>
    <w:p>
      <w:pPr>
        <w:pStyle w:val="Heading4"/>
      </w:pPr>
      <w:r>
        <w:t xml:space="preserve">L’étude de phase 2 interrompue et le décès rapporté</w:t>
      </w:r>
    </w:p>
    <w:p>
      <w:pPr>
        <w:pStyle w:val="FirstParagraph"/>
      </w:pPr>
      <w:r>
        <w:t xml:space="preserve">Fin 2005, ConjuChem a lancé une étude de phase 2 randomisée, contrôlée contre placebo, avec deux doses de CJC-1295 chez des personnes vivant avec le VIH et présentant un excès de graisse abdominale – c’est-à-dire dans le même domaine d’application où la tésamoréline a été autorisée plus tard</w:t>
      </w:r>
      <w:r>
        <w:rPr>
          <w:rStyle w:val="FootnoteReference"/>
        </w:rPr>
        <w:footnoteReference w:id="1322"/>
      </w:r>
      <w:r>
        <w:t xml:space="preserve">. L’entrée du registre indique le statut « interrompue » (dernière mise à jour en octobre 2006), mais aucun motif d’interruption ni aucun résultat.</w:t>
      </w:r>
    </w:p>
    <w:p>
      <w:pPr>
        <w:pStyle w:val="BodyText"/>
      </w:pPr>
      <w:r>
        <w:t xml:space="preserve">Dans des forums en ligne et certaines synthèses, on lit que l’étude aurait été arrêtée après le décès d’un participant.</w:t>
      </w:r>
      <w:r>
        <w:t xml:space="preserve"> </w:t>
      </w:r>
      <w:r>
        <w:rPr>
          <w:bCs/>
          <w:b/>
        </w:rPr>
        <w:t xml:space="preserve">Ce décès n’est pas étayé par les sources vérifiées pour ce livre :</w:t>
      </w:r>
      <w:r>
        <w:t xml:space="preserve"> </w:t>
      </w:r>
      <w:r>
        <w:t xml:space="preserve">ni l’entrée du registre ni une publication PubMed ne le documentent. On ne peut donc ni confirmer qu’il a eu lieu, ni évaluer s’il était lié à la substance. Ce qui est établi, c’est seulement que l’étude s’est terminée prématurément et que le CJC-1295 n’a plus été développé ensuite.</w:t>
      </w:r>
    </w:p>
    <w:bookmarkEnd w:id="1323"/>
    <w:bookmarkEnd w:id="1324"/>
    <w:bookmarkStart w:id="1327" w:name="études-animales-et-de-laboratoire-25"/>
    <w:p>
      <w:pPr>
        <w:pStyle w:val="Heading3"/>
      </w:pPr>
      <w:r>
        <w:t xml:space="preserve">Études animales et de laboratoire</w:t>
      </w:r>
    </w:p>
    <w:p>
      <w:pPr>
        <w:numPr>
          <w:ilvl w:val="0"/>
          <w:numId w:val="1156"/>
        </w:numPr>
        <w:pStyle w:val="Compact"/>
      </w:pPr>
      <w:r>
        <w:rPr>
          <w:bCs/>
          <w:b/>
        </w:rPr>
        <w:t xml:space="preserve">Rats :</w:t>
      </w:r>
      <w:r>
        <w:t xml:space="preserve"> </w:t>
      </w:r>
      <w:r>
        <w:t xml:space="preserve">parmi trois variantes d’ancre à l’albumine testées, le CJC-1295 a libéré le plus d’hormone de croissance – environ quatre fois plus sur deux heures que le GRF(1-29) non modifié – et est resté plus de 72 heures dans le sang</w:t>
      </w:r>
      <w:r>
        <w:rPr>
          <w:rStyle w:val="FootnoteReference"/>
        </w:rPr>
        <w:footnoteReference w:id="1325"/>
      </w:r>
      <w:r>
        <w:t xml:space="preserve">.</w:t>
      </w:r>
    </w:p>
    <w:p>
      <w:pPr>
        <w:numPr>
          <w:ilvl w:val="0"/>
          <w:numId w:val="1156"/>
        </w:numPr>
        <w:pStyle w:val="Compact"/>
      </w:pPr>
      <w:r>
        <w:rPr>
          <w:bCs/>
          <w:b/>
        </w:rPr>
        <w:t xml:space="preserve">Souris :</w:t>
      </w:r>
      <w:r>
        <w:t xml:space="preserve"> </w:t>
      </w:r>
      <w:r>
        <w:t xml:space="preserve">chez des souris dépourvues de GHRH propre, l’administration quotidienne a normalisé le poids et la taille ; l’administration toutes les 48 ou 72 heures n’y suffisait pas complètement. Dans l’hypophyse, le nombre de cellules productrices de GH a augmenté</w:t>
      </w:r>
      <w:r>
        <w:rPr>
          <w:rStyle w:val="FootnoteReference"/>
        </w:rPr>
        <w:footnoteReference w:id="1326"/>
      </w:r>
      <w:r>
        <w:t xml:space="preserve">. Une multiplication des cellules hypophysaires est souhaitable lorsqu’il s’agit de compenser un déficit – chez les personnes en bonne santé, sa signification à long terme est inconnue.</w:t>
      </w:r>
    </w:p>
    <w:bookmarkEnd w:id="1327"/>
    <w:bookmarkStart w:id="1332" w:name="risques-et-effets-indésirables-25"/>
    <w:p>
      <w:pPr>
        <w:pStyle w:val="Heading3"/>
      </w:pPr>
      <w:r>
        <w:t xml:space="preserve">Risques et effets indésirables</w:t>
      </w:r>
    </w:p>
    <w:p>
      <w:pPr>
        <w:pStyle w:val="FirstParagraph"/>
      </w:pPr>
      <w:r>
        <w:rPr>
          <w:bCs/>
          <w:b/>
        </w:rPr>
        <w:t xml:space="preserve">Établi par les études de phase 1 :</w:t>
      </w:r>
      <w:r>
        <w:t xml:space="preserve"> </w:t>
      </w:r>
      <w:r>
        <w:t xml:space="preserve">pas d’effets indésirables graves chez un petit nombre de personnes en bonne santé traitées brièvement ; la tolérance a été décrite comme relativement bonne, en particulier aux doses les plus faibles</w:t>
      </w:r>
      <w:r>
        <w:rPr>
          <w:rStyle w:val="FootnoteReference"/>
        </w:rPr>
        <w:footnoteReference w:id="1328"/>
      </w:r>
      <w:r>
        <w:t xml:space="preserve">. Cette base de données est trop restreinte pour détecter des risques rares ou à long terme.</w:t>
      </w:r>
    </w:p>
    <w:p>
      <w:pPr>
        <w:pStyle w:val="BodyText"/>
      </w:pPr>
      <w:r>
        <w:rPr>
          <w:bCs/>
          <w:b/>
        </w:rPr>
        <w:t xml:space="preserve">Plausible, mais non étudié :</w:t>
      </w:r>
      <w:r>
        <w:t xml:space="preserve"> </w:t>
      </w:r>
      <w:r>
        <w:t xml:space="preserve">la variante DAC maintient l’hormone de croissance et l’IGF-1 durablement élevés pendant plusieurs jours. Les conséquences typiques de taux élevés de GH sont la rétention d’eau, les douleurs articulaires, des troubles de type canal carpien et une moindre sensibilité à l’insuline. On n’a pas étudié pour le CJC-1295 si un IGF-1 durablement élevé augmente à long terme le risque de cancer ; pour l’état général des données, voir l’introduction de ce groupe et la partie IV.</w:t>
      </w:r>
    </w:p>
    <w:p>
      <w:pPr>
        <w:pStyle w:val="BodyText"/>
      </w:pPr>
      <w:r>
        <w:rPr>
          <w:bCs/>
          <w:b/>
        </w:rPr>
        <w:t xml:space="preserve">Marché gris :</w:t>
      </w:r>
      <w:r>
        <w:t xml:space="preserve"> </w:t>
      </w:r>
      <w:r>
        <w:t xml:space="preserve">dès 2009, un laboratoire norvégien a analysé, à la demande de la police et des douanes, une préparation inconnue et y a trouvé un peptide de 29 acides aminés correspondant à la séquence vendue comme CJC-1295</w:t>
      </w:r>
      <w:r>
        <w:rPr>
          <w:rStyle w:val="FootnoteReference"/>
        </w:rPr>
        <w:footnoteReference w:id="1329"/>
      </w:r>
      <w:r>
        <w:t xml:space="preserve">. Des échantillons des douanes danoises contenaient du « GRF 1-29 modifié » et des mimétiques de la ghréline comportant un acide aminé glycine supplémentaire non déclaré</w:t>
      </w:r>
      <w:r>
        <w:rPr>
          <w:rStyle w:val="FootnoteReference"/>
        </w:rPr>
        <w:footnoteReference w:id="1330"/>
      </w:r>
      <w:r>
        <w:t xml:space="preserve">. Les acheteuses et acheteurs ne peuvent donc pas savoir s’ils reçoivent la variante avec ou sans DAC, une molécule modifiée ou tout autre chose. Une analyse de forums de musculation montre que des femmes aussi utilisent le CJC-1295 pour perdre du poids, pour la peau ou le sommeil, en se fondant sur des témoignages plutôt que sur des études</w:t>
      </w:r>
      <w:r>
        <w:rPr>
          <w:rStyle w:val="FootnoteReference"/>
        </w:rPr>
        <w:footnoteReference w:id="1331"/>
      </w:r>
      <w:r>
        <w:t xml:space="preserve">.</w:t>
      </w:r>
    </w:p>
    <w:bookmarkEnd w:id="1332"/>
    <w:bookmarkStart w:id="1336" w:name="statut-juridique-25"/>
    <w:p>
      <w:pPr>
        <w:pStyle w:val="Heading3"/>
      </w:pPr>
      <w:r>
        <w:t xml:space="preserve">Statut juridique</w:t>
      </w:r>
    </w:p>
    <w:p>
      <w:pPr>
        <w:pStyle w:val="FirstParagraph"/>
      </w:pPr>
      <w:r>
        <w:rPr>
          <w:iCs/>
          <w:i/>
        </w:rPr>
        <w:t xml:space="preserve">État 2026, à vérifier.</w:t>
      </w:r>
    </w:p>
    <w:p>
      <w:pPr>
        <w:numPr>
          <w:ilvl w:val="0"/>
          <w:numId w:val="1157"/>
        </w:numPr>
        <w:pStyle w:val="Compact"/>
      </w:pPr>
      <w:r>
        <w:rPr>
          <w:bCs/>
          <w:b/>
        </w:rPr>
        <w:t xml:space="preserve">UE, Allemagne, Autriche :</w:t>
      </w:r>
      <w:r>
        <w:t xml:space="preserve"> </w:t>
      </w:r>
      <w:r>
        <w:t xml:space="preserve">aucune autorisation. Le CJC-1295 est une substance médicamenteuse non autorisée ; sa remise et son commerce en vue d’un usage humain sont illicites au regard des lois sur le médicament, même lorsque les produits sont déclarés comme « Research Peptide ».</w:t>
      </w:r>
    </w:p>
    <w:p>
      <w:pPr>
        <w:numPr>
          <w:ilvl w:val="0"/>
          <w:numId w:val="1157"/>
        </w:numPr>
        <w:pStyle w:val="Compact"/>
      </w:pPr>
      <w:r>
        <w:rPr>
          <w:bCs/>
          <w:b/>
        </w:rPr>
        <w:t xml:space="preserve">États-Unis :</w:t>
      </w:r>
      <w:r>
        <w:t xml:space="preserve"> </w:t>
      </w:r>
      <w:r>
        <w:t xml:space="preserve">aucune autorisation. La FDA a classé le CJC-1295 – comme plusieurs autres peptides de ce livre – parmi les substances de base pour les pharmacies de préparation magistrale présentant des problèmes de sécurité (catégorie 2). Ces classements ont depuis fait l’objet de débats controversés au sein du comité consultatif compétent et dans les milieux spécialisés</w:t>
      </w:r>
      <w:r>
        <w:rPr>
          <w:rStyle w:val="FootnoteReference"/>
        </w:rPr>
        <w:footnoteReference w:id="1333"/>
      </w:r>
      <w:r>
        <w:t xml:space="preserve"> </w:t>
      </w:r>
      <w:r>
        <w:t xml:space="preserve">; des changements sont possibles.</w:t>
      </w:r>
    </w:p>
    <w:p>
      <w:pPr>
        <w:numPr>
          <w:ilvl w:val="0"/>
          <w:numId w:val="1157"/>
        </w:numPr>
        <w:pStyle w:val="Compact"/>
      </w:pPr>
      <w:r>
        <w:rPr>
          <w:bCs/>
          <w:b/>
        </w:rPr>
        <w:t xml:space="preserve">AMA (WADA) :</w:t>
      </w:r>
      <w:r>
        <w:t xml:space="preserve"> </w:t>
      </w:r>
      <w:r>
        <w:t xml:space="preserve">interdit (S2). Des méthodes de détection du CJC-1295 avec et sans DAC dans l’urine ont été décrites</w:t>
      </w:r>
      <w:r>
        <w:rPr>
          <w:rStyle w:val="FootnoteReference"/>
        </w:rPr>
        <w:footnoteReference w:id="1334"/>
      </w:r>
      <w:r>
        <w:t xml:space="preserve"> </w:t>
      </w:r>
      <w:r>
        <w:t xml:space="preserve">; il est également recherché dans les sports équestres</w:t>
      </w:r>
      <w:r>
        <w:rPr>
          <w:rStyle w:val="FootnoteReference"/>
        </w:rPr>
        <w:footnoteReference w:id="1335"/>
      </w:r>
      <w:r>
        <w:t xml:space="preserve">.</w:t>
      </w:r>
    </w:p>
    <w:bookmarkEnd w:id="1336"/>
    <w:bookmarkStart w:id="1337" w:name="études-en-cours-et-perspectives-25"/>
    <w:p>
      <w:pPr>
        <w:pStyle w:val="Heading3"/>
      </w:pPr>
      <w:r>
        <w:t xml:space="preserve">Études en cours et perspectives</w:t>
      </w:r>
    </w:p>
    <w:p>
      <w:pPr>
        <w:pStyle w:val="FirstParagraph"/>
      </w:pPr>
      <w:r>
        <w:t xml:space="preserve">En octobre 2026, ClinicalTrials.gov ne recense aucune entrée sur le CJC-1295 en dehors de l’étude de phase 2 interrompue en 2006.</w:t>
      </w:r>
      <w:r>
        <w:t xml:space="preserve"> </w:t>
      </w:r>
      <w:r>
        <w:rPr>
          <w:iCs/>
          <w:i/>
        </w:rPr>
        <w:t xml:space="preserve">Appréciation de l’auteur :</w:t>
      </w:r>
      <w:r>
        <w:t xml:space="preserve"> </w:t>
      </w:r>
      <w:r>
        <w:t xml:space="preserve">aucun développement clinique ultérieur n’est en vue. Le principe du « peptide avec ancre à l’albumine pour un effet prolongé » perdure en revanche dans d’autres substances actives, par exemple dans les préparations d’hormone de croissance à action prolongée et les médicaments GLP-1.</w:t>
      </w:r>
    </w:p>
    <w:bookmarkEnd w:id="1337"/>
    <w:bookmarkStart w:id="1338" w:name="conclusion-25"/>
    <w:p>
      <w:pPr>
        <w:pStyle w:val="Heading3"/>
      </w:pPr>
      <w:r>
        <w:t xml:space="preserve">Conclusion</w:t>
      </w:r>
    </w:p>
    <w:p>
      <w:pPr>
        <w:pStyle w:val="FirstParagraph"/>
      </w:pPr>
      <w:r>
        <w:t xml:space="preserve">Le CJC-1295 avec DAC augmente chez les personnes en bonne santé l’hormone de croissance et l’IGF-1 pendant une à deux semaines après une seule injection – rien de plus n’a été étudié chez l’humain. La seule étude chez des patients a été interrompue en 2006 sans motif publié ; un décès souvent allégué n’est documenté ni dans le registre ni dans la littérature spécialisée. Pour la variante sans DAC, la plus vendue sur Internet, il n’existe pas une seule étude chez l’humain, et les analyses de laboratoire montrent que le contenu des produits du marché gris est incertain.</w:t>
      </w:r>
    </w:p>
    <w:bookmarkEnd w:id="1338"/>
    <w:bookmarkEnd w:id="1339"/>
    <w:bookmarkStart w:id="1362" w:name="ipamoréline"/>
    <w:p>
      <w:pPr>
        <w:pStyle w:val="Heading2"/>
      </w:pPr>
      <w:r>
        <w:t xml:space="preserve">Ipamoréline</w:t>
      </w:r>
    </w:p>
    <w:p>
      <w:pPr>
        <w:pStyle w:val="FirstParagraph"/>
      </w:pPr>
      <w:r>
        <w:t xml:space="preserve">Dans les milieux du fitness et de l’anti-âge, l’ipamoréline passe pour le sécrétagogue « propre » de l’hormone de croissance : elle libérerait de l’hormone de croissance de manière ciblée, sans stimuler les hormones du stress ni l’appétit. Cette propriété provient d’expérimentations animales des années 1990. Chez l’humain, l’ipamoréline a effectivement fait l’objet d’essais cliniques – non pas pour le développement musculaire ou le rajeunissement, mais pour tout autre chose : la paralysie intestinale après une chirurgie abdominale. Elle n’y a apporté aucun bénéfice démontrable.</w:t>
      </w:r>
    </w:p>
    <w:bookmarkStart w:id="1341" w:name="fiche-signalétique-26"/>
    <w:p>
      <w:pPr>
        <w:pStyle w:val="Heading3"/>
      </w:pPr>
      <w:r>
        <w:t xml:space="preserve">Fiche signalétique</w:t>
      </w:r>
    </w:p>
    <w:p>
      <w:pPr>
        <w:numPr>
          <w:ilvl w:val="0"/>
          <w:numId w:val="1158"/>
        </w:numPr>
        <w:pStyle w:val="Compact"/>
      </w:pPr>
      <w:r>
        <w:rPr>
          <w:bCs/>
          <w:b/>
        </w:rPr>
        <w:t xml:space="preserve">Nature et structure :</w:t>
      </w:r>
      <w:r>
        <w:t xml:space="preserve"> </w:t>
      </w:r>
      <w:r>
        <w:t xml:space="preserve">pentapeptide de synthèse (5 acides aminés, en partie non naturels : Aib-His-D-2-Nal-D-Phe-Lys-NH2)</w:t>
      </w:r>
      <w:r>
        <w:rPr>
          <w:rStyle w:val="FootnoteReference"/>
        </w:rPr>
        <w:footnoteReference w:id="1340"/>
      </w:r>
      <w:r>
        <w:t xml:space="preserve">.</w:t>
      </w:r>
    </w:p>
    <w:p>
      <w:pPr>
        <w:numPr>
          <w:ilvl w:val="0"/>
          <w:numId w:val="1158"/>
        </w:numPr>
        <w:pStyle w:val="Compact"/>
      </w:pPr>
      <w:r>
        <w:rPr>
          <w:bCs/>
          <w:b/>
        </w:rPr>
        <w:t xml:space="preserve">Origine :</w:t>
      </w:r>
      <w:r>
        <w:t xml:space="preserve"> </w:t>
      </w:r>
      <w:r>
        <w:t xml:space="preserve">développée par Novo Nordisk (Danemark) à partir de la famille des peptides libérant l’hormone de croissance (GHRP) ; développée ensuite par Helsinn pour le domaine gastro-intestinal.</w:t>
      </w:r>
    </w:p>
    <w:p>
      <w:pPr>
        <w:numPr>
          <w:ilvl w:val="0"/>
          <w:numId w:val="1158"/>
        </w:numPr>
        <w:pStyle w:val="Compact"/>
      </w:pPr>
      <w:r>
        <w:rPr>
          <w:bCs/>
          <w:b/>
        </w:rPr>
        <w:t xml:space="preserve">Principe d’action :</w:t>
      </w:r>
      <w:r>
        <w:t xml:space="preserve"> </w:t>
      </w:r>
      <w:r>
        <w:t xml:space="preserve">se lie au récepteur de la ghréline (GHS-R1a) dans l’hypophyse et l’hypothalamus ainsi que dans le tube digestif ; déclenche un bref pic d’hormone de croissance et devrait stimuler la motricité intestinale.</w:t>
      </w:r>
    </w:p>
    <w:p>
      <w:pPr>
        <w:numPr>
          <w:ilvl w:val="0"/>
          <w:numId w:val="1158"/>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p>
    <w:p>
      <w:pPr>
        <w:numPr>
          <w:ilvl w:val="0"/>
          <w:numId w:val="1158"/>
        </w:numPr>
        <w:pStyle w:val="Compact"/>
      </w:pPr>
      <w:r>
        <w:rPr>
          <w:bCs/>
          <w:b/>
        </w:rPr>
        <w:t xml:space="preserve">AMA (WADA) :</w:t>
      </w:r>
      <w:r>
        <w:t xml:space="preserve"> </w:t>
      </w:r>
      <w:r>
        <w:t xml:space="preserve">interdite, classe S2 (sécrétagogues de l’hormone de croissance ; l’ipamoréline est expressément nommée).</w:t>
      </w:r>
    </w:p>
    <w:p>
      <w:pPr>
        <w:numPr>
          <w:ilvl w:val="0"/>
          <w:numId w:val="1158"/>
        </w:numPr>
        <w:pStyle w:val="Compact"/>
      </w:pPr>
      <w:r>
        <w:rPr>
          <w:bCs/>
          <w:b/>
        </w:rPr>
        <w:t xml:space="preserve">Niveau de preuve : B</w:t>
      </w:r>
      <w:r>
        <w:t xml:space="preserve"> </w:t>
      </w:r>
      <w:r>
        <w:t xml:space="preserve">– une étude randomisée de phase 2 portant sur 117 personnes (sans preuve d’efficacité) et une petite étude pharmacologique chez des personnes en bonne santé ; une deuxième étude de phase 2 est terminée, mais non publiée.</w:t>
      </w:r>
    </w:p>
    <w:bookmarkEnd w:id="1341"/>
    <w:bookmarkStart w:id="1344" w:name="mode-daction-supposé-26"/>
    <w:p>
      <w:pPr>
        <w:pStyle w:val="Heading3"/>
      </w:pPr>
      <w:r>
        <w:t xml:space="preserve">Mode d’action supposé</w:t>
      </w:r>
    </w:p>
    <w:p>
      <w:pPr>
        <w:pStyle w:val="FirstParagraph"/>
      </w:pPr>
      <w:r>
        <w:t xml:space="preserve">Le récepteur de la ghréline est le deuxième grand levier de la sécrétion d’hormone de croissance, à côté du récepteur de la GHRH. Sa clé naturelle est la ghréline, une hormone de l’estomac découverte en 1999</w:t>
      </w:r>
      <w:r>
        <w:rPr>
          <w:rStyle w:val="FootnoteReference"/>
        </w:rPr>
        <w:footnoteReference w:id="1342"/>
      </w:r>
      <w:r>
        <w:t xml:space="preserve">. La ghréline augmente non seulement l’hormone de croissance, mais aussi la faim, et elle stimule les mouvements de l’estomac et de l’intestin.</w:t>
      </w:r>
    </w:p>
    <w:p>
      <w:pPr>
        <w:pStyle w:val="BodyText"/>
      </w:pPr>
      <w:r>
        <w:t xml:space="preserve">Les sécrétagogues de synthèse plus anciens, comme le GHRP-6 ou le GHRP-2, libèrent en plus de l’hormone de croissance des hormones du système du stress (ACTH et cortisol) ainsi que de la prolactine. L’ipamoréline a été développée spécifiquement pour que cet effet secondaire soit absent : chez le porc, elle libérait l’hormone de croissance de façon aussi puissante que le GHRP-6, tandis que l’ACTH et le cortisol n’augmentaient pas plus que sous GHRH, même à des doses plus de 200 fois supérieures</w:t>
      </w:r>
      <w:r>
        <w:rPr>
          <w:rStyle w:val="FootnoteReference"/>
        </w:rPr>
        <w:footnoteReference w:id="1343"/>
      </w:r>
      <w:r>
        <w:t xml:space="preserve">. On n’a pas étudié systématiquement si cette sélectivité vaut dans la même mesure chez l’humain.</w:t>
      </w:r>
    </w:p>
    <w:p>
      <w:pPr>
        <w:pStyle w:val="BodyText"/>
      </w:pPr>
      <w:r>
        <w:t xml:space="preserve">Sur le plan clinique, c’est surtout l’effet intestinal qui intéressait : après une chirurgie abdominale, l’activité intestinale s’arrête souvent pendant plusieurs jours (iléus postopératoire), ce qui prolonge le séjour à l’hôpital. Un mimétique de la ghréline administrable par voie intraveineuse semblait une solution élégante.</w:t>
      </w:r>
    </w:p>
    <w:bookmarkEnd w:id="1344"/>
    <w:bookmarkStart w:id="1349" w:name="études-chez-lhumain-26"/>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2</w:t>
      </w:r>
      <w:r>
        <w:t xml:space="preserve"> </w:t>
      </w:r>
      <w:r>
        <w:t xml:space="preserve">études chez l’humain dans PubMed (</w:t>
      </w:r>
      <w:r>
        <w:rPr>
          <w:rStyle w:val="VerbatimChar"/>
        </w:rPr>
        <w:t xml:space="preserve">humanstudien_alle</w:t>
      </w:r>
      <w:r>
        <w:t xml:space="preserve">) et</w:t>
      </w:r>
      <w:r>
        <w:t xml:space="preserve"> </w:t>
      </w:r>
      <w:r>
        <w:rPr>
          <w:bCs/>
          <w:b/>
        </w:rPr>
        <w:t xml:space="preserve">3</w:t>
      </w:r>
      <w:r>
        <w:t xml:space="preserve"> </w:t>
      </w:r>
      <w:r>
        <w:t xml:space="preserve">entrées sur ClinicalTrials.gov. L’une de ces entrées</w:t>
      </w:r>
      <w:r>
        <w:rPr>
          <w:rStyle w:val="FootnoteReference"/>
        </w:rPr>
        <w:footnoteReference w:id="1345"/>
      </w:r>
      <w:r>
        <w:t xml:space="preserve"> </w:t>
      </w:r>
      <w:r>
        <w:t xml:space="preserve">concerne une étude observationnelle sur les psychédéliques chez des vétérans et n’étudie pas l’ipamoréline comme médicament expérimental ; celle-ci n’y est citée que comme l’un des composants d’une « supplémentation physiologique » (à côté de la testostérone, de l’huile de poisson et de vitamines). Sur le plan clinique, ce sont donc deux études sur l’iléus postopératoire qui sont pertinentes.</w:t>
      </w:r>
    </w:p>
    <w:p>
      <w:pPr>
        <w:pStyle w:val="BodyText"/>
      </w:pPr>
      <w:r>
        <w:rPr>
          <w:bCs/>
          <w:b/>
        </w:rPr>
        <w:t xml:space="preserve">Pharmacologie chez des personnes en bonne santé :</w:t>
      </w:r>
      <w:r>
        <w:t xml:space="preserve"> </w:t>
      </w:r>
      <w:r>
        <w:t xml:space="preserve">dans une étude à doses croissantes, huit hommes en bonne santé par palier de dose ont reçu chacun une perfusion de 15 minutes. L’ipamoréline avait une courte demi-vie d’environ 2 heures et déclenchait à toutes les doses un pic unique de GH, qui atteignait son maximum au bout d’environ 40 minutes puis retombait rapidement</w:t>
      </w:r>
      <w:r>
        <w:rPr>
          <w:rStyle w:val="FootnoteReference"/>
        </w:rPr>
        <w:footnoteReference w:id="1346"/>
      </w:r>
      <w:r>
        <w:t xml:space="preserve">.</w:t>
      </w:r>
    </w:p>
    <w:p>
      <w:pPr>
        <w:pStyle w:val="BodyText"/>
      </w:pPr>
      <w:r>
        <w:rPr>
          <w:bCs/>
          <w:b/>
        </w:rPr>
        <w:t xml:space="preserve">Iléus postopératoire, première étude de phase 2 :</w:t>
      </w:r>
      <w:r>
        <w:t xml:space="preserve"> </w:t>
      </w:r>
      <w:r>
        <w:t xml:space="preserve">dans une étude multicentrique, en double aveugle, contrôlée contre placebo, 117 adultes ont reçu, après une résection de l’intestin grêle ou du côlon, de l’ipamoréline ou un placebo en perfusion deux fois par jour pendant sept jours au maximum. Le délai moyen jusqu’au premier repas solide toléré était de 25,3 heures sous ipamoréline et de 32,6 heures sous placebo – une différence statistiquement non significative (p = 0,15). Les autres critères d’efficacité ne différaient pas non plus. Des effets indésirables sont survenus chez 87,5 % des participants sous ipamoréline et 94,8 % sous placebo, ce qui n’est pas inhabituel après une chirurgie abdominale lourde</w:t>
      </w:r>
      <w:r>
        <w:rPr>
          <w:rStyle w:val="FootnoteReference"/>
        </w:rPr>
        <w:footnoteReference w:id="1347"/>
      </w:r>
      <w:r>
        <w:t xml:space="preserve">.</w:t>
      </w:r>
    </w:p>
    <w:p>
      <w:pPr>
        <w:pStyle w:val="BodyText"/>
      </w:pPr>
      <w:r>
        <w:rPr>
          <w:bCs/>
          <w:b/>
        </w:rPr>
        <w:t xml:space="preserve">Deuxième étude de phase 2 :</w:t>
      </w:r>
      <w:r>
        <w:t xml:space="preserve"> </w:t>
      </w:r>
      <w:r>
        <w:t xml:space="preserve">une étude de suivi plus vaste, portant sur 320 participants et consacrée à la récupération de la fonction gastro-intestinale, s’est achevée en 2014</w:t>
      </w:r>
      <w:r>
        <w:rPr>
          <w:rStyle w:val="FootnoteReference"/>
        </w:rPr>
        <w:footnoteReference w:id="1348"/>
      </w:r>
      <w:r>
        <w:t xml:space="preserve">. Je n’ai pas trouvé de publication des résultats dans PubMed, et l’entrée du registre ne contient pas de résultats. Le développement n’a pas été poursuivi ensuite.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Pharmacologie (Gobburu 1999), PMID 10496658</w:t>
            </w:r>
          </w:p>
        </w:tc>
        <w:tc>
          <w:tcPr/>
          <w:p>
            <w:pPr>
              <w:pStyle w:val="Compact"/>
              <w:jc w:val="left"/>
            </w:pPr>
            <w:r>
              <w:t xml:space="preserve">hommes en bonne santé, 5 paliers de dose de 8 personnes</w:t>
            </w:r>
          </w:p>
        </w:tc>
        <w:tc>
          <w:tcPr/>
          <w:p>
            <w:pPr>
              <w:pStyle w:val="Compact"/>
              <w:jc w:val="left"/>
            </w:pPr>
            <w:r>
              <w:t xml:space="preserve">perfusion unique</w:t>
            </w:r>
          </w:p>
        </w:tc>
        <w:tc>
          <w:tcPr/>
          <w:p>
            <w:pPr>
              <w:pStyle w:val="Compact"/>
              <w:jc w:val="left"/>
            </w:pPr>
            <w:r>
              <w:t xml:space="preserve">demi-vie env. 2 h ; un pic de GH par administration</w:t>
            </w:r>
          </w:p>
        </w:tc>
      </w:tr>
      <w:tr>
        <w:tc>
          <w:tcPr/>
          <w:p>
            <w:pPr>
              <w:pStyle w:val="Compact"/>
              <w:jc w:val="left"/>
            </w:pPr>
            <w:r>
              <w:t xml:space="preserve">Étude iléus 1 (Beck 2014), PMID 25331030</w:t>
            </w:r>
          </w:p>
        </w:tc>
        <w:tc>
          <w:tcPr/>
          <w:p>
            <w:pPr>
              <w:pStyle w:val="Compact"/>
              <w:jc w:val="left"/>
            </w:pPr>
            <w:r>
              <w:t xml:space="preserve">117 adultes après résection intestinale, ECR contre placebo</w:t>
            </w:r>
          </w:p>
        </w:tc>
        <w:tc>
          <w:tcPr/>
          <w:p>
            <w:pPr>
              <w:pStyle w:val="Compact"/>
              <w:jc w:val="left"/>
            </w:pPr>
            <w:r>
              <w:t xml:space="preserve">jusqu’à 7 jours</w:t>
            </w:r>
          </w:p>
        </w:tc>
        <w:tc>
          <w:tcPr/>
          <w:p>
            <w:pPr>
              <w:pStyle w:val="Compact"/>
              <w:jc w:val="left"/>
            </w:pPr>
            <w:r>
              <w:t xml:space="preserve">25,3 vs 32,6 h jusqu’au premier repas, non significatif</w:t>
            </w:r>
          </w:p>
        </w:tc>
      </w:tr>
      <w:tr>
        <w:tc>
          <w:tcPr/>
          <w:p>
            <w:pPr>
              <w:pStyle w:val="Compact"/>
              <w:jc w:val="left"/>
            </w:pPr>
            <w:r>
              <w:t xml:space="preserve">Étude iléus 2, NCT01280344</w:t>
            </w:r>
          </w:p>
        </w:tc>
        <w:tc>
          <w:tcPr/>
          <w:p>
            <w:pPr>
              <w:pStyle w:val="Compact"/>
              <w:jc w:val="left"/>
            </w:pPr>
            <w:r>
              <w:t xml:space="preserve">320 adultes, phase 2 contre placebo</w:t>
            </w:r>
          </w:p>
        </w:tc>
        <w:tc>
          <w:tcPr/>
          <w:p>
            <w:pPr>
              <w:pStyle w:val="Compact"/>
              <w:jc w:val="left"/>
            </w:pPr>
            <w:r>
              <w:t xml:space="preserve">–</w:t>
            </w:r>
          </w:p>
        </w:tc>
        <w:tc>
          <w:tcPr/>
          <w:p>
            <w:pPr>
              <w:pStyle w:val="Compact"/>
              <w:jc w:val="left"/>
            </w:pPr>
            <w:r>
              <w:t xml:space="preserve">terminée en 2014, résultats non publiés</w:t>
            </w:r>
          </w:p>
        </w:tc>
      </w:tr>
    </w:tbl>
    <w:p>
      <w:pPr>
        <w:pStyle w:val="BodyText"/>
      </w:pPr>
      <w:r>
        <w:t xml:space="preserve">Il n’existe</w:t>
      </w:r>
      <w:r>
        <w:t xml:space="preserve"> </w:t>
      </w:r>
      <w:r>
        <w:rPr>
          <w:bCs/>
          <w:b/>
        </w:rPr>
        <w:t xml:space="preserve">aucune</w:t>
      </w:r>
      <w:r>
        <w:t xml:space="preserve"> </w:t>
      </w:r>
      <w:r>
        <w:t xml:space="preserve">étude publiée ayant examiné l’ipamoréline chez des adultes en bonne santé, des sportives et sportifs ou des personnes âgées quant à la masse musculaire, la perte de graisse, le sommeil, la peau ou les performances.</w:t>
      </w:r>
    </w:p>
    <w:bookmarkEnd w:id="1349"/>
    <w:bookmarkStart w:id="1353" w:name="études-animales-et-de-laboratoire-26"/>
    <w:p>
      <w:pPr>
        <w:pStyle w:val="Heading3"/>
      </w:pPr>
      <w:r>
        <w:t xml:space="preserve">Études animales et de laboratoire</w:t>
      </w:r>
    </w:p>
    <w:p>
      <w:pPr>
        <w:numPr>
          <w:ilvl w:val="0"/>
          <w:numId w:val="1159"/>
        </w:numPr>
        <w:pStyle w:val="Compact"/>
      </w:pPr>
      <w:r>
        <w:rPr>
          <w:bCs/>
          <w:b/>
        </w:rPr>
        <w:t xml:space="preserve">Intestin (rats) :</w:t>
      </w:r>
      <w:r>
        <w:t xml:space="preserve"> </w:t>
      </w:r>
      <w:r>
        <w:t xml:space="preserve">chez des rats présentant une paralysie intestinale provoquée chirurgicalement, une dose unique d’ipamoréline a raccourci le délai jusqu’à la première selle ; des administrations répétées ont augmenté la quantité de selles, la prise alimentaire et la prise de poids</w:t>
      </w:r>
      <w:r>
        <w:rPr>
          <w:rStyle w:val="FootnoteReference"/>
        </w:rPr>
        <w:footnoteReference w:id="1350"/>
      </w:r>
      <w:r>
        <w:t xml:space="preserve">. Ces résultats ont servi de base aux études sur l’iléus chez l’humain – qui n’ont pas confirmé l’effet.</w:t>
      </w:r>
    </w:p>
    <w:p>
      <w:pPr>
        <w:numPr>
          <w:ilvl w:val="0"/>
          <w:numId w:val="1159"/>
        </w:numPr>
        <w:pStyle w:val="Compact"/>
      </w:pPr>
      <w:r>
        <w:rPr>
          <w:bCs/>
          <w:b/>
        </w:rPr>
        <w:t xml:space="preserve">Os (rats) :</w:t>
      </w:r>
      <w:r>
        <w:t xml:space="preserve"> </w:t>
      </w:r>
      <w:r>
        <w:t xml:space="preserve">chez des rates adultes, l’ipamoréline a augmenté sur 15 jours, de façon dose-dépendante, la croissance osseuse en longueur et la prise de poids, sans augmenter l’IGF-1 de manière mesurable</w:t>
      </w:r>
      <w:r>
        <w:rPr>
          <w:rStyle w:val="FootnoteReference"/>
        </w:rPr>
        <w:footnoteReference w:id="1351"/>
      </w:r>
      <w:r>
        <w:t xml:space="preserve">.</w:t>
      </w:r>
    </w:p>
    <w:p>
      <w:pPr>
        <w:numPr>
          <w:ilvl w:val="0"/>
          <w:numId w:val="1159"/>
        </w:numPr>
        <w:pStyle w:val="Compact"/>
      </w:pPr>
      <w:r>
        <w:rPr>
          <w:bCs/>
          <w:b/>
        </w:rPr>
        <w:t xml:space="preserve">Sélectivité (porcs, cellules de rat) :</w:t>
      </w:r>
      <w:r>
        <w:t xml:space="preserve"> </w:t>
      </w:r>
      <w:r>
        <w:t xml:space="preserve">voir plus haut</w:t>
      </w:r>
      <w:r>
        <w:rPr>
          <w:rStyle w:val="FootnoteReference"/>
        </w:rPr>
        <w:footnoteReference w:id="1352"/>
      </w:r>
      <w:r>
        <w:t xml:space="preserve">.</w:t>
      </w:r>
    </w:p>
    <w:bookmarkEnd w:id="1353"/>
    <w:bookmarkStart w:id="1356" w:name="risques-et-effets-indésirables-26"/>
    <w:p>
      <w:pPr>
        <w:pStyle w:val="Heading3"/>
      </w:pPr>
      <w:r>
        <w:t xml:space="preserve">Risques et effets indésirables</w:t>
      </w:r>
    </w:p>
    <w:p>
      <w:pPr>
        <w:pStyle w:val="FirstParagraph"/>
      </w:pPr>
      <w:r>
        <w:rPr>
          <w:bCs/>
          <w:b/>
        </w:rPr>
        <w:t xml:space="preserve">Établi :</w:t>
      </w:r>
      <w:r>
        <w:t xml:space="preserve"> </w:t>
      </w:r>
      <w:r>
        <w:t xml:space="preserve">dans l’étude sur l’iléus, l’ipamoréline a été décrite comme bien tolérée sur une durée allant jusqu’à sept jours, sans accumulation d’effets indésirables par rapport au placebo</w:t>
      </w:r>
      <w:r>
        <w:rPr>
          <w:rStyle w:val="FootnoteReference"/>
        </w:rPr>
        <w:footnoteReference w:id="1354"/>
      </w:r>
      <w:r>
        <w:t xml:space="preserve">. Il s’agit d’une utilisation courte à l’hôpital, par voie intraveineuse.</w:t>
      </w:r>
    </w:p>
    <w:p>
      <w:pPr>
        <w:pStyle w:val="BodyText"/>
      </w:pPr>
      <w:r>
        <w:rPr>
          <w:bCs/>
          <w:b/>
        </w:rPr>
        <w:t xml:space="preserve">Inconnu :</w:t>
      </w:r>
      <w:r>
        <w:t xml:space="preserve"> </w:t>
      </w:r>
      <w:r>
        <w:t xml:space="preserve">il n’existe pas de données sur une utilisation répétée sur des semaines ou des mois, telle qu’elle est décrite sur Internet. En théorie, on peut s’attendre aux effets de taux élevés de GH (rétention d’eau, troubles articulaires, moindre sensibilité à l’insuline) ainsi que, via le récepteur de la ghréline, à une augmentation de l’appétit. Sur la question d’un risque de cancer lié à un IGF-1 durablement élevé, voir l’introduction de ce groupe et la partie IV.</w:t>
      </w:r>
    </w:p>
    <w:p>
      <w:pPr>
        <w:pStyle w:val="BodyText"/>
      </w:pPr>
      <w:r>
        <w:rPr>
          <w:bCs/>
          <w:b/>
        </w:rPr>
        <w:t xml:space="preserve">Marché gris :</w:t>
      </w:r>
      <w:r>
        <w:t xml:space="preserve"> </w:t>
      </w:r>
      <w:r>
        <w:t xml:space="preserve">des analyses de laboratoire de produits saisis ont trouvé de la « Gly-ipamoréline », c’est-à-dire de l’ipamoréline avec un acide aminé supplémentaire non déclaré au début – probablement pour contourner les contrôles antidopage</w:t>
      </w:r>
      <w:r>
        <w:rPr>
          <w:rStyle w:val="FootnoteReference"/>
        </w:rPr>
        <w:footnoteReference w:id="1355"/>
      </w:r>
      <w:r>
        <w:t xml:space="preserve">. On ignore comment de telles modifications se comportent dans l’organisme.</w:t>
      </w:r>
    </w:p>
    <w:bookmarkEnd w:id="1356"/>
    <w:bookmarkStart w:id="1359" w:name="statut-juridique-26"/>
    <w:p>
      <w:pPr>
        <w:pStyle w:val="Heading3"/>
      </w:pPr>
      <w:r>
        <w:t xml:space="preserve">Statut juridique</w:t>
      </w:r>
    </w:p>
    <w:p>
      <w:pPr>
        <w:pStyle w:val="FirstParagraph"/>
      </w:pPr>
      <w:r>
        <w:rPr>
          <w:iCs/>
          <w:i/>
        </w:rPr>
        <w:t xml:space="preserve">État 2026, à vérifier.</w:t>
      </w:r>
    </w:p>
    <w:p>
      <w:pPr>
        <w:numPr>
          <w:ilvl w:val="0"/>
          <w:numId w:val="1160"/>
        </w:numPr>
        <w:pStyle w:val="Compact"/>
      </w:pPr>
      <w:r>
        <w:rPr>
          <w:bCs/>
          <w:b/>
        </w:rPr>
        <w:t xml:space="preserve">UE, Allemagne, Autriche :</w:t>
      </w:r>
      <w:r>
        <w:t xml:space="preserve"> </w:t>
      </w:r>
      <w:r>
        <w:t xml:space="preserve">aucune autorisation ; remise en vue d’un usage humain illicite.</w:t>
      </w:r>
    </w:p>
    <w:p>
      <w:pPr>
        <w:numPr>
          <w:ilvl w:val="0"/>
          <w:numId w:val="1160"/>
        </w:numPr>
        <w:pStyle w:val="Compact"/>
      </w:pPr>
      <w:r>
        <w:rPr>
          <w:bCs/>
          <w:b/>
        </w:rPr>
        <w:t xml:space="preserve">États-Unis :</w:t>
      </w:r>
      <w:r>
        <w:t xml:space="preserve"> </w:t>
      </w:r>
      <w:r>
        <w:t xml:space="preserve">aucune autorisation. La FDA a classé l’ipamoréline parmi les substances de base pour les pharmacies de préparation magistrale présentant des problèmes de sécurité (catégorie 2) ; le classement des peptides fait depuis l’objet de débats controversés</w:t>
      </w:r>
      <w:r>
        <w:rPr>
          <w:rStyle w:val="FootnoteReference"/>
        </w:rPr>
        <w:footnoteReference w:id="1357"/>
      </w:r>
      <w:r>
        <w:t xml:space="preserve">.</w:t>
      </w:r>
    </w:p>
    <w:p>
      <w:pPr>
        <w:numPr>
          <w:ilvl w:val="0"/>
          <w:numId w:val="1160"/>
        </w:numPr>
        <w:pStyle w:val="Compact"/>
      </w:pPr>
      <w:r>
        <w:rPr>
          <w:bCs/>
          <w:b/>
        </w:rPr>
        <w:t xml:space="preserve">AMA (WADA) :</w:t>
      </w:r>
      <w:r>
        <w:t xml:space="preserve"> </w:t>
      </w:r>
      <w:r>
        <w:t xml:space="preserve">interdite (S2), en compétition et hors compétition. L’ipamoréline et ses produits de dégradation sont détectables dans l’urine, y compris après utilisation en spray nasal</w:t>
      </w:r>
      <w:r>
        <w:rPr>
          <w:rStyle w:val="FootnoteReference"/>
        </w:rPr>
        <w:footnoteReference w:id="1358"/>
      </w:r>
      <w:r>
        <w:t xml:space="preserve">.</w:t>
      </w:r>
    </w:p>
    <w:bookmarkEnd w:id="1359"/>
    <w:bookmarkStart w:id="1360" w:name="études-en-cours-et-perspectives-26"/>
    <w:p>
      <w:pPr>
        <w:pStyle w:val="Heading3"/>
      </w:pPr>
      <w:r>
        <w:t xml:space="preserve">Études en cours et perspectives</w:t>
      </w:r>
    </w:p>
    <w:p>
      <w:pPr>
        <w:pStyle w:val="FirstParagraph"/>
      </w:pPr>
      <w:r>
        <w:t xml:space="preserve">En octobre 2026, ClinicalTrials.gov ne recense aucune étude en cours examinant l’ipamoréline comme médicament expérimental.</w:t>
      </w:r>
      <w:r>
        <w:t xml:space="preserve"> </w:t>
      </w:r>
      <w:r>
        <w:rPr>
          <w:iCs/>
          <w:i/>
        </w:rPr>
        <w:t xml:space="preserve">Appréciation de l’auteur :</w:t>
      </w:r>
      <w:r>
        <w:t xml:space="preserve"> </w:t>
      </w:r>
      <w:r>
        <w:t xml:space="preserve">après le résultat négatif dans l’iléus postopératoire, il manque une entreprise pour poursuivre le développement de la substance. De nouvelles données sont surtout à attendre de rapports de cas concernant des utilisations du marché gris.</w:t>
      </w:r>
    </w:p>
    <w:bookmarkEnd w:id="1360"/>
    <w:bookmarkStart w:id="1361" w:name="conclusion-26"/>
    <w:p>
      <w:pPr>
        <w:pStyle w:val="Heading3"/>
      </w:pPr>
      <w:r>
        <w:t xml:space="preserve">Conclusion</w:t>
      </w:r>
    </w:p>
    <w:p>
      <w:pPr>
        <w:pStyle w:val="FirstParagraph"/>
      </w:pPr>
      <w:r>
        <w:t xml:space="preserve">L’ipamoréline est un agoniste du récepteur de la ghréline développé de manière ciblée, qui libère chez l’animal de l’hormone de croissance sans sécrétion notable d’hormones du stress. La seule étude d’efficacité publiée chez l’humain – 117 patientes et patients après une chirurgie intestinale – n’a trouvé aucun bénéfice significatif ; une étude de suivi plus vaste est restée non publiée. Pour les utilisations vantées sur Internet (développement musculaire, perte de graisse, sommeil, anti-âge), il n’existe aucune étude chez l’humain, et il est démontré que les produits du marché gris contiennent aussi des molécules modifiées.</w:t>
      </w:r>
    </w:p>
    <w:bookmarkEnd w:id="1361"/>
    <w:bookmarkEnd w:id="1362"/>
    <w:bookmarkStart w:id="1395" w:name="ghrp-2-pralmoréline"/>
    <w:p>
      <w:pPr>
        <w:pStyle w:val="Heading2"/>
      </w:pPr>
      <w:r>
        <w:t xml:space="preserve">GHRP-2 (pralmoréline)</w:t>
      </w:r>
    </w:p>
    <w:p>
      <w:pPr>
        <w:pStyle w:val="FirstParagraph"/>
      </w:pPr>
      <w:r>
        <w:t xml:space="preserve">Le GHRP-2 est un petit peptide artificiel de six acides aminés qui stimule l’hypophyse à sécréter de l’hormone de croissance plus fortement que presque tout autre stimulus connu. Cette puissance en a fait au Japon un médicament autorisé – non pas comme traitement, mais comme substance de test : une seule injection permet de vérifier si un adulte présente un déficit en hormone de croissance. Sur le marché gris, le même peptide est vendu comme « peptide pour les muscles et anti-âge ». Il n’existe aucune preuve en ce sens.</w:t>
      </w:r>
    </w:p>
    <w:bookmarkStart w:id="1365" w:name="fiche-signalétique-27"/>
    <w:p>
      <w:pPr>
        <w:pStyle w:val="Heading3"/>
      </w:pPr>
      <w:r>
        <w:t xml:space="preserve">Fiche signalétique</w:t>
      </w:r>
    </w:p>
    <w:p>
      <w:pPr>
        <w:numPr>
          <w:ilvl w:val="0"/>
          <w:numId w:val="1161"/>
        </w:numPr>
        <w:pStyle w:val="Compact"/>
      </w:pPr>
      <w:r>
        <w:rPr>
          <w:bCs/>
          <w:b/>
        </w:rPr>
        <w:t xml:space="preserve">Nature et structure :</w:t>
      </w:r>
      <w:r>
        <w:t xml:space="preserve"> </w:t>
      </w:r>
      <w:r>
        <w:t xml:space="preserve">hexapeptide de synthèse (D-Ala-D-2-Nal-Ala-Trp-D-Phe-Lys-NH2) comportant plusieurs acides aminés non naturels ; noms de développement KP-102 et GPA-748, dénomination commune internationale pralmoréline</w:t>
      </w:r>
      <w:r>
        <w:rPr>
          <w:rStyle w:val="FootnoteReference"/>
        </w:rPr>
        <w:footnoteReference w:id="1363"/>
      </w:r>
      <w:r>
        <w:t xml:space="preserve">.</w:t>
      </w:r>
    </w:p>
    <w:p>
      <w:pPr>
        <w:numPr>
          <w:ilvl w:val="0"/>
          <w:numId w:val="1161"/>
        </w:numPr>
        <w:pStyle w:val="Compact"/>
      </w:pPr>
      <w:r>
        <w:rPr>
          <w:bCs/>
          <w:b/>
        </w:rPr>
        <w:t xml:space="preserve">Origine :</w:t>
      </w:r>
      <w:r>
        <w:t xml:space="preserve"> </w:t>
      </w:r>
      <w:r>
        <w:t xml:space="preserve">développé dans les années 1990 à partir de la série des peptides libérant la GH fondée par Cyril Bowers (Tulane University, États-Unis) ; droits détenus par Kaken (Japon)</w:t>
      </w:r>
      <w:r>
        <w:rPr>
          <w:rStyle w:val="FootnoteReference"/>
        </w:rPr>
        <w:footnoteReference w:id="1364"/>
      </w:r>
      <w:r>
        <w:t xml:space="preserve">.</w:t>
      </w:r>
    </w:p>
    <w:p>
      <w:pPr>
        <w:numPr>
          <w:ilvl w:val="0"/>
          <w:numId w:val="1161"/>
        </w:numPr>
        <w:pStyle w:val="Compact"/>
      </w:pPr>
      <w:r>
        <w:rPr>
          <w:bCs/>
          <w:b/>
        </w:rPr>
        <w:t xml:space="preserve">Principe d’action :</w:t>
      </w:r>
      <w:r>
        <w:t xml:space="preserve"> </w:t>
      </w:r>
      <w:r>
        <w:t xml:space="preserve">agoniste du récepteur de la ghréline (GHS-R1a) dans l’hypophyse et l’hypothalamus ; libère de l’hormone de croissance et, dans une moindre mesure, de l’ACTH, du cortisol et de la prolactine ; augmente l’appétit.</w:t>
      </w:r>
    </w:p>
    <w:p>
      <w:pPr>
        <w:numPr>
          <w:ilvl w:val="0"/>
          <w:numId w:val="1161"/>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r>
        <w:t xml:space="preserve"> </w:t>
      </w:r>
      <w:r>
        <w:rPr>
          <w:bCs/>
          <w:b/>
        </w:rPr>
        <w:t xml:space="preserve">Japon :</w:t>
      </w:r>
      <w:r>
        <w:t xml:space="preserve"> </w:t>
      </w:r>
      <w:r>
        <w:t xml:space="preserve">autorisé comme produit diagnostique de la fonction hypophysaire.</w:t>
      </w:r>
    </w:p>
    <w:p>
      <w:pPr>
        <w:numPr>
          <w:ilvl w:val="0"/>
          <w:numId w:val="1161"/>
        </w:numPr>
        <w:pStyle w:val="Compact"/>
      </w:pPr>
      <w:r>
        <w:rPr>
          <w:bCs/>
          <w:b/>
        </w:rPr>
        <w:t xml:space="preserve">AMA (WADA) :</w:t>
      </w:r>
      <w:r>
        <w:t xml:space="preserve"> </w:t>
      </w:r>
      <w:r>
        <w:t xml:space="preserve">interdit, classe S2 – le GHRP-2 (pralmoréline) est expressément nommé en tant que peptide libérant l’hormone de croissance.</w:t>
      </w:r>
    </w:p>
    <w:p>
      <w:pPr>
        <w:numPr>
          <w:ilvl w:val="0"/>
          <w:numId w:val="1161"/>
        </w:numPr>
        <w:pStyle w:val="Compact"/>
      </w:pPr>
      <w:r>
        <w:rPr>
          <w:bCs/>
          <w:b/>
        </w:rPr>
        <w:t xml:space="preserve">Niveau de preuve : B</w:t>
      </w:r>
      <w:r>
        <w:t xml:space="preserve"> </w:t>
      </w:r>
      <w:r>
        <w:t xml:space="preserve">– de nombreuses petites études randomisées sur la physiologie hormonale et une étude de validation comme produit diagnostique ; aucune étude randomisée sur un bénéfice thérapeutique.</w:t>
      </w:r>
    </w:p>
    <w:bookmarkEnd w:id="1365"/>
    <w:bookmarkStart w:id="1368" w:name="mode-daction-supposé-27"/>
    <w:p>
      <w:pPr>
        <w:pStyle w:val="Heading3"/>
      </w:pPr>
      <w:r>
        <w:t xml:space="preserve">Mode d’action supposé</w:t>
      </w:r>
    </w:p>
    <w:p>
      <w:pPr>
        <w:pStyle w:val="FirstParagraph"/>
      </w:pPr>
      <w:r>
        <w:t xml:space="preserve">Le GHRP-2 imite la ghréline, l’hormone de la faim produite par l’estomac, qui pilote aussi la sécrétion d’hormone de croissance</w:t>
      </w:r>
      <w:r>
        <w:rPr>
          <w:rStyle w:val="FootnoteReference"/>
        </w:rPr>
        <w:footnoteReference w:id="1366"/>
      </w:r>
      <w:r>
        <w:t xml:space="preserve">. Historiquement, ce fut l’inverse : les GHRP de synthèse sont venus en premier, leur récepteur a été trouvé, et ce n’est qu’ensuite qu’on a découvert la ghréline comme sa clé naturelle.</w:t>
      </w:r>
    </w:p>
    <w:p>
      <w:pPr>
        <w:pStyle w:val="BodyText"/>
      </w:pPr>
      <w:r>
        <w:t xml:space="preserve">Le GHRP-2 agit à deux niveaux : directement sur l’hypophyse et indirectement via l’hypothalamus, où il atténue le frein qu’est la somatostatine et soutient la GHRH endogène. Pour un effet complet, il a donc besoin d’un hypothalamus intact : chez des rats dépourvus d’hypophyse, il n’agissait pas du tout ; chez des rats dont la connexion entre hypothalamus et hypophyse était détruite, son effet était atténué</w:t>
      </w:r>
      <w:r>
        <w:rPr>
          <w:rStyle w:val="FootnoteReference"/>
        </w:rPr>
        <w:footnoteReference w:id="1367"/>
      </w:r>
      <w:r>
        <w:t xml:space="preserve">. Lorsqu’on administre ensemble GHRP-2 et GHRH, la sécrétion est nettement supérieure à la somme des effets individuels.</w:t>
      </w:r>
    </w:p>
    <w:bookmarkEnd w:id="1368"/>
    <w:bookmarkStart w:id="1382" w:name="études-chez-lhumain-27"/>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55</w:t>
      </w:r>
      <w:r>
        <w:t xml:space="preserve"> </w:t>
      </w:r>
      <w:r>
        <w:t xml:space="preserve">études chez l’humain dans PubMed (</w:t>
      </w:r>
      <w:r>
        <w:rPr>
          <w:rStyle w:val="VerbatimChar"/>
        </w:rPr>
        <w:t xml:space="preserve">humanstudien_alle</w:t>
      </w:r>
      <w:r>
        <w:t xml:space="preserve">) et</w:t>
      </w:r>
      <w:r>
        <w:t xml:space="preserve"> </w:t>
      </w:r>
      <w:r>
        <w:rPr>
          <w:bCs/>
          <w:b/>
        </w:rPr>
        <w:t xml:space="preserve">aucune</w:t>
      </w:r>
      <w:r>
        <w:t xml:space="preserve"> </w:t>
      </w:r>
      <w:r>
        <w:t xml:space="preserve">entrée sur ClinicalTrials.gov. Ce nombre élevé est trompeur : la plupart des travaux (notamment d’un groupe de recherche de la Mayo Clinic) utilisent le GHRP-2 comme outil pour étudier la régulation de la sécrétion d’hormone de croissance chez les femmes et les hommes, sous hormones sexuelles ou avec l’âge. Ils ne disent rien d’un bénéfice pour la santé.</w:t>
      </w:r>
    </w:p>
    <w:bookmarkStart w:id="1373" w:name="X6716bf6440a0a23026c85f1d2caddbbd12efce5"/>
    <w:p>
      <w:pPr>
        <w:pStyle w:val="Heading4"/>
      </w:pPr>
      <w:r>
        <w:t xml:space="preserve">Diagnostic du déficit en hormone de croissance</w:t>
      </w:r>
    </w:p>
    <w:p>
      <w:pPr>
        <w:pStyle w:val="FirstParagraph"/>
      </w:pPr>
      <w:r>
        <w:t xml:space="preserve">L’application la plus importante est le test au GHRP-2. Dans une étude de validation, 77 personnes en bonne santé et 58 patientes et patients atteints d’un déficit sévère avéré en hormone de croissance ont reçu une dose unique par voie intraveineuse. Le pic de GH était en moyenne de 84,6 µg/l chez les personnes en bonne santé et de 1,36 µg/l chez les personnes concernées. Le test était bien reproductible et peu influencé par l’âge et le surpoids ; un seuil de 15 µg/l correspondait au seuil usuel du test d’hypoglycémie insulinique</w:t>
      </w:r>
      <w:r>
        <w:rPr>
          <w:rStyle w:val="FootnoteReference"/>
        </w:rPr>
        <w:footnoteReference w:id="1369"/>
      </w:r>
      <w:r>
        <w:t xml:space="preserve">. Dans une comparaison chez 71 personnes atteintes de tumeurs hypophysaires, le test au GHRP-2 a atteint, par rapport au test à l’insuline, une sensibilité de 81,3 % et une spécificité de 94,5 %</w:t>
      </w:r>
      <w:r>
        <w:rPr>
          <w:rStyle w:val="FootnoteReference"/>
        </w:rPr>
        <w:footnoteReference w:id="1370"/>
      </w:r>
      <w:r>
        <w:t xml:space="preserve">.</w:t>
      </w:r>
    </w:p>
    <w:p>
      <w:pPr>
        <w:pStyle w:val="BodyText"/>
      </w:pPr>
      <w:r>
        <w:t xml:space="preserve">Comme le GHRP-2 libère aussi de l’ACTH, on a vérifié si le test détectait en plus une insuffisance de l’axe surrénalien. Les résultats sont mitigés : dans une étude portant sur 47 personnes, il a atteint une sensibilité de 89,7 %</w:t>
      </w:r>
      <w:r>
        <w:rPr>
          <w:rStyle w:val="FootnoteReference"/>
        </w:rPr>
        <w:footnoteReference w:id="1371"/>
      </w:r>
      <w:r>
        <w:t xml:space="preserve"> </w:t>
      </w:r>
      <w:r>
        <w:t xml:space="preserve">; dans une analyse plus vaste de 254 personnes, il n’était globalement pas assez fiable (sensibilité 64 %, spécificité 79 %), et n’a obtenu de bons résultats que chez les hommes sans tumeur hormonalement active</w:t>
      </w:r>
      <w:r>
        <w:rPr>
          <w:rStyle w:val="FootnoteReference"/>
        </w:rPr>
        <w:footnoteReference w:id="1372"/>
      </w:r>
      <w:r>
        <w:t xml:space="preserve">.</w:t>
      </w:r>
    </w:p>
    <w:bookmarkEnd w:id="1373"/>
    <w:bookmarkStart w:id="1378" w:name="essais-thérapeutiques-chez-lenfant"/>
    <w:p>
      <w:pPr>
        <w:pStyle w:val="Heading4"/>
      </w:pPr>
      <w:r>
        <w:t xml:space="preserve">Essais thérapeutiques chez l’enfant</w:t>
      </w:r>
    </w:p>
    <w:p>
      <w:pPr>
        <w:pStyle w:val="FirstParagraph"/>
      </w:pPr>
      <w:r>
        <w:t xml:space="preserve">Dans les années 1990, le GHRP-2 a été testé comme traitement chez des enfants de petite taille. Chez six enfants présentant un déficit en hormone de croissance, la sécrétion nocturne de GH a augmenté de façon dose-dépendante, mais pas l’IGF-1 ; la vitesse de croissance était plus élevée pendant le traitement</w:t>
      </w:r>
      <w:r>
        <w:rPr>
          <w:rStyle w:val="FootnoteReference"/>
        </w:rPr>
        <w:footnoteReference w:id="1374"/>
      </w:r>
      <w:r>
        <w:t xml:space="preserve">. En spray nasal, le GHRP-2 a fait passer chez 15 enfants la vitesse de croissance de 3,7 à 6,1 cm par an, là encore sans augmentation de l’IGF-1</w:t>
      </w:r>
      <w:r>
        <w:rPr>
          <w:rStyle w:val="FootnoteReference"/>
        </w:rPr>
        <w:footnoteReference w:id="1375"/>
      </w:r>
      <w:r>
        <w:t xml:space="preserve">. Sur dix enfants ayant reçu du GHRP-2 en comprimés pendant douze mois, sept ont signalé un appétit nettement accru au cours des premiers mois</w:t>
      </w:r>
      <w:r>
        <w:rPr>
          <w:rStyle w:val="FootnoteReference"/>
        </w:rPr>
        <w:footnoteReference w:id="1376"/>
      </w:r>
      <w:r>
        <w:t xml:space="preserve">. Le développement en tant que traitement a été abandonné aux États-Unis</w:t>
      </w:r>
      <w:r>
        <w:rPr>
          <w:rStyle w:val="FootnoteReference"/>
        </w:rPr>
        <w:footnoteReference w:id="1377"/>
      </w:r>
      <w:r>
        <w:t xml:space="preserve">.</w:t>
      </w:r>
    </w:p>
    <w:bookmarkEnd w:id="1378"/>
    <w:bookmarkStart w:id="1381" w:name="appétit-et-médecine-intensive"/>
    <w:p>
      <w:pPr>
        <w:pStyle w:val="Heading4"/>
      </w:pPr>
      <w:r>
        <w:t xml:space="preserve">Appétit et médecine intensive</w:t>
      </w:r>
    </w:p>
    <w:p>
      <w:pPr>
        <w:pStyle w:val="FirstParagraph"/>
      </w:pPr>
      <w:r>
        <w:t xml:space="preserve">Chez 19 adultes minces et en surpoids, une perfusion de GHRP-2 a augmenté de façon dose-dépendante la quantité de nourriture librement choisie de 10,2 % et de 33,5 % respectivement par rapport au placebo</w:t>
      </w:r>
      <w:r>
        <w:rPr>
          <w:rStyle w:val="FootnoteReference"/>
        </w:rPr>
        <w:footnoteReference w:id="1379"/>
      </w:r>
      <w:r>
        <w:t xml:space="preserve">. Chez 14 patientes et patients hospitalisés de longue durée en soins intensifs, une perfusion de cinq jours de GHRP-2 associé à l’hormone de libération de la thyréostimuline TRH a réactivé l’axe GH et l’axe thyroïdien supprimés et a déplacé les marqueurs métaboliques vers l’anabolisme</w:t>
      </w:r>
      <w:r>
        <w:rPr>
          <w:rStyle w:val="FootnoteReference"/>
        </w:rPr>
        <w:footnoteReference w:id="1380"/>
      </w:r>
      <w:r>
        <w:t xml:space="preserve">. On n’a jamais vérifié dans une étude sur critères cliniques si cela modifie les chances de survie.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Diagnostic (Chihara 2007), PMID 17609397</w:t>
            </w:r>
          </w:p>
        </w:tc>
        <w:tc>
          <w:tcPr/>
          <w:p>
            <w:pPr>
              <w:pStyle w:val="Compact"/>
              <w:jc w:val="left"/>
            </w:pPr>
            <w:r>
              <w:t xml:space="preserve">77 personnes en bonne santé, 58 avec déficit en GH, validation contrôlée</w:t>
            </w:r>
          </w:p>
        </w:tc>
        <w:tc>
          <w:tcPr/>
          <w:p>
            <w:pPr>
              <w:pStyle w:val="Compact"/>
              <w:jc w:val="left"/>
            </w:pPr>
            <w:r>
              <w:t xml:space="preserve">test unique</w:t>
            </w:r>
          </w:p>
        </w:tc>
        <w:tc>
          <w:tcPr/>
          <w:p>
            <w:pPr>
              <w:pStyle w:val="Compact"/>
              <w:jc w:val="left"/>
            </w:pPr>
            <w:r>
              <w:t xml:space="preserve">pic de GH 84,6 vs 1,36 µg/l ; seuil 15 µg/l</w:t>
            </w:r>
          </w:p>
        </w:tc>
      </w:tr>
      <w:tr>
        <w:tc>
          <w:tcPr/>
          <w:p>
            <w:pPr>
              <w:pStyle w:val="Compact"/>
              <w:jc w:val="left"/>
            </w:pPr>
            <w:r>
              <w:t xml:space="preserve">Diagnostic (Kinoshita 2013), PMID 23079545</w:t>
            </w:r>
          </w:p>
        </w:tc>
        <w:tc>
          <w:tcPr/>
          <w:p>
            <w:pPr>
              <w:pStyle w:val="Compact"/>
              <w:jc w:val="left"/>
            </w:pPr>
            <w:r>
              <w:t xml:space="preserve">71 personnes avec tumeurs hypophysaires, comparaison avec le test à l’insuline</w:t>
            </w:r>
          </w:p>
        </w:tc>
        <w:tc>
          <w:tcPr/>
          <w:p>
            <w:pPr>
              <w:pStyle w:val="Compact"/>
              <w:jc w:val="left"/>
            </w:pPr>
            <w:r>
              <w:t xml:space="preserve">test unique</w:t>
            </w:r>
          </w:p>
        </w:tc>
        <w:tc>
          <w:tcPr/>
          <w:p>
            <w:pPr>
              <w:pStyle w:val="Compact"/>
              <w:jc w:val="left"/>
            </w:pPr>
            <w:r>
              <w:t xml:space="preserve">sensibilité 81,3 %, spécificité 94,5 %</w:t>
            </w:r>
          </w:p>
        </w:tc>
      </w:tr>
      <w:tr>
        <w:tc>
          <w:tcPr/>
          <w:p>
            <w:pPr>
              <w:pStyle w:val="Compact"/>
              <w:jc w:val="left"/>
            </w:pPr>
            <w:r>
              <w:t xml:space="preserve">Enfants, spray nasal (Pihoker 1997), PMID 9390009</w:t>
            </w:r>
          </w:p>
        </w:tc>
        <w:tc>
          <w:tcPr/>
          <w:p>
            <w:pPr>
              <w:pStyle w:val="Compact"/>
              <w:jc w:val="left"/>
            </w:pPr>
            <w:r>
              <w:t xml:space="preserve">15 enfants de petite taille, sans groupe témoin</w:t>
            </w:r>
          </w:p>
        </w:tc>
        <w:tc>
          <w:tcPr/>
          <w:p>
            <w:pPr>
              <w:pStyle w:val="Compact"/>
              <w:jc w:val="left"/>
            </w:pPr>
            <w:r>
              <w:t xml:space="preserve">6–24 mois</w:t>
            </w:r>
          </w:p>
        </w:tc>
        <w:tc>
          <w:tcPr/>
          <w:p>
            <w:pPr>
              <w:pStyle w:val="Compact"/>
              <w:jc w:val="left"/>
            </w:pPr>
            <w:r>
              <w:t xml:space="preserve">croissance 3,7 → 6,1 cm/an</w:t>
            </w:r>
          </w:p>
        </w:tc>
      </w:tr>
      <w:tr>
        <w:tc>
          <w:tcPr/>
          <w:p>
            <w:pPr>
              <w:pStyle w:val="Compact"/>
              <w:jc w:val="left"/>
            </w:pPr>
            <w:r>
              <w:t xml:space="preserve">Appétit (Laferrère 2006), PMID 16861611</w:t>
            </w:r>
          </w:p>
        </w:tc>
        <w:tc>
          <w:tcPr/>
          <w:p>
            <w:pPr>
              <w:pStyle w:val="Compact"/>
              <w:jc w:val="left"/>
            </w:pPr>
            <w:r>
              <w:t xml:space="preserve">19 adultes, ECR en plan croisé contre placebo</w:t>
            </w:r>
          </w:p>
        </w:tc>
        <w:tc>
          <w:tcPr/>
          <w:p>
            <w:pPr>
              <w:pStyle w:val="Compact"/>
              <w:jc w:val="left"/>
            </w:pPr>
            <w:r>
              <w:t xml:space="preserve">3 perfusions uniques</w:t>
            </w:r>
          </w:p>
        </w:tc>
        <w:tc>
          <w:tcPr/>
          <w:p>
            <w:pPr>
              <w:pStyle w:val="Compact"/>
              <w:jc w:val="left"/>
            </w:pPr>
            <w:r>
              <w:t xml:space="preserve">quantité de nourriture +10,2 % et +33,5 %</w:t>
            </w:r>
          </w:p>
        </w:tc>
      </w:tr>
      <w:tr>
        <w:tc>
          <w:tcPr/>
          <w:p>
            <w:pPr>
              <w:pStyle w:val="Compact"/>
              <w:jc w:val="left"/>
            </w:pPr>
            <w:r>
              <w:t xml:space="preserve">Médecine intensive (Van den Berghe 1999), PMID 10199772</w:t>
            </w:r>
          </w:p>
        </w:tc>
        <w:tc>
          <w:tcPr/>
          <w:p>
            <w:pPr>
              <w:pStyle w:val="Compact"/>
              <w:jc w:val="left"/>
            </w:pPr>
            <w:r>
              <w:t xml:space="preserve">14 patients en soins intensifs de longue durée, plan croisé randomisé</w:t>
            </w:r>
          </w:p>
        </w:tc>
        <w:tc>
          <w:tcPr/>
          <w:p>
            <w:pPr>
              <w:pStyle w:val="Compact"/>
              <w:jc w:val="left"/>
            </w:pPr>
            <w:r>
              <w:t xml:space="preserve">5 jours</w:t>
            </w:r>
          </w:p>
        </w:tc>
        <w:tc>
          <w:tcPr/>
          <w:p>
            <w:pPr>
              <w:pStyle w:val="Compact"/>
              <w:jc w:val="left"/>
            </w:pPr>
            <w:r>
              <w:t xml:space="preserve">axe GH et axe thyroïdien réactivés</w:t>
            </w:r>
          </w:p>
        </w:tc>
      </w:tr>
    </w:tbl>
    <w:bookmarkEnd w:id="1381"/>
    <w:bookmarkEnd w:id="1382"/>
    <w:bookmarkStart w:id="1385" w:name="études-animales-et-de-laboratoire-27"/>
    <w:p>
      <w:pPr>
        <w:pStyle w:val="Heading3"/>
      </w:pPr>
      <w:r>
        <w:t xml:space="preserve">Études animales et de laboratoire</w:t>
      </w:r>
    </w:p>
    <w:p>
      <w:pPr>
        <w:pStyle w:val="FirstParagraph"/>
      </w:pPr>
      <w:r>
        <w:t xml:space="preserve">Chez des rats éveillés, le GHRP-2 a libéré plus d’hormone de croissance que la GHRH et agissait aussi chez des chiens chez lesquels la GHRH échouait ; chez le rat, il augmentait l’ACTH et la corticostérone, mais pas la prolactine, et accélérait la croissance sur trois semaines</w:t>
      </w:r>
      <w:r>
        <w:rPr>
          <w:rStyle w:val="FootnoteReference"/>
        </w:rPr>
        <w:footnoteReference w:id="1383"/>
      </w:r>
      <w:r>
        <w:t xml:space="preserve">. Chez le porc, le GHRP-2 était particulièrement puissant dans une étude comparative, mais, contrairement à l’ipamoréline, libérait aussi de l’ACTH et du cortisol</w:t>
      </w:r>
      <w:r>
        <w:rPr>
          <w:rStyle w:val="FootnoteReference"/>
        </w:rPr>
        <w:footnoteReference w:id="1384"/>
      </w:r>
      <w:r>
        <w:t xml:space="preserve">.</w:t>
      </w:r>
    </w:p>
    <w:bookmarkEnd w:id="1385"/>
    <w:bookmarkStart w:id="1390" w:name="risques-et-effets-indésirables-27"/>
    <w:p>
      <w:pPr>
        <w:pStyle w:val="Heading3"/>
      </w:pPr>
      <w:r>
        <w:t xml:space="preserve">Risques et effets indésirables</w:t>
      </w:r>
    </w:p>
    <w:p>
      <w:pPr>
        <w:pStyle w:val="FirstParagraph"/>
      </w:pPr>
      <w:r>
        <w:rPr>
          <w:bCs/>
          <w:b/>
        </w:rPr>
        <w:t xml:space="preserve">Établi :</w:t>
      </w:r>
      <w:r>
        <w:t xml:space="preserve"> </w:t>
      </w:r>
      <w:r>
        <w:t xml:space="preserve">dans les études, le GHRP-2 a été bien toléré à court terme. Sont décrits à plusieurs reprises une augmentation de l’appétit</w:t>
      </w:r>
      <w:r>
        <w:rPr>
          <w:rStyle w:val="FootnoteReference"/>
        </w:rPr>
        <w:footnoteReference w:id="1386"/>
      </w:r>
      <w:r>
        <w:t xml:space="preserve"> </w:t>
      </w:r>
      <w:r>
        <w:t xml:space="preserve">ainsi que la libération d’ACTH et de cortisol</w:t>
      </w:r>
      <w:r>
        <w:rPr>
          <w:rStyle w:val="FootnoteReference"/>
        </w:rPr>
        <w:footnoteReference w:id="1387"/>
      </w:r>
      <w:r>
        <w:t xml:space="preserve">. Une revue des sécrétagogues de GH mentionne en outre une possible hausse de la glycémie due à une moindre sensibilité à l’insuline et réclame des données à long terme sur le cancer et la mortalité</w:t>
      </w:r>
      <w:r>
        <w:rPr>
          <w:rStyle w:val="FootnoteReference"/>
        </w:rPr>
        <w:footnoteReference w:id="1388"/>
      </w:r>
      <w:r>
        <w:t xml:space="preserve">.</w:t>
      </w:r>
    </w:p>
    <w:p>
      <w:pPr>
        <w:pStyle w:val="BodyText"/>
      </w:pPr>
      <w:r>
        <w:rPr>
          <w:bCs/>
          <w:b/>
        </w:rPr>
        <w:t xml:space="preserve">Inconnu :</w:t>
      </w:r>
      <w:r>
        <w:t xml:space="preserve"> </w:t>
      </w:r>
      <w:r>
        <w:t xml:space="preserve">il n’existe pas de données sur une utilisation sur des mois ou des années chez l’adulte. Sur la question de savoir si une hormone de croissance/un IGF-1 durablement élevés augmentent le risque de cancer, voir l’introduction de ce groupe et la partie IV.</w:t>
      </w:r>
    </w:p>
    <w:p>
      <w:pPr>
        <w:pStyle w:val="BodyText"/>
      </w:pPr>
      <w:r>
        <w:rPr>
          <w:bCs/>
          <w:b/>
        </w:rPr>
        <w:t xml:space="preserve">Marché gris :</w:t>
      </w:r>
      <w:r>
        <w:t xml:space="preserve"> </w:t>
      </w:r>
      <w:r>
        <w:t xml:space="preserve">dans des produits saisis, on a trouvé du « Gly-GHRP-2 », c’est-à-dire du GHRP-2 avec un acide aminé supplémentaire non déclaré</w:t>
      </w:r>
      <w:r>
        <w:rPr>
          <w:rStyle w:val="FootnoteReference"/>
        </w:rPr>
        <w:footnoteReference w:id="1389"/>
      </w:r>
      <w:r>
        <w:t xml:space="preserve">.</w:t>
      </w:r>
    </w:p>
    <w:bookmarkEnd w:id="1390"/>
    <w:bookmarkStart w:id="1392" w:name="statut-juridique-27"/>
    <w:p>
      <w:pPr>
        <w:pStyle w:val="Heading3"/>
      </w:pPr>
      <w:r>
        <w:t xml:space="preserve">Statut juridique</w:t>
      </w:r>
    </w:p>
    <w:p>
      <w:pPr>
        <w:pStyle w:val="FirstParagraph"/>
      </w:pPr>
      <w:r>
        <w:rPr>
          <w:iCs/>
          <w:i/>
        </w:rPr>
        <w:t xml:space="preserve">État 2026, à vérifier.</w:t>
      </w:r>
    </w:p>
    <w:p>
      <w:pPr>
        <w:numPr>
          <w:ilvl w:val="0"/>
          <w:numId w:val="1162"/>
        </w:numPr>
        <w:pStyle w:val="Compact"/>
      </w:pPr>
      <w:r>
        <w:rPr>
          <w:bCs/>
          <w:b/>
        </w:rPr>
        <w:t xml:space="preserve">Japon :</w:t>
      </w:r>
      <w:r>
        <w:t xml:space="preserve"> </w:t>
      </w:r>
      <w:r>
        <w:t xml:space="preserve">autorisé comme produit diagnostique ; utilisation exclusivement dans le cadre de tests fonctionnels médicaux.</w:t>
      </w:r>
    </w:p>
    <w:p>
      <w:pPr>
        <w:numPr>
          <w:ilvl w:val="0"/>
          <w:numId w:val="1162"/>
        </w:numPr>
        <w:pStyle w:val="Compact"/>
      </w:pPr>
      <w:r>
        <w:rPr>
          <w:bCs/>
          <w:b/>
        </w:rPr>
        <w:t xml:space="preserve">UE, Allemagne, Autriche :</w:t>
      </w:r>
      <w:r>
        <w:t xml:space="preserve"> </w:t>
      </w:r>
      <w:r>
        <w:t xml:space="preserve">aucune autorisation ; remise en vue d’un usage humain illicite.</w:t>
      </w:r>
    </w:p>
    <w:p>
      <w:pPr>
        <w:numPr>
          <w:ilvl w:val="0"/>
          <w:numId w:val="1162"/>
        </w:numPr>
        <w:pStyle w:val="Compact"/>
      </w:pPr>
      <w:r>
        <w:rPr>
          <w:bCs/>
          <w:b/>
        </w:rPr>
        <w:t xml:space="preserve">États-Unis :</w:t>
      </w:r>
      <w:r>
        <w:t xml:space="preserve"> </w:t>
      </w:r>
      <w:r>
        <w:t xml:space="preserve">aucune autorisation.</w:t>
      </w:r>
    </w:p>
    <w:p>
      <w:pPr>
        <w:numPr>
          <w:ilvl w:val="0"/>
          <w:numId w:val="1162"/>
        </w:numPr>
        <w:pStyle w:val="Compact"/>
      </w:pPr>
      <w:r>
        <w:rPr>
          <w:bCs/>
          <w:b/>
        </w:rPr>
        <w:t xml:space="preserve">AMA (WADA) :</w:t>
      </w:r>
      <w:r>
        <w:t xml:space="preserve"> </w:t>
      </w:r>
      <w:r>
        <w:t xml:space="preserve">interdit (S2). Après administration en spray nasal chez un volontaire, le GHRP-2 et ses produits de dégradation sont détectables dans l’urine jusqu’à 47 heures</w:t>
      </w:r>
      <w:r>
        <w:rPr>
          <w:rStyle w:val="FootnoteReference"/>
        </w:rPr>
        <w:footnoteReference w:id="1391"/>
      </w:r>
      <w:r>
        <w:t xml:space="preserve">.</w:t>
      </w:r>
    </w:p>
    <w:bookmarkEnd w:id="1392"/>
    <w:bookmarkStart w:id="1393" w:name="études-en-cours-et-perspectives-27"/>
    <w:p>
      <w:pPr>
        <w:pStyle w:val="Heading3"/>
      </w:pPr>
      <w:r>
        <w:t xml:space="preserve">Études en cours et perspectives</w:t>
      </w:r>
    </w:p>
    <w:p>
      <w:pPr>
        <w:pStyle w:val="FirstParagraph"/>
      </w:pPr>
      <w:r>
        <w:t xml:space="preserve">En octobre 2026, ClinicalTrials.gov ne recense aucune étude avec le GHRP-2 ou la pralmoréline.</w:t>
      </w:r>
      <w:r>
        <w:t xml:space="preserve"> </w:t>
      </w:r>
      <w:r>
        <w:rPr>
          <w:iCs/>
          <w:i/>
        </w:rPr>
        <w:t xml:space="preserve">Appréciation de l’auteur :</w:t>
      </w:r>
      <w:r>
        <w:t xml:space="preserve"> </w:t>
      </w:r>
      <w:r>
        <w:t xml:space="preserve">le GHRP-2 restera un outil de diagnostic au Japon et de recherche hormonale. Dans d’autres pays, il est en concurrence, comme substance de test, avec la macimoréline, disponible sous forme orale.</w:t>
      </w:r>
    </w:p>
    <w:bookmarkEnd w:id="1393"/>
    <w:bookmarkStart w:id="1394" w:name="conclusion-27"/>
    <w:p>
      <w:pPr>
        <w:pStyle w:val="Heading3"/>
      </w:pPr>
      <w:r>
        <w:t xml:space="preserve">Conclusion</w:t>
      </w:r>
    </w:p>
    <w:p>
      <w:pPr>
        <w:pStyle w:val="FirstParagraph"/>
      </w:pPr>
      <w:r>
        <w:t xml:space="preserve">Le GHRP-2 est l’un des plus puissants déclencheurs connus de la sécrétion d’hormone de croissance et il est établi au Japon comme produit diagnostique du déficit en hormone de croissance. Les essais thérapeutiques chez l’enfant n’ont montré que des effets modestes et n’ont pas été poursuivis. Pour le développement musculaire, la perte de graisse ou l’« anti-âge » chez les personnes en bonne santé, il n’existe aucune étude ; sont en revanche établis des effets secondaires tels que des fringales et une activation des hormones du stress.</w:t>
      </w:r>
    </w:p>
    <w:bookmarkEnd w:id="1394"/>
    <w:bookmarkEnd w:id="1395"/>
    <w:bookmarkStart w:id="1425" w:name="ghrp-6"/>
    <w:p>
      <w:pPr>
        <w:pStyle w:val="Heading2"/>
      </w:pPr>
      <w:r>
        <w:t xml:space="preserve">GHRP-6</w:t>
      </w:r>
    </w:p>
    <w:p>
      <w:pPr>
        <w:pStyle w:val="FirstParagraph"/>
      </w:pPr>
      <w:r>
        <w:t xml:space="preserve">Le GHRP-6 est l’ancêtre de tous les peptides libérant l’hormone de croissance. En 1984, l’endocrinologue américain Cyril Bowers décrivit un hexapeptide artificiel qui libère de manière ciblée l’hormone de croissance – 15 ans avant que l’on connaisse son pendant naturel, la ghréline. En recherche, le GHRP-6 est devenu l’outil standard pour tester l’axe de l’hormone de croissance. Dans les milieux de la musculation, il passe en revanche pour un stimulant de GH bon marché, avec la « fringale » comme effet secondaire. Il n’est jamais devenu un médicament.</w:t>
      </w:r>
    </w:p>
    <w:bookmarkStart w:id="1397" w:name="fiche-signalétique-28"/>
    <w:p>
      <w:pPr>
        <w:pStyle w:val="Heading3"/>
      </w:pPr>
      <w:r>
        <w:t xml:space="preserve">Fiche signalétique</w:t>
      </w:r>
    </w:p>
    <w:p>
      <w:pPr>
        <w:numPr>
          <w:ilvl w:val="0"/>
          <w:numId w:val="1163"/>
        </w:numPr>
        <w:pStyle w:val="Compact"/>
      </w:pPr>
      <w:r>
        <w:rPr>
          <w:bCs/>
          <w:b/>
        </w:rPr>
        <w:t xml:space="preserve">Nature et structure :</w:t>
      </w:r>
      <w:r>
        <w:t xml:space="preserve"> </w:t>
      </w:r>
      <w:r>
        <w:t xml:space="preserve">hexapeptide de synthèse His-D-Trp-Ala-Trp-D-Phe-Lys-NH2 comportant deux acides aminés D non naturels</w:t>
      </w:r>
      <w:r>
        <w:rPr>
          <w:rStyle w:val="FootnoteReference"/>
        </w:rPr>
        <w:footnoteReference w:id="1396"/>
      </w:r>
      <w:r>
        <w:t xml:space="preserve">.</w:t>
      </w:r>
    </w:p>
    <w:p>
      <w:pPr>
        <w:numPr>
          <w:ilvl w:val="0"/>
          <w:numId w:val="1163"/>
        </w:numPr>
        <w:pStyle w:val="Compact"/>
      </w:pPr>
      <w:r>
        <w:rPr>
          <w:bCs/>
          <w:b/>
        </w:rPr>
        <w:t xml:space="preserve">Origine :</w:t>
      </w:r>
      <w:r>
        <w:t xml:space="preserve"> </w:t>
      </w:r>
      <w:r>
        <w:t xml:space="preserve">Tulane University (États-Unis), début des années 1980.</w:t>
      </w:r>
    </w:p>
    <w:p>
      <w:pPr>
        <w:numPr>
          <w:ilvl w:val="0"/>
          <w:numId w:val="1163"/>
        </w:numPr>
        <w:pStyle w:val="Compact"/>
      </w:pPr>
      <w:r>
        <w:rPr>
          <w:bCs/>
          <w:b/>
        </w:rPr>
        <w:t xml:space="preserve">Principe d’action :</w:t>
      </w:r>
      <w:r>
        <w:t xml:space="preserve"> </w:t>
      </w:r>
      <w:r>
        <w:t xml:space="preserve">agoniste du récepteur de la ghréline (GHS-R1a) dans l’hypophyse et l’hypothalamus ; libère de l’hormone de croissance, ainsi que de l’ACTH, du cortisol et de la prolactine ; augmente l’appétit.</w:t>
      </w:r>
    </w:p>
    <w:p>
      <w:pPr>
        <w:numPr>
          <w:ilvl w:val="0"/>
          <w:numId w:val="1163"/>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 Autorisé nulle part ailleurs non plus comme médicament (état 2026).</w:t>
      </w:r>
    </w:p>
    <w:p>
      <w:pPr>
        <w:numPr>
          <w:ilvl w:val="0"/>
          <w:numId w:val="1163"/>
        </w:numPr>
        <w:pStyle w:val="Compact"/>
      </w:pPr>
      <w:r>
        <w:rPr>
          <w:bCs/>
          <w:b/>
        </w:rPr>
        <w:t xml:space="preserve">AMA (WADA) :</w:t>
      </w:r>
      <w:r>
        <w:t xml:space="preserve"> </w:t>
      </w:r>
      <w:r>
        <w:t xml:space="preserve">interdit, classe S2 – le GHRP-6 est expressément nommé en tant que peptide libérant l’hormone de croissance.</w:t>
      </w:r>
    </w:p>
    <w:p>
      <w:pPr>
        <w:numPr>
          <w:ilvl w:val="0"/>
          <w:numId w:val="1163"/>
        </w:numPr>
        <w:pStyle w:val="Compact"/>
      </w:pPr>
      <w:r>
        <w:rPr>
          <w:bCs/>
          <w:b/>
        </w:rPr>
        <w:t xml:space="preserve">Niveau de preuve : C</w:t>
      </w:r>
      <w:r>
        <w:t xml:space="preserve"> </w:t>
      </w:r>
      <w:r>
        <w:t xml:space="preserve">– de nombreuses petites études sur la physiologie hormonale et le diagnostic, portant chacune sur 10 à 250 personnes, mais pas une seule étude contrôlée sur un bénéfice thérapeutique.</w:t>
      </w:r>
    </w:p>
    <w:bookmarkEnd w:id="1397"/>
    <w:bookmarkStart w:id="1400" w:name="mode-daction-supposé-28"/>
    <w:p>
      <w:pPr>
        <w:pStyle w:val="Heading3"/>
      </w:pPr>
      <w:r>
        <w:t xml:space="preserve">Mode d’action supposé</w:t>
      </w:r>
    </w:p>
    <w:p>
      <w:pPr>
        <w:pStyle w:val="FirstParagraph"/>
      </w:pPr>
      <w:r>
        <w:t xml:space="preserve">En 1984, Bowers et ses collègues ont montré que l’hexapeptide libérait en quelques minutes de l’hormone de croissance chez le rat, le singe, l’agneau et le veau, sans influencer d’autres hormones hypophysaires comme la LH, la FSH ou la TSH ; les rats qui le recevaient de façon répétée prenaient davantage de poids</w:t>
      </w:r>
      <w:r>
        <w:rPr>
          <w:rStyle w:val="FootnoteReference"/>
        </w:rPr>
        <w:footnoteReference w:id="1398"/>
      </w:r>
      <w:r>
        <w:t xml:space="preserve">. Il est apparu plus tard que le GHRP-6 agit sur le même récepteur que l’hormone gastrique ghréline</w:t>
      </w:r>
      <w:r>
        <w:rPr>
          <w:rStyle w:val="FootnoteReference"/>
        </w:rPr>
        <w:footnoteReference w:id="1399"/>
      </w:r>
      <w:r>
        <w:t xml:space="preserve">.</w:t>
      </w:r>
    </w:p>
    <w:p>
      <w:pPr>
        <w:pStyle w:val="BodyText"/>
      </w:pPr>
      <w:r>
        <w:t xml:space="preserve">Comme le GHRP-2, le GHRP-6 agit le plus fortement lorsque la GHRH endogène de l’hypothalamus intervient aussi. Si l’on combine les deux, la sécrétion d’hormone de croissance est supérieure à la somme des effets individuels. C’est précisément cette propriété qui a rendu le GHRP-6 intéressant comme produit diagnostique. Contrairement à l’ipamoréline, le GHRP-6 active aussi l’axe des hormones du stress (ACTH et cortisol).</w:t>
      </w:r>
    </w:p>
    <w:bookmarkEnd w:id="1400"/>
    <w:bookmarkStart w:id="1411" w:name="études-chez-lhumain-28"/>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40</w:t>
      </w:r>
      <w:r>
        <w:t xml:space="preserve"> </w:t>
      </w:r>
      <w:r>
        <w:t xml:space="preserve">études chez l’humain dans PubMed (</w:t>
      </w:r>
      <w:r>
        <w:rPr>
          <w:rStyle w:val="VerbatimChar"/>
        </w:rPr>
        <w:t xml:space="preserve">humanstudien_alle</w:t>
      </w:r>
      <w:r>
        <w:t xml:space="preserve">) et</w:t>
      </w:r>
      <w:r>
        <w:t xml:space="preserve"> </w:t>
      </w:r>
      <w:r>
        <w:rPr>
          <w:bCs/>
          <w:b/>
        </w:rPr>
        <w:t xml:space="preserve">aucune</w:t>
      </w:r>
      <w:r>
        <w:t xml:space="preserve"> </w:t>
      </w:r>
      <w:r>
        <w:t xml:space="preserve">entrée sur ClinicalTrials.gov. Presque tous les travaux utilisent le GHRP-6 comme substance de test administrée une seule fois, afin d’étudier la régulation hormonale dans des maladies comme le syndrome de Cushing, l’hyperthyroïdie, le surpoids ou avec l’âge. Une étude de cette liste a été menée chez le chien.</w:t>
      </w:r>
    </w:p>
    <w:bookmarkStart w:id="1405" w:name="X1c4be7cf8de6d6b62d425824a51bedf12ef12de"/>
    <w:p>
      <w:pPr>
        <w:pStyle w:val="Heading4"/>
      </w:pPr>
      <w:r>
        <w:t xml:space="preserve">Diagnostic du déficit en hormone de croissance</w:t>
      </w:r>
    </w:p>
    <w:p>
      <w:pPr>
        <w:pStyle w:val="FirstParagraph"/>
      </w:pPr>
      <w:r>
        <w:t xml:space="preserve">L’étude la plus connue a paru en 2000 dans la revue Lancet : 125 adultes atteints de maladies de l’hypophyse et 125 personnes en bonne santé ont reçu GHRH plus GHRP-6 en test combiné. Le pic moyen de GH était de 59,2 µg/l chez les personnes en bonne santé et de 4,1 µg/l chez les personnes concernées ; un seuil de 15 µg/l séparait de manière fiable les deux groupes. Aucun effet indésirable n’est survenu, et l’âge, le sexe et la masse grasse n’influençaient pas le résultat</w:t>
      </w:r>
      <w:r>
        <w:rPr>
          <w:rStyle w:val="FootnoteReference"/>
        </w:rPr>
        <w:footnoteReference w:id="1401"/>
      </w:r>
      <w:r>
        <w:t xml:space="preserve">. Dans une étude plus petite portant sur 20 personnes, le test a correctement identifié tous les cas de déficit en hormone de croissance ; le seul effet indésirable observé était une sensation de chaleur (bouffée vasomotrice, flush)</w:t>
      </w:r>
      <w:r>
        <w:rPr>
          <w:rStyle w:val="FootnoteReference"/>
        </w:rPr>
        <w:footnoteReference w:id="1402"/>
      </w:r>
      <w:r>
        <w:t xml:space="preserve">. Chez 21 adultes chez lesquels un déficit avait été constaté auparavant par des tests classiques, environ 40 % ont tout de même nettement réagi à la combinaison</w:t>
      </w:r>
      <w:r>
        <w:rPr>
          <w:rStyle w:val="FootnoteReference"/>
        </w:rPr>
        <w:footnoteReference w:id="1403"/>
      </w:r>
      <w:r>
        <w:t xml:space="preserve"> </w:t>
      </w:r>
      <w:r>
        <w:t xml:space="preserve">– un indice que différents tests répondent à des questions différentes.</w:t>
      </w:r>
    </w:p>
    <w:p>
      <w:pPr>
        <w:pStyle w:val="BodyText"/>
      </w:pPr>
      <w:r>
        <w:t xml:space="preserve">Comme test d’une insuffisance de l’axe surrénalien, le GHRP-6 n’était en revanche que d’une utilité limitée : chez 49 patientes et patients, il a atteint, par rapport au test à l’insuline, une sensibilité de 71,0 % et une spécificité de 77,8 %</w:t>
      </w:r>
      <w:r>
        <w:rPr>
          <w:rStyle w:val="FootnoteReference"/>
        </w:rPr>
        <w:footnoteReference w:id="1404"/>
      </w:r>
      <w:r>
        <w:t xml:space="preserve">.</w:t>
      </w:r>
    </w:p>
    <w:bookmarkEnd w:id="1405"/>
    <w:bookmarkStart w:id="1410" w:name="pharmacologie-sommeil-âge"/>
    <w:p>
      <w:pPr>
        <w:pStyle w:val="Heading4"/>
      </w:pPr>
      <w:r>
        <w:t xml:space="preserve">Pharmacologie, sommeil, âge</w:t>
      </w:r>
    </w:p>
    <w:p>
      <w:pPr>
        <w:numPr>
          <w:ilvl w:val="0"/>
          <w:numId w:val="1164"/>
        </w:numPr>
        <w:pStyle w:val="Compact"/>
      </w:pPr>
      <w:r>
        <w:rPr>
          <w:bCs/>
          <w:b/>
        </w:rPr>
        <w:t xml:space="preserve">Pharmacocinétique :</w:t>
      </w:r>
      <w:r>
        <w:t xml:space="preserve"> </w:t>
      </w:r>
      <w:r>
        <w:t xml:space="preserve">chez neuf hommes en bonne santé, la demi-vie d’élimination après administration intraveineuse était en moyenne de 2,5 heures</w:t>
      </w:r>
      <w:r>
        <w:rPr>
          <w:rStyle w:val="FootnoteReference"/>
        </w:rPr>
        <w:footnoteReference w:id="1406"/>
      </w:r>
      <w:r>
        <w:t xml:space="preserve">.</w:t>
      </w:r>
    </w:p>
    <w:p>
      <w:pPr>
        <w:numPr>
          <w:ilvl w:val="0"/>
          <w:numId w:val="1164"/>
        </w:numPr>
        <w:pStyle w:val="Compact"/>
      </w:pPr>
      <w:r>
        <w:rPr>
          <w:bCs/>
          <w:b/>
        </w:rPr>
        <w:t xml:space="preserve">Sommeil :</w:t>
      </w:r>
      <w:r>
        <w:t xml:space="preserve"> </w:t>
      </w:r>
      <w:r>
        <w:t xml:space="preserve">chez des hommes en bonne santé, le GHRP-6 a augmenté la nuit l’hormone de croissance, l’ACTH et le cortisol et a prolongé le sommeil léger (stade 2), mais pas le sommeil profond</w:t>
      </w:r>
      <w:r>
        <w:rPr>
          <w:rStyle w:val="FootnoteReference"/>
        </w:rPr>
        <w:footnoteReference w:id="1407"/>
      </w:r>
      <w:r>
        <w:t xml:space="preserve">.</w:t>
      </w:r>
    </w:p>
    <w:p>
      <w:pPr>
        <w:numPr>
          <w:ilvl w:val="0"/>
          <w:numId w:val="1164"/>
        </w:numPr>
        <w:pStyle w:val="Compact"/>
      </w:pPr>
      <w:r>
        <w:rPr>
          <w:bCs/>
          <w:b/>
        </w:rPr>
        <w:t xml:space="preserve">Âge :</w:t>
      </w:r>
      <w:r>
        <w:t xml:space="preserve"> </w:t>
      </w:r>
      <w:r>
        <w:t xml:space="preserve">chez neuf adultes jeunes et neuf adultes âgés, l’hypophyse répondait plus faiblement à la GHRH avec l’âge, mais pas au GHRP-6</w:t>
      </w:r>
      <w:r>
        <w:rPr>
          <w:rStyle w:val="FootnoteReference"/>
        </w:rPr>
        <w:footnoteReference w:id="1408"/>
      </w:r>
      <w:r>
        <w:t xml:space="preserve">.</w:t>
      </w:r>
    </w:p>
    <w:p>
      <w:pPr>
        <w:numPr>
          <w:ilvl w:val="0"/>
          <w:numId w:val="1164"/>
        </w:numPr>
        <w:pStyle w:val="Compact"/>
      </w:pPr>
      <w:r>
        <w:rPr>
          <w:bCs/>
          <w:b/>
        </w:rPr>
        <w:t xml:space="preserve">Enfants :</w:t>
      </w:r>
      <w:r>
        <w:t xml:space="preserve"> </w:t>
      </w:r>
      <w:r>
        <w:t xml:space="preserve">en comprimé, le GHRP-6 a déclenché chez des enfants de petite taille sans déficit hormonal une hausse de GH semblable à celle observée après une injection de GHRH</w:t>
      </w:r>
      <w:r>
        <w:rPr>
          <w:rStyle w:val="FootnoteReference"/>
        </w:rPr>
        <w:footnoteReference w:id="1409"/>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Diagnostic (Popovic 2000), PMID 11030292</w:t>
            </w:r>
          </w:p>
        </w:tc>
        <w:tc>
          <w:tcPr/>
          <w:p>
            <w:pPr>
              <w:pStyle w:val="Compact"/>
              <w:jc w:val="left"/>
            </w:pPr>
            <w:r>
              <w:t xml:space="preserve">125 personnes concernées, 125 en bonne santé ; étude comparative multicentrique</w:t>
            </w:r>
          </w:p>
        </w:tc>
        <w:tc>
          <w:tcPr/>
          <w:p>
            <w:pPr>
              <w:pStyle w:val="Compact"/>
              <w:jc w:val="left"/>
            </w:pPr>
            <w:r>
              <w:t xml:space="preserve">test unique</w:t>
            </w:r>
          </w:p>
        </w:tc>
        <w:tc>
          <w:tcPr/>
          <w:p>
            <w:pPr>
              <w:pStyle w:val="Compact"/>
              <w:jc w:val="left"/>
            </w:pPr>
            <w:r>
              <w:t xml:space="preserve">pic de GH 59,2 vs 4,1 µg/l ; seuil 15 µg/l</w:t>
            </w:r>
          </w:p>
        </w:tc>
      </w:tr>
      <w:tr>
        <w:tc>
          <w:tcPr/>
          <w:p>
            <w:pPr>
              <w:pStyle w:val="Compact"/>
              <w:jc w:val="left"/>
            </w:pPr>
            <w:r>
              <w:t xml:space="preserve">Diagnostic (Petersenn 2002), PMID 11980622</w:t>
            </w:r>
          </w:p>
        </w:tc>
        <w:tc>
          <w:tcPr/>
          <w:p>
            <w:pPr>
              <w:pStyle w:val="Compact"/>
              <w:jc w:val="left"/>
            </w:pPr>
            <w:r>
              <w:t xml:space="preserve">20 personnes, comparaison avec le test à l’insuline</w:t>
            </w:r>
          </w:p>
        </w:tc>
        <w:tc>
          <w:tcPr/>
          <w:p>
            <w:pPr>
              <w:pStyle w:val="Compact"/>
              <w:jc w:val="left"/>
            </w:pPr>
            <w:r>
              <w:t xml:space="preserve">tests uniques</w:t>
            </w:r>
          </w:p>
        </w:tc>
        <w:tc>
          <w:tcPr/>
          <w:p>
            <w:pPr>
              <w:pStyle w:val="Compact"/>
              <w:jc w:val="left"/>
            </w:pPr>
            <w:r>
              <w:t xml:space="preserve">tous les cas de déficit en GH identifiés</w:t>
            </w:r>
          </w:p>
        </w:tc>
      </w:tr>
      <w:tr>
        <w:tc>
          <w:tcPr/>
          <w:p>
            <w:pPr>
              <w:pStyle w:val="Compact"/>
              <w:jc w:val="left"/>
            </w:pPr>
            <w:r>
              <w:t xml:space="preserve">Test surrénalien (Alaioubi 2010), PMID 19946832</w:t>
            </w:r>
          </w:p>
        </w:tc>
        <w:tc>
          <w:tcPr/>
          <w:p>
            <w:pPr>
              <w:pStyle w:val="Compact"/>
              <w:jc w:val="left"/>
            </w:pPr>
            <w:r>
              <w:t xml:space="preserve">49 personnes concernées, 20 en bonne santé</w:t>
            </w:r>
          </w:p>
        </w:tc>
        <w:tc>
          <w:tcPr/>
          <w:p>
            <w:pPr>
              <w:pStyle w:val="Compact"/>
              <w:jc w:val="left"/>
            </w:pPr>
            <w:r>
              <w:t xml:space="preserve">test unique</w:t>
            </w:r>
          </w:p>
        </w:tc>
        <w:tc>
          <w:tcPr/>
          <w:p>
            <w:pPr>
              <w:pStyle w:val="Compact"/>
              <w:jc w:val="left"/>
            </w:pPr>
            <w:r>
              <w:t xml:space="preserve">sensibilité 71,0 %, spécificité 77,8 %</w:t>
            </w:r>
          </w:p>
        </w:tc>
      </w:tr>
      <w:tr>
        <w:tc>
          <w:tcPr/>
          <w:p>
            <w:pPr>
              <w:pStyle w:val="Compact"/>
              <w:jc w:val="left"/>
            </w:pPr>
            <w:r>
              <w:t xml:space="preserve">Pharmacocinétique (Cabrales 2013), PMID 23099431</w:t>
            </w:r>
          </w:p>
        </w:tc>
        <w:tc>
          <w:tcPr/>
          <w:p>
            <w:pPr>
              <w:pStyle w:val="Compact"/>
              <w:jc w:val="left"/>
            </w:pPr>
            <w:r>
              <w:t xml:space="preserve">9 hommes en bonne santé, phase 1</w:t>
            </w:r>
          </w:p>
        </w:tc>
        <w:tc>
          <w:tcPr/>
          <w:p>
            <w:pPr>
              <w:pStyle w:val="Compact"/>
              <w:jc w:val="left"/>
            </w:pPr>
            <w:r>
              <w:t xml:space="preserve">doses uniques</w:t>
            </w:r>
          </w:p>
        </w:tc>
        <w:tc>
          <w:tcPr/>
          <w:p>
            <w:pPr>
              <w:pStyle w:val="Compact"/>
              <w:jc w:val="left"/>
            </w:pPr>
            <w:r>
              <w:t xml:space="preserve">demi-vie 2,5 h</w:t>
            </w:r>
          </w:p>
        </w:tc>
      </w:tr>
      <w:tr>
        <w:tc>
          <w:tcPr/>
          <w:p>
            <w:pPr>
              <w:pStyle w:val="Compact"/>
              <w:jc w:val="left"/>
            </w:pPr>
            <w:r>
              <w:t xml:space="preserve">Sommeil (Frieboes 1995), PMID 7617137</w:t>
            </w:r>
          </w:p>
        </w:tc>
        <w:tc>
          <w:tcPr/>
          <w:p>
            <w:pPr>
              <w:pStyle w:val="Compact"/>
              <w:jc w:val="left"/>
            </w:pPr>
            <w:r>
              <w:t xml:space="preserve">hommes en bonne santé, comparaison avec placebo</w:t>
            </w:r>
          </w:p>
        </w:tc>
        <w:tc>
          <w:tcPr/>
          <w:p>
            <w:pPr>
              <w:pStyle w:val="Compact"/>
              <w:jc w:val="left"/>
            </w:pPr>
            <w:r>
              <w:t xml:space="preserve">1 nuit</w:t>
            </w:r>
          </w:p>
        </w:tc>
        <w:tc>
          <w:tcPr/>
          <w:p>
            <w:pPr>
              <w:pStyle w:val="Compact"/>
              <w:jc w:val="left"/>
            </w:pPr>
            <w:r>
              <w:t xml:space="preserve">GH, ACTH, cortisol ↑ ; sommeil profond inchangé</w:t>
            </w:r>
          </w:p>
        </w:tc>
      </w:tr>
    </w:tbl>
    <w:bookmarkEnd w:id="1410"/>
    <w:bookmarkEnd w:id="1411"/>
    <w:bookmarkStart w:id="1415" w:name="études-animales-et-de-laboratoire-28"/>
    <w:p>
      <w:pPr>
        <w:pStyle w:val="Heading3"/>
      </w:pPr>
      <w:r>
        <w:t xml:space="preserve">Études animales et de laboratoire</w:t>
      </w:r>
    </w:p>
    <w:p>
      <w:pPr>
        <w:pStyle w:val="FirstParagraph"/>
      </w:pPr>
      <w:r>
        <w:t xml:space="preserve">Une grande partie de la recherche récente concerne la protection des organes :</w:t>
      </w:r>
    </w:p>
    <w:p>
      <w:pPr>
        <w:numPr>
          <w:ilvl w:val="0"/>
          <w:numId w:val="1165"/>
        </w:numPr>
        <w:pStyle w:val="Compact"/>
      </w:pPr>
      <w:r>
        <w:rPr>
          <w:bCs/>
          <w:b/>
        </w:rPr>
        <w:t xml:space="preserve">Cœur (rats) :</w:t>
      </w:r>
      <w:r>
        <w:t xml:space="preserve"> </w:t>
      </w:r>
      <w:r>
        <w:t xml:space="preserve">chez des rats recevant la doxorubicine, un anticancéreux toxique pour le cœur, l’administration simultanée de GHRP-6 a empêché la dilatation des ventricules et préservé la fonction de pompe</w:t>
      </w:r>
      <w:r>
        <w:rPr>
          <w:rStyle w:val="FootnoteReference"/>
        </w:rPr>
        <w:footnoteReference w:id="1412"/>
      </w:r>
      <w:r>
        <w:t xml:space="preserve">.</w:t>
      </w:r>
    </w:p>
    <w:p>
      <w:pPr>
        <w:numPr>
          <w:ilvl w:val="0"/>
          <w:numId w:val="1165"/>
        </w:numPr>
        <w:pStyle w:val="Compact"/>
      </w:pPr>
      <w:r>
        <w:rPr>
          <w:bCs/>
          <w:b/>
        </w:rPr>
        <w:t xml:space="preserve">Défaillance multiviscérale (rats, cultures cellulaires) :</w:t>
      </w:r>
      <w:r>
        <w:t xml:space="preserve"> </w:t>
      </w:r>
      <w:r>
        <w:t xml:space="preserve">après une interruption temporaire de la circulation hépatique, le GHRP-6 a réduit les lésions du foie et de l’intestin ; dans des cultures cellulaires, il a accéléré la migration des cellules intestinales</w:t>
      </w:r>
      <w:r>
        <w:rPr>
          <w:rStyle w:val="FootnoteReference"/>
        </w:rPr>
        <w:footnoteReference w:id="1413"/>
      </w:r>
      <w:r>
        <w:t xml:space="preserve">.</w:t>
      </w:r>
    </w:p>
    <w:p>
      <w:pPr>
        <w:numPr>
          <w:ilvl w:val="0"/>
          <w:numId w:val="1165"/>
        </w:numPr>
        <w:pStyle w:val="Compact"/>
      </w:pPr>
      <w:r>
        <w:rPr>
          <w:bCs/>
          <w:b/>
        </w:rPr>
        <w:t xml:space="preserve">Système nerveux (rats, souris) :</w:t>
      </w:r>
      <w:r>
        <w:t xml:space="preserve"> </w:t>
      </w:r>
      <w:r>
        <w:t xml:space="preserve">dans un modèle animal de sclérose en plaques, seule l’association du GHRP-6 avec le facteur de croissance EGF a amélioré l’évolution de la maladie, pas le GHRP-6 seul</w:t>
      </w:r>
      <w:r>
        <w:rPr>
          <w:rStyle w:val="FootnoteReference"/>
        </w:rPr>
        <w:footnoteReference w:id="1414"/>
      </w:r>
      <w:r>
        <w:t xml:space="preserve">.</w:t>
      </w:r>
    </w:p>
    <w:p>
      <w:pPr>
        <w:pStyle w:val="FirstParagraph"/>
      </w:pPr>
      <w:r>
        <w:t xml:space="preserve">Aucune de ces approches n’a jusqu’ici débouché sur une étude contrôlée publiée chez l’humain.</w:t>
      </w:r>
    </w:p>
    <w:bookmarkEnd w:id="1415"/>
    <w:bookmarkStart w:id="1420" w:name="risques-et-effets-indésirables-28"/>
    <w:p>
      <w:pPr>
        <w:pStyle w:val="Heading3"/>
      </w:pPr>
      <w:r>
        <w:t xml:space="preserve">Risques et effets indésirables</w:t>
      </w:r>
    </w:p>
    <w:p>
      <w:pPr>
        <w:pStyle w:val="FirstParagraph"/>
      </w:pPr>
      <w:r>
        <w:rPr>
          <w:bCs/>
          <w:b/>
        </w:rPr>
        <w:t xml:space="preserve">Établi par les études de courte durée :</w:t>
      </w:r>
      <w:r>
        <w:t xml:space="preserve"> </w:t>
      </w:r>
      <w:r>
        <w:t xml:space="preserve">sensation de chaleur (flush)</w:t>
      </w:r>
      <w:r>
        <w:rPr>
          <w:rStyle w:val="FootnoteReference"/>
        </w:rPr>
        <w:footnoteReference w:id="1416"/>
      </w:r>
      <w:r>
        <w:t xml:space="preserve"> </w:t>
      </w:r>
      <w:r>
        <w:t xml:space="preserve">; hausse de l’ACTH, du cortisol et de la prolactine</w:t>
      </w:r>
      <w:r>
        <w:rPr>
          <w:rStyle w:val="FootnoteReference"/>
        </w:rPr>
        <w:footnoteReference w:id="1417"/>
      </w:r>
      <w:r>
        <w:t xml:space="preserve"> </w:t>
      </w:r>
      <w:r>
        <w:t xml:space="preserve">; faim, effet connu de la ghréline. Dans les études diagnostiques à dose unique, aucun autre effet indésirable pertinent n’est survenu.</w:t>
      </w:r>
    </w:p>
    <w:p>
      <w:pPr>
        <w:pStyle w:val="BodyText"/>
      </w:pPr>
      <w:r>
        <w:rPr>
          <w:bCs/>
          <w:b/>
        </w:rPr>
        <w:t xml:space="preserve">Inconnu :</w:t>
      </w:r>
      <w:r>
        <w:t xml:space="preserve"> </w:t>
      </w:r>
      <w:r>
        <w:t xml:space="preserve">il n’existe aucune étude chez l’humain sur une utilisation répétée pendant des semaines ou des mois. En cas d’utilisation prolongée, les conséquences connues de taux élevés d’hormone de croissance et d’une stimulation répétée du cortisol sont envisageables, par exemple une dégradation de la régulation glycémique. Un rapport de cas décrit un culturiste qui a utilisé pendant des décennies de l’hormone de croissance et des sécrétagogues – dont une association de sermoréline et de GHRP-6 – et qui a développé un volumineux ostéophyte sur la colonne cervicale ; un lien de causalité n’est pas prouvé</w:t>
      </w:r>
      <w:r>
        <w:rPr>
          <w:rStyle w:val="FootnoteReference"/>
        </w:rPr>
        <w:footnoteReference w:id="1418"/>
      </w:r>
      <w:r>
        <w:t xml:space="preserve">. Sur la question du cancer, voir l’introduction de ce groupe et la partie IV.</w:t>
      </w:r>
    </w:p>
    <w:p>
      <w:pPr>
        <w:pStyle w:val="BodyText"/>
      </w:pPr>
      <w:r>
        <w:rPr>
          <w:bCs/>
          <w:b/>
        </w:rPr>
        <w:t xml:space="preserve">Marché gris :</w:t>
      </w:r>
      <w:r>
        <w:t xml:space="preserve"> </w:t>
      </w:r>
      <w:r>
        <w:t xml:space="preserve">dans des produits saisis, on a mis en évidence du « Gly-GHRP-6 », une variante non déclarée comportant un acide aminé supplémentaire</w:t>
      </w:r>
      <w:r>
        <w:rPr>
          <w:rStyle w:val="FootnoteReference"/>
        </w:rPr>
        <w:footnoteReference w:id="1419"/>
      </w:r>
      <w:r>
        <w:t xml:space="preserve">.</w:t>
      </w:r>
    </w:p>
    <w:bookmarkEnd w:id="1420"/>
    <w:bookmarkStart w:id="1422" w:name="statut-juridique-28"/>
    <w:p>
      <w:pPr>
        <w:pStyle w:val="Heading3"/>
      </w:pPr>
      <w:r>
        <w:t xml:space="preserve">Statut juridique</w:t>
      </w:r>
    </w:p>
    <w:p>
      <w:pPr>
        <w:pStyle w:val="FirstParagraph"/>
      </w:pPr>
      <w:r>
        <w:rPr>
          <w:iCs/>
          <w:i/>
        </w:rPr>
        <w:t xml:space="preserve">État 2026, à vérifier.</w:t>
      </w:r>
    </w:p>
    <w:p>
      <w:pPr>
        <w:numPr>
          <w:ilvl w:val="0"/>
          <w:numId w:val="1166"/>
        </w:numPr>
        <w:pStyle w:val="Compact"/>
      </w:pPr>
      <w:r>
        <w:rPr>
          <w:bCs/>
          <w:b/>
        </w:rPr>
        <w:t xml:space="preserve">UE, Allemagne, Autriche, États-Unis :</w:t>
      </w:r>
      <w:r>
        <w:t xml:space="preserve"> </w:t>
      </w:r>
      <w:r>
        <w:t xml:space="preserve">aucune autorisation comme médicament ; la remise en vue d’un usage humain est illicite. En recherche, le GHRP-6 est utilisé dans le cadre d’études autorisées.</w:t>
      </w:r>
    </w:p>
    <w:p>
      <w:pPr>
        <w:numPr>
          <w:ilvl w:val="0"/>
          <w:numId w:val="1166"/>
        </w:numPr>
        <w:pStyle w:val="Compact"/>
      </w:pPr>
      <w:r>
        <w:rPr>
          <w:bCs/>
          <w:b/>
        </w:rPr>
        <w:t xml:space="preserve">AMA (WADA) :</w:t>
      </w:r>
      <w:r>
        <w:t xml:space="preserve"> </w:t>
      </w:r>
      <w:r>
        <w:t xml:space="preserve">interdit (S2). Le GHRP-6 est en grande partie éliminé sous forme inchangée dans l’urine et restait détectable 23 heures après administration en spray nasal chez un volontaire</w:t>
      </w:r>
      <w:r>
        <w:rPr>
          <w:rStyle w:val="FootnoteReference"/>
        </w:rPr>
        <w:footnoteReference w:id="1421"/>
      </w:r>
      <w:r>
        <w:t xml:space="preserve">.</w:t>
      </w:r>
    </w:p>
    <w:bookmarkEnd w:id="1422"/>
    <w:bookmarkStart w:id="1423" w:name="études-en-cours-et-perspectives-28"/>
    <w:p>
      <w:pPr>
        <w:pStyle w:val="Heading3"/>
      </w:pPr>
      <w:r>
        <w:t xml:space="preserve">Études en cours et perspectives</w:t>
      </w:r>
    </w:p>
    <w:p>
      <w:pPr>
        <w:pStyle w:val="FirstParagraph"/>
      </w:pPr>
      <w:r>
        <w:t xml:space="preserve">En octobre 2026, ClinicalTrials.gov ne recense aucune étude avec le GHRP-6.</w:t>
      </w:r>
      <w:r>
        <w:t xml:space="preserve"> </w:t>
      </w:r>
      <w:r>
        <w:rPr>
          <w:iCs/>
          <w:i/>
        </w:rPr>
        <w:t xml:space="preserve">Appréciation de l’auteur :</w:t>
      </w:r>
      <w:r>
        <w:t xml:space="preserve"> </w:t>
      </w:r>
      <w:r>
        <w:t xml:space="preserve">les travaux chez l’animal sur la protection des organes sont la seule piste de développement visible ; on ignore si des études chez l’humain en découleront. Pour le diagnostic, le GHRP-6 a été largement remplacé par d’autres tests.</w:t>
      </w:r>
    </w:p>
    <w:bookmarkEnd w:id="1423"/>
    <w:bookmarkStart w:id="1424" w:name="conclusion-28"/>
    <w:p>
      <w:pPr>
        <w:pStyle w:val="Heading3"/>
      </w:pPr>
      <w:r>
        <w:t xml:space="preserve">Conclusion</w:t>
      </w:r>
    </w:p>
    <w:p>
      <w:pPr>
        <w:pStyle w:val="FirstParagraph"/>
      </w:pPr>
      <w:r>
        <w:t xml:space="preserve">Le GHRP-6 a été le premier peptide artificiel à libérer de manière ciblée l’hormone de croissance et a contribué de façon décisive à la découverte du système de la ghréline. Chez l’humain, il n’a presque été étudié que comme substance de test administrée une seule fois, notamment dans une grande étude du Lancet sur le diagnostic du déficit en hormone de croissance. Il n’existe aucun bénéfice thérapeutique démontré, et les données font totalement défaut sur l’utilisation répétée telle qu’elle est vantée sur le marché gris.</w:t>
      </w:r>
    </w:p>
    <w:bookmarkEnd w:id="1424"/>
    <w:bookmarkEnd w:id="1425"/>
    <w:bookmarkStart w:id="1458" w:name="hexaréline"/>
    <w:p>
      <w:pPr>
        <w:pStyle w:val="Heading2"/>
      </w:pPr>
      <w:r>
        <w:t xml:space="preserve">Hexaréline</w:t>
      </w:r>
    </w:p>
    <w:p>
      <w:pPr>
        <w:pStyle w:val="FirstParagraph"/>
      </w:pPr>
      <w:r>
        <w:t xml:space="preserve">L’hexaréline est une proche parente du GHRP-6 – et l’un des sécrétagogues artificiels de l’hormone de croissance les plus puissants qui soient. Dans les années 1990, elle a été étudiée intensivement chez l’humain, surtout en Italie. Un élément inattendu est alors apparu : l’hexaréline semble agir directement sur le cœur, indépendamment de l’hormone de croissance. Aucune autorisation n’a pourtant suivi. L’une des raisons tenait à une faiblesse typique de cette classe de substances : en cas d’usage prolongé, l’effet s’atténue.</w:t>
      </w:r>
    </w:p>
    <w:bookmarkStart w:id="1428" w:name="fiche-signalétique-29"/>
    <w:p>
      <w:pPr>
        <w:pStyle w:val="Heading3"/>
      </w:pPr>
      <w:r>
        <w:t xml:space="preserve">Fiche signalétique</w:t>
      </w:r>
    </w:p>
    <w:p>
      <w:pPr>
        <w:numPr>
          <w:ilvl w:val="0"/>
          <w:numId w:val="1167"/>
        </w:numPr>
        <w:pStyle w:val="Compact"/>
      </w:pPr>
      <w:r>
        <w:rPr>
          <w:bCs/>
          <w:b/>
        </w:rPr>
        <w:t xml:space="preserve">Nature et structure :</w:t>
      </w:r>
      <w:r>
        <w:t xml:space="preserve"> </w:t>
      </w:r>
      <w:r>
        <w:t xml:space="preserve">hexapeptide de synthèse His-D-2-méthyl-Trp-Ala-Trp-D-Phe-Lys-NH2 ; il se distingue du GHRP-6 par un groupement méthyle supplémentaire sur le deuxième élément</w:t>
      </w:r>
      <w:r>
        <w:rPr>
          <w:rStyle w:val="FootnoteReference"/>
        </w:rPr>
        <w:footnoteReference w:id="1426"/>
      </w:r>
      <w:r>
        <w:t xml:space="preserve">.</w:t>
      </w:r>
    </w:p>
    <w:p>
      <w:pPr>
        <w:numPr>
          <w:ilvl w:val="0"/>
          <w:numId w:val="1167"/>
        </w:numPr>
        <w:pStyle w:val="Compact"/>
      </w:pPr>
      <w:r>
        <w:rPr>
          <w:bCs/>
          <w:b/>
        </w:rPr>
        <w:t xml:space="preserve">Origine :</w:t>
      </w:r>
      <w:r>
        <w:t xml:space="preserve"> </w:t>
      </w:r>
      <w:r>
        <w:t xml:space="preserve">développée au début des années 1990 comme variante du GHRP-6 ; une grande partie de la recherche clinique provient de centres universitaires italiens.</w:t>
      </w:r>
    </w:p>
    <w:p>
      <w:pPr>
        <w:numPr>
          <w:ilvl w:val="0"/>
          <w:numId w:val="1167"/>
        </w:numPr>
        <w:pStyle w:val="Compact"/>
      </w:pPr>
      <w:r>
        <w:rPr>
          <w:bCs/>
          <w:b/>
        </w:rPr>
        <w:t xml:space="preserve">Principe d’action :</w:t>
      </w:r>
      <w:r>
        <w:t xml:space="preserve"> </w:t>
      </w:r>
      <w:r>
        <w:t xml:space="preserve">agoniste du récepteur de la ghréline (GHS-R1a) ; libère de l’hormone de croissance, de l’ACTH, du cortisol et de la prolactine. En outre, l’hexaréline se lie au récepteur CD36 du tissu cardiaque, par lequel on suppose des effets cardiaques indépendants de la GH</w:t>
      </w:r>
      <w:r>
        <w:rPr>
          <w:rStyle w:val="FootnoteReference"/>
        </w:rPr>
        <w:footnoteReference w:id="1427"/>
      </w:r>
      <w:r>
        <w:t xml:space="preserve">.</w:t>
      </w:r>
    </w:p>
    <w:p>
      <w:pPr>
        <w:numPr>
          <w:ilvl w:val="0"/>
          <w:numId w:val="1167"/>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p>
    <w:p>
      <w:pPr>
        <w:numPr>
          <w:ilvl w:val="0"/>
          <w:numId w:val="1167"/>
        </w:numPr>
        <w:pStyle w:val="Compact"/>
      </w:pPr>
      <w:r>
        <w:rPr>
          <w:bCs/>
          <w:b/>
        </w:rPr>
        <w:t xml:space="preserve">AMA (WADA) :</w:t>
      </w:r>
      <w:r>
        <w:t xml:space="preserve"> </w:t>
      </w:r>
      <w:r>
        <w:t xml:space="preserve">interdite, classe S2 – l’hexaréline est expressément nommée en tant que peptide libérant l’hormone de croissance.</w:t>
      </w:r>
    </w:p>
    <w:p>
      <w:pPr>
        <w:numPr>
          <w:ilvl w:val="0"/>
          <w:numId w:val="1167"/>
        </w:numPr>
        <w:pStyle w:val="Compact"/>
      </w:pPr>
      <w:r>
        <w:rPr>
          <w:bCs/>
          <w:b/>
        </w:rPr>
        <w:t xml:space="preserve">Niveau de preuve : C</w:t>
      </w:r>
      <w:r>
        <w:t xml:space="preserve"> </w:t>
      </w:r>
      <w:r>
        <w:t xml:space="preserve">– de nombreuses petites études, dont beaucoup randomisées, mais presque exclusivement avec des administrations uniques et des paramètres hormonaux ou de physiologie circulatoire ; aucune étude sur un critère clinique.</w:t>
      </w:r>
    </w:p>
    <w:bookmarkEnd w:id="1428"/>
    <w:bookmarkStart w:id="1430" w:name="mode-daction-supposé-29"/>
    <w:p>
      <w:pPr>
        <w:pStyle w:val="Heading3"/>
      </w:pPr>
      <w:r>
        <w:t xml:space="preserve">Mode d’action supposé</w:t>
      </w:r>
    </w:p>
    <w:p>
      <w:pPr>
        <w:pStyle w:val="FirstParagraph"/>
      </w:pPr>
      <w:r>
        <w:t xml:space="preserve">Comme le GHRP-6 et le GHRP-2, l’hexaréline imite l’hormone gastrique ghréline et déclenche ainsi la sécrétion d’hormone de croissance. Son effet dépend d’une connexion intacte entre l’hypothalamus et l’hypophyse : chez des enfants et des adultes dont cette connexion était interrompue anatomiquement, la réponse en GH était absente ou fortement atténuée, alors qu’elle était vigoureuse en cas de déficit idiopathique</w:t>
      </w:r>
      <w:r>
        <w:rPr>
          <w:rStyle w:val="FootnoteReference"/>
        </w:rPr>
        <w:footnoteReference w:id="1429"/>
      </w:r>
      <w:r>
        <w:t xml:space="preserve">.</w:t>
      </w:r>
    </w:p>
    <w:p>
      <w:pPr>
        <w:pStyle w:val="BodyText"/>
      </w:pPr>
      <w:r>
        <w:t xml:space="preserve">La deuxième idée, distincte, concerne le cœur. Les récepteurs de la ghréline et la molécule de capture CD36 sont également présents dans le muscle cardiaque. L’hexaréline pourrait donc augmenter directement la force de pompage du cœur – une approche possible dans l’insuffisance cardiaque, indépendamment de l’hormone de croissance.</w:t>
      </w:r>
    </w:p>
    <w:bookmarkEnd w:id="1430"/>
    <w:bookmarkStart w:id="1444" w:name="études-chez-lhumain-29"/>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58</w:t>
      </w:r>
      <w:r>
        <w:t xml:space="preserve"> </w:t>
      </w:r>
      <w:r>
        <w:t xml:space="preserve">études chez l’humain dans PubMed (</w:t>
      </w:r>
      <w:r>
        <w:rPr>
          <w:rStyle w:val="VerbatimChar"/>
        </w:rPr>
        <w:t xml:space="preserve">humanstudien_alle</w:t>
      </w:r>
      <w:r>
        <w:t xml:space="preserve">) et</w:t>
      </w:r>
      <w:r>
        <w:t xml:space="preserve"> </w:t>
      </w:r>
      <w:r>
        <w:rPr>
          <w:bCs/>
          <w:b/>
        </w:rPr>
        <w:t xml:space="preserve">aucune</w:t>
      </w:r>
      <w:r>
        <w:t xml:space="preserve"> </w:t>
      </w:r>
      <w:r>
        <w:t xml:space="preserve">entrée sur ClinicalTrials.gov. La plupart des études datent de 1994 à 2004 et examinent, avec des administrations uniques, comment la réponse hormonale dépend de l’âge, du sexe, de l’alimentation, de médicaments ou de maladies. Quelques entrées de la liste portent principalement sur la ghréline ou le GHRP-6 et n’utilisent l’hexaréline qu’à titre de comparaison.</w:t>
      </w:r>
    </w:p>
    <w:bookmarkStart w:id="1434" w:name="effet-hormonal-et-dose"/>
    <w:p>
      <w:pPr>
        <w:pStyle w:val="Heading4"/>
      </w:pPr>
      <w:r>
        <w:t xml:space="preserve">Effet hormonal et dose</w:t>
      </w:r>
    </w:p>
    <w:p>
      <w:pPr>
        <w:pStyle w:val="FirstParagraph"/>
      </w:pPr>
      <w:r>
        <w:t xml:space="preserve">Dans une étude en double aveugle contrôlée contre placebo portant sur douze hommes en bonne santé, l’hormone de croissance a augmenté de façon dose-dépendante après administration intraveineuse, avec un pic au bout d’environ 30 minutes et un retour à la valeur initiale en quatre heures</w:t>
      </w:r>
      <w:r>
        <w:rPr>
          <w:rStyle w:val="FootnoteReference"/>
        </w:rPr>
        <w:footnoteReference w:id="1431"/>
      </w:r>
      <w:r>
        <w:t xml:space="preserve">. L’hexaréline libérait aussi la prolactine et le cortisol de façon dose-dépendante ; associée à la GHRH, une faible dose d’hexaréline suffisait pour une sécrétion massive de GH sans hausse du cortisol</w:t>
      </w:r>
      <w:r>
        <w:rPr>
          <w:rStyle w:val="FootnoteReference"/>
        </w:rPr>
        <w:footnoteReference w:id="1432"/>
      </w:r>
      <w:r>
        <w:t xml:space="preserve">. L’activation de l’axe des hormones du stress passe manifestement par l’hypothalamus ; dans une étude portant sur 15 jeunes hommes, l’hexaréline augmentait aussi l’appétit à court terme</w:t>
      </w:r>
      <w:r>
        <w:rPr>
          <w:rStyle w:val="FootnoteReference"/>
        </w:rPr>
        <w:footnoteReference w:id="1433"/>
      </w:r>
      <w:r>
        <w:t xml:space="preserve">.</w:t>
      </w:r>
    </w:p>
    <w:bookmarkEnd w:id="1434"/>
    <w:bookmarkStart w:id="1439" w:name="administration-prolongée-leffet-satténue"/>
    <w:p>
      <w:pPr>
        <w:pStyle w:val="Heading4"/>
      </w:pPr>
      <w:r>
        <w:t xml:space="preserve">Administration prolongée : l’effet s’atténue</w:t>
      </w:r>
    </w:p>
    <w:p>
      <w:pPr>
        <w:pStyle w:val="FirstParagraph"/>
      </w:pPr>
      <w:r>
        <w:t xml:space="preserve">Ce qui est décisif pour un traitement, c’est de savoir si l’effet persiste en cas d’administrations répétées. Chez des adultes qui se sont injecté de l’hexaréline par voie sous-cutanée deux fois par jour pendant 16 semaines, la réponse en GH a nettement diminué et ne s’est rétablie que quatre semaines après l’arrêt. L’IGF-1, la masse grasse, la masse musculaire et la densité osseuse n’ont pas changé significativement</w:t>
      </w:r>
      <w:r>
        <w:rPr>
          <w:rStyle w:val="FootnoteReference"/>
        </w:rPr>
        <w:footnoteReference w:id="1435"/>
      </w:r>
      <w:r>
        <w:t xml:space="preserve">. La réponse du cortisol s’est elle aussi temporairement atténuée dans la même étude</w:t>
      </w:r>
      <w:r>
        <w:rPr>
          <w:rStyle w:val="FootnoteReference"/>
        </w:rPr>
        <w:footnoteReference w:id="1436"/>
      </w:r>
      <w:r>
        <w:t xml:space="preserve">.</w:t>
      </w:r>
    </w:p>
    <w:p>
      <w:pPr>
        <w:pStyle w:val="BodyText"/>
      </w:pPr>
      <w:r>
        <w:t xml:space="preserve">Chez des enfants de petite taille, le tableau était un peu plus favorable : sous spray nasal, la vitesse de croissance de huit enfants est passée de 5,3 à 8,3 cm par an, et l’IGF-1 a augmenté</w:t>
      </w:r>
      <w:r>
        <w:rPr>
          <w:rStyle w:val="FootnoteReference"/>
        </w:rPr>
        <w:footnoteReference w:id="1437"/>
      </w:r>
      <w:r>
        <w:t xml:space="preserve">. Une étude de suivi portant sur sept enfants a montré que la réponse en GH de l’hypophyse était déjà réduite environ de moitié au bout de sept jours, mais que la croissance plus rapide se maintenait néanmoins</w:t>
      </w:r>
      <w:r>
        <w:rPr>
          <w:rStyle w:val="FootnoteReference"/>
        </w:rPr>
        <w:footnoteReference w:id="1438"/>
      </w:r>
      <w:r>
        <w:t xml:space="preserve">.</w:t>
      </w:r>
    </w:p>
    <w:bookmarkEnd w:id="1439"/>
    <w:bookmarkStart w:id="1443" w:name="effets-cardiaques"/>
    <w:p>
      <w:pPr>
        <w:pStyle w:val="Heading4"/>
      </w:pPr>
      <w:r>
        <w:t xml:space="preserve">Effets cardiaques</w:t>
      </w:r>
    </w:p>
    <w:p>
      <w:pPr>
        <w:pStyle w:val="FirstParagraph"/>
      </w:pPr>
      <w:r>
        <w:t xml:space="preserve">Plusieurs petites études d’un groupe de travail italien ont examiné le cœur :</w:t>
      </w:r>
    </w:p>
    <w:p>
      <w:pPr>
        <w:numPr>
          <w:ilvl w:val="0"/>
          <w:numId w:val="1168"/>
        </w:numPr>
        <w:pStyle w:val="Compact"/>
      </w:pPr>
      <w:r>
        <w:t xml:space="preserve">Chez sept hommes présentant un déficit en hormone de croissance et neuf témoins en bonne santé, la fraction d’éjection ventriculaire gauche (la part du sang que le ventricule gauche éjecte à chaque battement) a augmenté dans les deux groupes après une administration unique d’hexaréline, bien que les personnes concernées ne sécrètent presque pas d’hormone de croissance. Les auteurs en concluent à un effet indépendant de la GH</w:t>
      </w:r>
      <w:r>
        <w:rPr>
          <w:rStyle w:val="FootnoteReference"/>
        </w:rPr>
        <w:footnoteReference w:id="1440"/>
      </w:r>
      <w:r>
        <w:t xml:space="preserve">.</w:t>
      </w:r>
    </w:p>
    <w:p>
      <w:pPr>
        <w:numPr>
          <w:ilvl w:val="0"/>
          <w:numId w:val="1168"/>
        </w:numPr>
        <w:pStyle w:val="Compact"/>
      </w:pPr>
      <w:r>
        <w:t xml:space="preserve">Chez des patientes et patients atteints d’une cardiomyopathie dilatée sévère, cet effet était en revanche absent</w:t>
      </w:r>
      <w:r>
        <w:rPr>
          <w:rStyle w:val="FootnoteReference"/>
        </w:rPr>
        <w:footnoteReference w:id="1441"/>
      </w:r>
      <w:r>
        <w:t xml:space="preserve">.</w:t>
      </w:r>
    </w:p>
    <w:p>
      <w:pPr>
        <w:numPr>
          <w:ilvl w:val="0"/>
          <w:numId w:val="1168"/>
        </w:numPr>
        <w:pStyle w:val="Compact"/>
      </w:pPr>
      <w:r>
        <w:t xml:space="preserve">Chez 24 hommes atteints de maladie coronarienne, pendant un pontage, l’hexaréline a augmenté la fraction d’éjection et le débit cardiaque pendant jusqu’à 90 minutes, alors que la GHRH, l’hormone de croissance et le placebo n’avaient aucun effet</w:t>
      </w:r>
      <w:r>
        <w:rPr>
          <w:rStyle w:val="FootnoteReference"/>
        </w:rPr>
        <w:footnoteReference w:id="144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Recherche de dose (Imbimbo 1994), PMID 7957536</w:t>
            </w:r>
          </w:p>
        </w:tc>
        <w:tc>
          <w:tcPr/>
          <w:p>
            <w:pPr>
              <w:pStyle w:val="Compact"/>
              <w:jc w:val="left"/>
            </w:pPr>
            <w:r>
              <w:t xml:space="preserve">12 hommes en bonne santé, double aveugle, placebo, doses croissantes</w:t>
            </w:r>
          </w:p>
        </w:tc>
        <w:tc>
          <w:tcPr/>
          <w:p>
            <w:pPr>
              <w:pStyle w:val="Compact"/>
              <w:jc w:val="left"/>
            </w:pPr>
            <w:r>
              <w:t xml:space="preserve">administrations uniques</w:t>
            </w:r>
          </w:p>
        </w:tc>
        <w:tc>
          <w:tcPr/>
          <w:p>
            <w:pPr>
              <w:pStyle w:val="Compact"/>
              <w:jc w:val="left"/>
            </w:pPr>
            <w:r>
              <w:t xml:space="preserve">pic de GH après env. 30 min, dose-dépendant</w:t>
            </w:r>
          </w:p>
        </w:tc>
      </w:tr>
      <w:tr>
        <w:tc>
          <w:tcPr/>
          <w:p>
            <w:pPr>
              <w:pStyle w:val="Compact"/>
              <w:jc w:val="left"/>
            </w:pPr>
            <w:r>
              <w:t xml:space="preserve">Administration prolongée (Rahim 1998), PMID 9589671</w:t>
            </w:r>
          </w:p>
        </w:tc>
        <w:tc>
          <w:tcPr/>
          <w:p>
            <w:pPr>
              <w:pStyle w:val="Compact"/>
              <w:jc w:val="left"/>
            </w:pPr>
            <w:r>
              <w:t xml:space="preserve">adultes, sans groupe témoin</w:t>
            </w:r>
          </w:p>
        </w:tc>
        <w:tc>
          <w:tcPr/>
          <w:p>
            <w:pPr>
              <w:pStyle w:val="Compact"/>
              <w:jc w:val="left"/>
            </w:pPr>
            <w:r>
              <w:t xml:space="preserve">16 semaines</w:t>
            </w:r>
          </w:p>
        </w:tc>
        <w:tc>
          <w:tcPr/>
          <w:p>
            <w:pPr>
              <w:pStyle w:val="Compact"/>
              <w:jc w:val="left"/>
            </w:pPr>
            <w:r>
              <w:t xml:space="preserve">réponse en GH atténuée ; IGF-1 et composition corporelle inchangés</w:t>
            </w:r>
          </w:p>
        </w:tc>
      </w:tr>
      <w:tr>
        <w:tc>
          <w:tcPr/>
          <w:p>
            <w:pPr>
              <w:pStyle w:val="Compact"/>
              <w:jc w:val="left"/>
            </w:pPr>
            <w:r>
              <w:t xml:space="preserve">Enfants, spray nasal (Laron 1995), PMID 8548949</w:t>
            </w:r>
          </w:p>
        </w:tc>
        <w:tc>
          <w:tcPr/>
          <w:p>
            <w:pPr>
              <w:pStyle w:val="Compact"/>
              <w:jc w:val="left"/>
            </w:pPr>
            <w:r>
              <w:t xml:space="preserve">8 enfants de petite taille, sans groupe témoin</w:t>
            </w:r>
          </w:p>
        </w:tc>
        <w:tc>
          <w:tcPr/>
          <w:p>
            <w:pPr>
              <w:pStyle w:val="Compact"/>
              <w:jc w:val="left"/>
            </w:pPr>
            <w:r>
              <w:t xml:space="preserve">jusqu’à 8 mois</w:t>
            </w:r>
          </w:p>
        </w:tc>
        <w:tc>
          <w:tcPr/>
          <w:p>
            <w:pPr>
              <w:pStyle w:val="Compact"/>
              <w:jc w:val="left"/>
            </w:pPr>
            <w:r>
              <w:t xml:space="preserve">croissance 5,3 → 8,3 cm/an</w:t>
            </w:r>
          </w:p>
        </w:tc>
      </w:tr>
      <w:tr>
        <w:tc>
          <w:tcPr/>
          <w:p>
            <w:pPr>
              <w:pStyle w:val="Compact"/>
              <w:jc w:val="left"/>
            </w:pPr>
            <w:r>
              <w:t xml:space="preserve">Cœur, déficit en GH (Bisi 1999), PMID 10528131</w:t>
            </w:r>
          </w:p>
        </w:tc>
        <w:tc>
          <w:tcPr/>
          <w:p>
            <w:pPr>
              <w:pStyle w:val="Compact"/>
              <w:jc w:val="left"/>
            </w:pPr>
            <w:r>
              <w:t xml:space="preserve">7 hommes avec déficit en GH, 9 personnes en bonne santé</w:t>
            </w:r>
          </w:p>
        </w:tc>
        <w:tc>
          <w:tcPr/>
          <w:p>
            <w:pPr>
              <w:pStyle w:val="Compact"/>
              <w:jc w:val="left"/>
            </w:pPr>
            <w:r>
              <w:t xml:space="preserve">administration unique</w:t>
            </w:r>
          </w:p>
        </w:tc>
        <w:tc>
          <w:tcPr/>
          <w:p>
            <w:pPr>
              <w:pStyle w:val="Compact"/>
              <w:jc w:val="left"/>
            </w:pPr>
            <w:r>
              <w:t xml:space="preserve">fraction d’éjection 50 → 57 % et 63 → 70 %</w:t>
            </w:r>
          </w:p>
        </w:tc>
      </w:tr>
      <w:tr>
        <w:tc>
          <w:tcPr/>
          <w:p>
            <w:pPr>
              <w:pStyle w:val="Compact"/>
              <w:jc w:val="left"/>
            </w:pPr>
            <w:r>
              <w:t xml:space="preserve">Cœur, pontage (Broglio 2002), PMID 12144941</w:t>
            </w:r>
          </w:p>
        </w:tc>
        <w:tc>
          <w:tcPr/>
          <w:p>
            <w:pPr>
              <w:pStyle w:val="Compact"/>
              <w:jc w:val="left"/>
            </w:pPr>
            <w:r>
              <w:t xml:space="preserve">24 hommes avec maladie coronarienne, comparaison avec GHRH, GH, placebo</w:t>
            </w:r>
          </w:p>
        </w:tc>
        <w:tc>
          <w:tcPr/>
          <w:p>
            <w:pPr>
              <w:pStyle w:val="Compact"/>
              <w:jc w:val="left"/>
            </w:pPr>
            <w:r>
              <w:t xml:space="preserve">administration unique</w:t>
            </w:r>
          </w:p>
        </w:tc>
        <w:tc>
          <w:tcPr/>
          <w:p>
            <w:pPr>
              <w:pStyle w:val="Compact"/>
              <w:jc w:val="left"/>
            </w:pPr>
            <w:r>
              <w:t xml:space="preserve">fraction d’éjection et débit cardiaque ↑</w:t>
            </w:r>
          </w:p>
        </w:tc>
      </w:tr>
    </w:tbl>
    <w:bookmarkEnd w:id="1443"/>
    <w:bookmarkEnd w:id="1444"/>
    <w:bookmarkStart w:id="1448" w:name="études-animales-et-de-laboratoire-29"/>
    <w:p>
      <w:pPr>
        <w:pStyle w:val="Heading3"/>
      </w:pPr>
      <w:r>
        <w:t xml:space="preserve">Études animales et de laboratoire</w:t>
      </w:r>
    </w:p>
    <w:p>
      <w:pPr>
        <w:numPr>
          <w:ilvl w:val="0"/>
          <w:numId w:val="1169"/>
        </w:numPr>
        <w:pStyle w:val="Compact"/>
      </w:pPr>
      <w:r>
        <w:rPr>
          <w:bCs/>
          <w:b/>
        </w:rPr>
        <w:t xml:space="preserve">Infarctus du myocarde (rats, souris) :</w:t>
      </w:r>
      <w:r>
        <w:t xml:space="preserve"> </w:t>
      </w:r>
      <w:r>
        <w:t xml:space="preserve">chez des rats, quatre semaines après un infarctus provoqué artificiellement, l’hexaréline a amélioré sur deux semaines le volume d’éjection systolique et réduit la résistance vasculaire, de manière semblable à l’hormone de croissance</w:t>
      </w:r>
      <w:r>
        <w:rPr>
          <w:rStyle w:val="FootnoteReference"/>
        </w:rPr>
        <w:footnoteReference w:id="1445"/>
      </w:r>
      <w:r>
        <w:t xml:space="preserve">. Chez des souris après infarctus, elle a préservé la fonction de pompe et réduit la cicatrisation fibreuse du muscle cardiaque</w:t>
      </w:r>
      <w:r>
        <w:rPr>
          <w:rStyle w:val="FootnoteReference"/>
        </w:rPr>
        <w:footnoteReference w:id="1446"/>
      </w:r>
      <w:r>
        <w:t xml:space="preserve">.</w:t>
      </w:r>
    </w:p>
    <w:p>
      <w:pPr>
        <w:numPr>
          <w:ilvl w:val="0"/>
          <w:numId w:val="1169"/>
        </w:numPr>
        <w:pStyle w:val="Compact"/>
      </w:pPr>
      <w:r>
        <w:rPr>
          <w:bCs/>
          <w:b/>
        </w:rPr>
        <w:t xml:space="preserve">Mécanisme :</w:t>
      </w:r>
      <w:r>
        <w:t xml:space="preserve"> </w:t>
      </w:r>
      <w:r>
        <w:t xml:space="preserve">une revue décrit CD36 comme un récepteur cardiaque spécifique de l’hexaréline, censé médier les effets protecteurs</w:t>
      </w:r>
      <w:r>
        <w:rPr>
          <w:rStyle w:val="FootnoteReference"/>
        </w:rPr>
        <w:footnoteReference w:id="1447"/>
      </w:r>
      <w:r>
        <w:t xml:space="preserve">.</w:t>
      </w:r>
    </w:p>
    <w:bookmarkEnd w:id="1448"/>
    <w:bookmarkStart w:id="1453" w:name="risques-et-effets-indésirables-29"/>
    <w:p>
      <w:pPr>
        <w:pStyle w:val="Heading3"/>
      </w:pPr>
      <w:r>
        <w:t xml:space="preserve">Risques et effets indésirables</w:t>
      </w:r>
    </w:p>
    <w:p>
      <w:pPr>
        <w:pStyle w:val="FirstParagraph"/>
      </w:pPr>
      <w:r>
        <w:rPr>
          <w:bCs/>
          <w:b/>
        </w:rPr>
        <w:t xml:space="preserve">Établi :</w:t>
      </w:r>
      <w:r>
        <w:t xml:space="preserve"> </w:t>
      </w:r>
      <w:r>
        <w:t xml:space="preserve">hausse du cortisol, de l’ACTH et de la prolactine</w:t>
      </w:r>
      <w:r>
        <w:rPr>
          <w:rStyle w:val="FootnoteReference"/>
        </w:rPr>
        <w:footnoteReference w:id="1449"/>
      </w:r>
      <w:r>
        <w:t xml:space="preserve"> </w:t>
      </w:r>
      <w:r>
        <w:t xml:space="preserve">; appétit accru à court terme</w:t>
      </w:r>
      <w:r>
        <w:rPr>
          <w:rStyle w:val="FootnoteReference"/>
        </w:rPr>
        <w:footnoteReference w:id="1450"/>
      </w:r>
      <w:r>
        <w:t xml:space="preserve"> </w:t>
      </w:r>
      <w:r>
        <w:t xml:space="preserve">; atténuation de l’effet en cas d’administration prolongée</w:t>
      </w:r>
      <w:r>
        <w:rPr>
          <w:rStyle w:val="FootnoteReference"/>
        </w:rPr>
        <w:footnoteReference w:id="1451"/>
      </w:r>
      <w:r>
        <w:t xml:space="preserve">. Aucun effet indésirable grave n’a été rapporté dans les petites études ; chez les enfants, les auteurs n’ont constaté aucun effet indésirable</w:t>
      </w:r>
      <w:r>
        <w:rPr>
          <w:rStyle w:val="FootnoteReference"/>
        </w:rPr>
        <w:footnoteReference w:id="1452"/>
      </w:r>
      <w:r>
        <w:t xml:space="preserve">.</w:t>
      </w:r>
    </w:p>
    <w:p>
      <w:pPr>
        <w:pStyle w:val="BodyText"/>
      </w:pPr>
      <w:r>
        <w:rPr>
          <w:bCs/>
          <w:b/>
        </w:rPr>
        <w:t xml:space="preserve">Inconnu :</w:t>
      </w:r>
      <w:r>
        <w:t xml:space="preserve"> </w:t>
      </w:r>
      <w:r>
        <w:t xml:space="preserve">les données de sécurité à long terme manquent, en particulier pour le cœur. Qu’une substance augmente de manière aiguë la force de pompage ne dit rien sur le fait qu’elle soit bénéfique ou nocive à long terme dans l’insuffisance cardiaque – cela ne pourrait être éclairci que par des études à long terme dédiées, sur critères cliniques, qui n’existent pas. Sur la question d’un risque de cancer en cas d’hormone de croissance durablement élevée, voir l’introduction de ce groupe et la partie IV.</w:t>
      </w:r>
    </w:p>
    <w:bookmarkEnd w:id="1453"/>
    <w:bookmarkStart w:id="1455" w:name="statut-juridique-29"/>
    <w:p>
      <w:pPr>
        <w:pStyle w:val="Heading3"/>
      </w:pPr>
      <w:r>
        <w:t xml:space="preserve">Statut juridique</w:t>
      </w:r>
    </w:p>
    <w:p>
      <w:pPr>
        <w:pStyle w:val="FirstParagraph"/>
      </w:pPr>
      <w:r>
        <w:rPr>
          <w:iCs/>
          <w:i/>
        </w:rPr>
        <w:t xml:space="preserve">État 2026, à vérifier.</w:t>
      </w:r>
    </w:p>
    <w:p>
      <w:pPr>
        <w:numPr>
          <w:ilvl w:val="0"/>
          <w:numId w:val="1170"/>
        </w:numPr>
        <w:pStyle w:val="Compact"/>
      </w:pPr>
      <w:r>
        <w:rPr>
          <w:bCs/>
          <w:b/>
        </w:rPr>
        <w:t xml:space="preserve">UE, Allemagne, Autriche, États-Unis :</w:t>
      </w:r>
      <w:r>
        <w:t xml:space="preserve"> </w:t>
      </w:r>
      <w:r>
        <w:t xml:space="preserve">aucune autorisation comme médicament ; la remise en vue d’un usage humain est illicite.</w:t>
      </w:r>
    </w:p>
    <w:p>
      <w:pPr>
        <w:numPr>
          <w:ilvl w:val="0"/>
          <w:numId w:val="1170"/>
        </w:numPr>
        <w:pStyle w:val="Compact"/>
      </w:pPr>
      <w:r>
        <w:rPr>
          <w:bCs/>
          <w:b/>
        </w:rPr>
        <w:t xml:space="preserve">AMA (WADA) :</w:t>
      </w:r>
      <w:r>
        <w:t xml:space="preserve"> </w:t>
      </w:r>
      <w:r>
        <w:t xml:space="preserve">interdite (S2). L’hexaréline est fortement dégradée dans l’organisme ; des produits de dégradation restent détectables dans l’urine après la disparition de la substance mère</w:t>
      </w:r>
      <w:r>
        <w:rPr>
          <w:rStyle w:val="FootnoteReference"/>
        </w:rPr>
        <w:footnoteReference w:id="1454"/>
      </w:r>
      <w:r>
        <w:t xml:space="preserve">.</w:t>
      </w:r>
    </w:p>
    <w:bookmarkEnd w:id="1455"/>
    <w:bookmarkStart w:id="1456" w:name="études-en-cours-et-perspectives-29"/>
    <w:p>
      <w:pPr>
        <w:pStyle w:val="Heading3"/>
      </w:pPr>
      <w:r>
        <w:t xml:space="preserve">Études en cours et perspectives</w:t>
      </w:r>
    </w:p>
    <w:p>
      <w:pPr>
        <w:pStyle w:val="FirstParagraph"/>
      </w:pPr>
      <w:r>
        <w:t xml:space="preserve">En octobre 2026, ClinicalTrials.gov ne recense aucune étude avec l’hexaréline.</w:t>
      </w:r>
      <w:r>
        <w:t xml:space="preserve"> </w:t>
      </w:r>
      <w:r>
        <w:rPr>
          <w:iCs/>
          <w:i/>
        </w:rPr>
        <w:t xml:space="preserve">Appréciation de l’auteur :</w:t>
      </w:r>
      <w:r>
        <w:t xml:space="preserve"> </w:t>
      </w:r>
      <w:r>
        <w:t xml:space="preserve">la recherche cardiaque se poursuit, mais seulement sur modèle animal. Un développement clinique supposerait une entreprise qui détienne les droits et finance des études – aucune n’est visible actuellement.</w:t>
      </w:r>
    </w:p>
    <w:bookmarkEnd w:id="1456"/>
    <w:bookmarkStart w:id="1457" w:name="conclusion-29"/>
    <w:p>
      <w:pPr>
        <w:pStyle w:val="Heading3"/>
      </w:pPr>
      <w:r>
        <w:t xml:space="preserve">Conclusion</w:t>
      </w:r>
    </w:p>
    <w:p>
      <w:pPr>
        <w:pStyle w:val="FirstParagraph"/>
      </w:pPr>
      <w:r>
        <w:t xml:space="preserve">L’hexaréline libère fortement l’hormone de croissance chez l’humain, mais aussi les hormones du stress et la prolactine, et son effet s’atténue nettement en cas d’administration prolongée ; l’IGF-1 et la composition corporelle n’ont pas changé dans une étude de 16 semaines. Les petites études dans lesquelles une administration unique a augmenté la force de pompage du cœur, manifestement indépendamment de l’hormone de croissance, sont intéressantes. On ignore totalement s’il en découlera un jour un bénéfice pour les personnes atteintes de maladies cardiaques ; pour le développement musculaire ou le rajeunissement, il n’existe aucune preuve.</w:t>
      </w:r>
    </w:p>
    <w:bookmarkEnd w:id="1457"/>
    <w:bookmarkEnd w:id="1458"/>
    <w:bookmarkStart w:id="1490" w:name="macimoréline"/>
    <w:p>
      <w:pPr>
        <w:pStyle w:val="Heading2"/>
      </w:pPr>
      <w:r>
        <w:t xml:space="preserve">Macimoréline</w:t>
      </w:r>
    </w:p>
    <w:p>
      <w:pPr>
        <w:pStyle w:val="FirstParagraph"/>
      </w:pPr>
      <w:r>
        <w:t xml:space="preserve">La macimoréline est le membre le plus sobre de ce groupe – et c’est justement pour cela qu’elle constitue un bon contre-exemple aux peptides du marché gris. Elle n’est pas utilisée comme traitement, mais comme test : une personne boit une solution de macimoréline, puis on lui prélève du sang à plusieurs reprises. Si l’hormone de croissance n’augmente presque pas, cela plaide en faveur d’un déficit en hormone de croissance. C’est pour cet usage que la macimoréline est autorisée aux États-Unis et dans l’UE. Elle illustre comment un mimétique de la ghréline peut devenir un véritable médicament grâce à des études comparatives rigoureuses.</w:t>
      </w:r>
    </w:p>
    <w:bookmarkStart w:id="1460" w:name="fiche-signalétique-30"/>
    <w:p>
      <w:pPr>
        <w:pStyle w:val="Heading3"/>
      </w:pPr>
      <w:r>
        <w:t xml:space="preserve">Fiche signalétique</w:t>
      </w:r>
    </w:p>
    <w:p>
      <w:pPr>
        <w:numPr>
          <w:ilvl w:val="0"/>
          <w:numId w:val="1171"/>
        </w:numPr>
        <w:pStyle w:val="Compact"/>
      </w:pPr>
      <w:r>
        <w:rPr>
          <w:bCs/>
          <w:b/>
        </w:rPr>
        <w:t xml:space="preserve">Nature et structure :</w:t>
      </w:r>
      <w:r>
        <w:t xml:space="preserve"> </w:t>
      </w:r>
      <w:r>
        <w:t xml:space="preserve">petite molécule apparentée aux peptides (peptidomimétique), active après ingestion</w:t>
      </w:r>
      <w:r>
        <w:rPr>
          <w:rStyle w:val="FootnoteReference"/>
        </w:rPr>
        <w:footnoteReference w:id="1459"/>
      </w:r>
      <w:r>
        <w:t xml:space="preserve">. Dénominations antérieures : EP01572, ARD-07, AEZS-130.</w:t>
      </w:r>
    </w:p>
    <w:p>
      <w:pPr>
        <w:numPr>
          <w:ilvl w:val="0"/>
          <w:numId w:val="1171"/>
        </w:numPr>
        <w:pStyle w:val="Compact"/>
      </w:pPr>
      <w:r>
        <w:rPr>
          <w:bCs/>
          <w:b/>
        </w:rPr>
        <w:t xml:space="preserve">Origine :</w:t>
      </w:r>
      <w:r>
        <w:t xml:space="preserve"> </w:t>
      </w:r>
      <w:r>
        <w:t xml:space="preserve">développée à partir de la recherche sur les sécrétagogues de l’hormone de croissance actifs par voie orale ; autorisée à la demande d’Aeterna Zentaris.</w:t>
      </w:r>
    </w:p>
    <w:p>
      <w:pPr>
        <w:numPr>
          <w:ilvl w:val="0"/>
          <w:numId w:val="1171"/>
        </w:numPr>
        <w:pStyle w:val="Compact"/>
      </w:pPr>
      <w:r>
        <w:rPr>
          <w:bCs/>
          <w:b/>
        </w:rPr>
        <w:t xml:space="preserve">Principe d’action :</w:t>
      </w:r>
      <w:r>
        <w:t xml:space="preserve"> </w:t>
      </w:r>
      <w:r>
        <w:t xml:space="preserve">agoniste du récepteur de la ghréline (GHS-R1a) ; déclenche une sécrétion unique d’hormone de croissance dont l’ampleur reflète la capacité fonctionnelle de l’hypophyse.</w:t>
      </w:r>
    </w:p>
    <w:p>
      <w:pPr>
        <w:numPr>
          <w:ilvl w:val="0"/>
          <w:numId w:val="1171"/>
        </w:numPr>
        <w:pStyle w:val="Compact"/>
      </w:pPr>
      <w:r>
        <w:rPr>
          <w:bCs/>
          <w:b/>
        </w:rPr>
        <w:t xml:space="preserve">Autorisation États-Unis :</w:t>
      </w:r>
      <w:r>
        <w:t xml:space="preserve"> </w:t>
      </w:r>
      <w:r>
        <w:t xml:space="preserve">oui (Macrilen, depuis 2017) pour le diagnostic du déficit en hormone de croissance chez l’adulte.</w:t>
      </w:r>
      <w:r>
        <w:t xml:space="preserve"> </w:t>
      </w:r>
      <w:r>
        <w:rPr>
          <w:bCs/>
          <w:b/>
        </w:rPr>
        <w:t xml:space="preserve">Autorisation UE :</w:t>
      </w:r>
      <w:r>
        <w:t xml:space="preserve"> </w:t>
      </w:r>
      <w:r>
        <w:t xml:space="preserve">oui (autorisation centralisée en 2019) pour la même indication. Pour la disponibilité actuelle dans les différents pays, voir ci-dessous.</w:t>
      </w:r>
    </w:p>
    <w:p>
      <w:pPr>
        <w:numPr>
          <w:ilvl w:val="0"/>
          <w:numId w:val="1171"/>
        </w:numPr>
        <w:pStyle w:val="Compact"/>
      </w:pPr>
      <w:r>
        <w:rPr>
          <w:bCs/>
          <w:b/>
        </w:rPr>
        <w:t xml:space="preserve">AMA (WADA) :</w:t>
      </w:r>
      <w:r>
        <w:t xml:space="preserve"> </w:t>
      </w:r>
      <w:r>
        <w:t xml:space="preserve">interdite, classe S2 (sécrétagogues de l’hormone de croissance ; la macimoréline est expressément nommée).</w:t>
      </w:r>
    </w:p>
    <w:p>
      <w:pPr>
        <w:numPr>
          <w:ilvl w:val="0"/>
          <w:numId w:val="1171"/>
        </w:numPr>
        <w:pStyle w:val="Compact"/>
      </w:pPr>
      <w:r>
        <w:rPr>
          <w:bCs/>
          <w:b/>
        </w:rPr>
        <w:t xml:space="preserve">Niveau de preuve : A</w:t>
      </w:r>
      <w:r>
        <w:t xml:space="preserve"> </w:t>
      </w:r>
      <w:r>
        <w:t xml:space="preserve">– deux études de phase 3 sur la précision diagnostique, autorisation aux États-Unis et dans l’UE. Restriction : il s’agit d’un produit diagnostique, pas d’un traitement.</w:t>
      </w:r>
    </w:p>
    <w:bookmarkEnd w:id="1460"/>
    <w:bookmarkStart w:id="1461" w:name="mode-daction-supposé-30"/>
    <w:p>
      <w:pPr>
        <w:pStyle w:val="Heading3"/>
      </w:pPr>
      <w:r>
        <w:t xml:space="preserve">Mode d’action supposé</w:t>
      </w:r>
    </w:p>
    <w:p>
      <w:pPr>
        <w:pStyle w:val="FirstParagraph"/>
      </w:pPr>
      <w:r>
        <w:t xml:space="preserve">Le diagnostic d’un déficit en hormone de croissance chez l’adulte est difficile. Une valeur sanguine isolée ne suffit pas, car l’hormone de croissance est sécrétée par pics. Il faut un test de stimulation : on stimule l’hypophyse de façon ciblée et on mesure la quantité d’hormone de croissance qu’elle libère.</w:t>
      </w:r>
    </w:p>
    <w:p>
      <w:pPr>
        <w:pStyle w:val="BodyText"/>
      </w:pPr>
      <w:r>
        <w:t xml:space="preserve">Le test de référence est le test d’hypoglycémie insulinique (test de tolérance à l’insuline, ITT). On y abaisse volontairement et fortement la glycémie à l’aide d’insuline – c’est désagréable, cela nécessite une surveillance médicale et c’est contre-indiqué en cas de maladie cardiaque ou de crises convulsives. La macimoréline offre une alternative : elle active le récepteur de la ghréline, qui déclenche directement la sécrétion d’hormone de croissance, sans abaisser la glycémie. Comme elle est avalée, aucune perfusion n’est nécessaire.</w:t>
      </w:r>
    </w:p>
    <w:bookmarkEnd w:id="1461"/>
    <w:bookmarkStart w:id="1475" w:name="études-chez-lhumain-30"/>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4</w:t>
      </w:r>
      <w:r>
        <w:t xml:space="preserve"> </w:t>
      </w:r>
      <w:r>
        <w:t xml:space="preserve">études chez l’humain dans PubMed (</w:t>
      </w:r>
      <w:r>
        <w:rPr>
          <w:rStyle w:val="VerbatimChar"/>
        </w:rPr>
        <w:t xml:space="preserve">humanstudien_alle</w:t>
      </w:r>
      <w:r>
        <w:t xml:space="preserve">) et</w:t>
      </w:r>
      <w:r>
        <w:t xml:space="preserve"> </w:t>
      </w:r>
      <w:r>
        <w:rPr>
          <w:bCs/>
          <w:b/>
        </w:rPr>
        <w:t xml:space="preserve">6</w:t>
      </w:r>
      <w:r>
        <w:t xml:space="preserve"> </w:t>
      </w:r>
      <w:r>
        <w:t xml:space="preserve">entrées sur ClinicalTrials.gov. Une recherche complémentaire ciblée a mis au jour d’autres études, dont la première étude de phase 3, une étude pédiatrique, plusieurs travaux chez des personnes en bonne santé et une analyse issue de la pratique.</w:t>
      </w:r>
    </w:p>
    <w:bookmarkStart w:id="1464" w:name="pharmacologie-précoce"/>
    <w:p>
      <w:pPr>
        <w:pStyle w:val="Heading4"/>
      </w:pPr>
      <w:r>
        <w:t xml:space="preserve">Pharmacologie précoce</w:t>
      </w:r>
    </w:p>
    <w:p>
      <w:pPr>
        <w:pStyle w:val="FirstParagraph"/>
      </w:pPr>
      <w:r>
        <w:t xml:space="preserve">Dès 2007, une étude portant sur 36 hommes en bonne santé a montré que la substance (alors EP01572) passait rapidement dans le sang après ingestion, de façon dose-dépendante, et libérait fortement l’hormone de croissance</w:t>
      </w:r>
      <w:r>
        <w:rPr>
          <w:rStyle w:val="FootnoteReference"/>
        </w:rPr>
        <w:footnoteReference w:id="1462"/>
      </w:r>
      <w:r>
        <w:t xml:space="preserve">. Dans une étude randomisée de phase 1 portant sur 28 personnes en bonne santé, la demi-vie était de 3,5 heures pour les deux doses les plus faibles ; le pic de GH survenait après 45 à 60 minutes. L’ACTH, le cortisol et la prolactine augmentaient temporairement</w:t>
      </w:r>
      <w:r>
        <w:rPr>
          <w:rStyle w:val="FootnoteReference"/>
        </w:rPr>
        <w:footnoteReference w:id="1463"/>
      </w:r>
      <w:r>
        <w:t xml:space="preserve">.</w:t>
      </w:r>
    </w:p>
    <w:bookmarkEnd w:id="1464"/>
    <w:bookmarkStart w:id="1468" w:name="les-études-dautorisation-1"/>
    <w:p>
      <w:pPr>
        <w:pStyle w:val="Heading4"/>
      </w:pPr>
      <w:r>
        <w:t xml:space="preserve">Les études d’autorisation</w:t>
      </w:r>
    </w:p>
    <w:p>
      <w:pPr>
        <w:pStyle w:val="FirstParagraph"/>
      </w:pPr>
      <w:r>
        <w:rPr>
          <w:bCs/>
          <w:b/>
        </w:rPr>
        <w:t xml:space="preserve">Première étude de phase 3 :</w:t>
      </w:r>
      <w:r>
        <w:t xml:space="preserve"> </w:t>
      </w:r>
      <w:r>
        <w:t xml:space="preserve">dans une étude multicentrique en ouvert, la macimoréline a été comparée au test combiné arginine plus GHRH, alors en usage. L’analyse a porté sur 50 adultes présentant un déficit en hormone de croissance et 48 personnes en bonne santé. Le pic de GH était en moyenne de 2,36 ng/ml chez les personnes concernées et de 17,71 ng/ml chez les personnes en bonne santé. Avec un seuil de 2,7 ng/ml, le test a atteint une sensibilité de 82 % et une spécificité de 92 %. Le seul effet indésirable grave lié au médicament rapporté était un allongement asymptomatique de l’intervalle QT à l’ECG. Pendant l’étude, la préparation de GHRH (sermoréline) a été retirée du marché aux États-Unis, si bien qu’une partie des participants n’a été testée qu’avec la macimoréline</w:t>
      </w:r>
      <w:r>
        <w:rPr>
          <w:rStyle w:val="FootnoteReference"/>
        </w:rPr>
        <w:footnoteReference w:id="1465"/>
      </w:r>
      <w:r>
        <w:t xml:space="preserve">.</w:t>
      </w:r>
    </w:p>
    <w:p>
      <w:pPr>
        <w:pStyle w:val="BodyText"/>
      </w:pPr>
      <w:r>
        <w:rPr>
          <w:bCs/>
          <w:b/>
        </w:rPr>
        <w:t xml:space="preserve">Deuxième étude de phase 3 (base de l’autorisation) :</w:t>
      </w:r>
      <w:r>
        <w:t xml:space="preserve"> </w:t>
      </w:r>
      <w:r>
        <w:t xml:space="preserve">dans une étude randomisée en plan croisé, des adultes présentant une probabilité élevée, intermédiaire et faible de déficit en hormone de croissance ainsi que des témoins en bonne santé ont reçu à la fois le test à la macimoréline et le test à l’insuline. 99 % des tests à la macimoréline, mais seulement 82 % des tests à l’insuline, étaient interprétables. Avec les seuils de 2,8 ng/ml (macimoréline) et 5,1 ng/ml (ITT), la sensibilité était de 87 % et la spécificité de 96 % ; en cas de répétition, le résultat était identique dans 97 % des cas. Aucun effet indésirable grave dû à la macimoréline n’est survenu. Un seuil unique de 5,1 ng/ml pour les deux tests a donné, dans une analyse a posteriori, une sensibilité de 92 % pour une spécificité de 96 %</w:t>
      </w:r>
      <w:r>
        <w:rPr>
          <w:rStyle w:val="FootnoteReference"/>
        </w:rPr>
        <w:footnoteReference w:id="1466"/>
      </w:r>
      <w:r>
        <w:t xml:space="preserve">. D’autres analyses ont montré que l’âge, le poids corporel et le sexe n’influençaient pas notablement la précision du test</w:t>
      </w:r>
      <w:r>
        <w:rPr>
          <w:rStyle w:val="FootnoteReference"/>
        </w:rPr>
        <w:footnoteReference w:id="1467"/>
      </w:r>
      <w:r>
        <w:t xml:space="preserve">.</w:t>
      </w:r>
    </w:p>
    <w:bookmarkEnd w:id="1468"/>
    <w:bookmarkStart w:id="1470" w:name="expérience-de-la-pratique"/>
    <w:p>
      <w:pPr>
        <w:pStyle w:val="Heading4"/>
      </w:pPr>
      <w:r>
        <w:t xml:space="preserve">Expérience de la pratique</w:t>
      </w:r>
    </w:p>
    <w:p>
      <w:pPr>
        <w:pStyle w:val="FirstParagraph"/>
      </w:pPr>
      <w:r>
        <w:t xml:space="preserve">Une analyse rétrospective de 37 patientes et patients d’une clinique a montré qu’avec le seuil autorisé aux États-Unis de 2,8 ng/ml, 40,5 % étaient classés comme présentant un déficit en hormone de croissance, contre 54,0 % avec 5,1 ng/ml. Les classements divergents concernaient surtout des personnes fortement en surpoids avec une faible probabilité pré-test</w:t>
      </w:r>
      <w:r>
        <w:rPr>
          <w:rStyle w:val="FootnoteReference"/>
        </w:rPr>
        <w:footnoteReference w:id="1469"/>
      </w:r>
      <w:r>
        <w:t xml:space="preserve">. Cela montre que le seuil n’est pas anodin et qu’une prudence s’impose dans l’interprétation en cas de surpoids important.</w:t>
      </w:r>
    </w:p>
    <w:bookmarkEnd w:id="1470"/>
    <w:bookmarkStart w:id="1474" w:name="enfants-et-autres-applications"/>
    <w:p>
      <w:pPr>
        <w:pStyle w:val="Heading4"/>
      </w:pPr>
      <w:r>
        <w:t xml:space="preserve">Enfants et autres applications</w:t>
      </w:r>
    </w:p>
    <w:p>
      <w:pPr>
        <w:numPr>
          <w:ilvl w:val="0"/>
          <w:numId w:val="1172"/>
        </w:numPr>
        <w:pStyle w:val="Compact"/>
      </w:pPr>
      <w:r>
        <w:rPr>
          <w:bCs/>
          <w:b/>
        </w:rPr>
        <w:t xml:space="preserve">Enfants :</w:t>
      </w:r>
      <w:r>
        <w:t xml:space="preserve"> </w:t>
      </w:r>
      <w:r>
        <w:t xml:space="preserve">une étude de recherche de dose en ouvert portant sur 24 enfants et adolescents suspectés de déficit en hormone de croissance n’a trouvé aucun effet indésirable imputable à la macimoréline</w:t>
      </w:r>
      <w:r>
        <w:rPr>
          <w:rStyle w:val="FootnoteReference"/>
        </w:rPr>
        <w:footnoteReference w:id="1471"/>
      </w:r>
      <w:r>
        <w:t xml:space="preserve">. L’étude de phase 3 DETECT qui a suivi, portant sur 101 enfants</w:t>
      </w:r>
      <w:r>
        <w:rPr>
          <w:rStyle w:val="FootnoteReference"/>
        </w:rPr>
        <w:footnoteReference w:id="1472"/>
      </w:r>
      <w:r>
        <w:t xml:space="preserve">, s’est achevée en juin 2024 ; aucun résultat n’est déposé dans le registre, et je n’ai pas trouvé de publication dans PubMed.</w:t>
      </w:r>
    </w:p>
    <w:p>
      <w:pPr>
        <w:numPr>
          <w:ilvl w:val="0"/>
          <w:numId w:val="1172"/>
        </w:numPr>
        <w:pStyle w:val="Compact"/>
      </w:pPr>
      <w:r>
        <w:rPr>
          <w:bCs/>
          <w:b/>
        </w:rPr>
        <w:t xml:space="preserve">Cachexie tumorale :</w:t>
      </w:r>
      <w:r>
        <w:t xml:space="preserve"> </w:t>
      </w:r>
      <w:r>
        <w:t xml:space="preserve">dans une étude pilote portant sur 15 patientes et patients atteints de cancer et présentant une perte de poids pathologique, la macimoréline a été bien tolérée sur une semaine ; le poids et la qualité de vie se sont améliorés numériquement, mais sans différence significative par rapport au placebo</w:t>
      </w:r>
      <w:r>
        <w:rPr>
          <w:rStyle w:val="FootnoteReference"/>
        </w:rPr>
        <w:footnoteReference w:id="147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3, étude 1 (Garcia 2013), PMID 23559086</w:t>
            </w:r>
          </w:p>
        </w:tc>
        <w:tc>
          <w:tcPr/>
          <w:p>
            <w:pPr>
              <w:pStyle w:val="Compact"/>
              <w:jc w:val="left"/>
            </w:pPr>
            <w:r>
              <w:t xml:space="preserve">50 adultes avec déficit en GH, 48 personnes en bonne santé ; comparaison avec arginine+GHRH</w:t>
            </w:r>
          </w:p>
        </w:tc>
        <w:tc>
          <w:tcPr/>
          <w:p>
            <w:pPr>
              <w:pStyle w:val="Compact"/>
              <w:jc w:val="left"/>
            </w:pPr>
            <w:r>
              <w:t xml:space="preserve">test unique</w:t>
            </w:r>
          </w:p>
        </w:tc>
        <w:tc>
          <w:tcPr/>
          <w:p>
            <w:pPr>
              <w:pStyle w:val="Compact"/>
              <w:jc w:val="left"/>
            </w:pPr>
            <w:r>
              <w:t xml:space="preserve">sensibilité 82 %, spécificité 92 %</w:t>
            </w:r>
          </w:p>
        </w:tc>
      </w:tr>
      <w:tr>
        <w:tc>
          <w:tcPr/>
          <w:p>
            <w:pPr>
              <w:pStyle w:val="Compact"/>
              <w:jc w:val="left"/>
            </w:pPr>
            <w:r>
              <w:t xml:space="preserve">Phase 3, étude 2 (Garcia 2018), PMID 29860473</w:t>
            </w:r>
          </w:p>
        </w:tc>
        <w:tc>
          <w:tcPr/>
          <w:p>
            <w:pPr>
              <w:pStyle w:val="Compact"/>
              <w:jc w:val="left"/>
            </w:pPr>
            <w:r>
              <w:t xml:space="preserve">adultes avec probabilité pré-test variable et personnes en bonne santé ; étude randomisée en plan croisé contre ITT</w:t>
            </w:r>
          </w:p>
        </w:tc>
        <w:tc>
          <w:tcPr/>
          <w:p>
            <w:pPr>
              <w:pStyle w:val="Compact"/>
              <w:jc w:val="left"/>
            </w:pPr>
            <w:r>
              <w:t xml:space="preserve">tests uniques</w:t>
            </w:r>
          </w:p>
        </w:tc>
        <w:tc>
          <w:tcPr/>
          <w:p>
            <w:pPr>
              <w:pStyle w:val="Compact"/>
              <w:jc w:val="left"/>
            </w:pPr>
            <w:r>
              <w:t xml:space="preserve">sensibilité 87 %, spécificité 96 % ; reproductibilité 97 %</w:t>
            </w:r>
          </w:p>
        </w:tc>
      </w:tr>
      <w:tr>
        <w:tc>
          <w:tcPr/>
          <w:p>
            <w:pPr>
              <w:pStyle w:val="Compact"/>
              <w:jc w:val="left"/>
            </w:pPr>
            <w:r>
              <w:t xml:space="preserve">Étude QT (Lissy 2021), PMID 32961034</w:t>
            </w:r>
          </w:p>
        </w:tc>
        <w:tc>
          <w:tcPr/>
          <w:p>
            <w:pPr>
              <w:pStyle w:val="Compact"/>
              <w:jc w:val="left"/>
            </w:pPr>
            <w:r>
              <w:t xml:space="preserve">60 personnes en bonne santé, randomisée, placebo et moxifloxacine</w:t>
            </w:r>
          </w:p>
        </w:tc>
        <w:tc>
          <w:tcPr/>
          <w:p>
            <w:pPr>
              <w:pStyle w:val="Compact"/>
              <w:jc w:val="left"/>
            </w:pPr>
            <w:r>
              <w:t xml:space="preserve">doses uniques</w:t>
            </w:r>
          </w:p>
        </w:tc>
        <w:tc>
          <w:tcPr/>
          <w:p>
            <w:pPr>
              <w:pStyle w:val="Compact"/>
              <w:jc w:val="left"/>
            </w:pPr>
            <w:r>
              <w:t xml:space="preserve">allongement du QT jusqu’à 9,61 ms à dose excessive</w:t>
            </w:r>
          </w:p>
        </w:tc>
      </w:tr>
      <w:tr>
        <w:tc>
          <w:tcPr/>
          <w:p>
            <w:pPr>
              <w:pStyle w:val="Compact"/>
              <w:jc w:val="left"/>
            </w:pPr>
            <w:r>
              <w:t xml:space="preserve">Données de pratique (Yadav 2026), PMID 41793495</w:t>
            </w:r>
          </w:p>
        </w:tc>
        <w:tc>
          <w:tcPr/>
          <w:p>
            <w:pPr>
              <w:pStyle w:val="Compact"/>
              <w:jc w:val="left"/>
            </w:pPr>
            <w:r>
              <w:t xml:space="preserve">37 personnes, rétrospective</w:t>
            </w:r>
          </w:p>
        </w:tc>
        <w:tc>
          <w:tcPr/>
          <w:p>
            <w:pPr>
              <w:pStyle w:val="Compact"/>
              <w:jc w:val="left"/>
            </w:pPr>
            <w:r>
              <w:t xml:space="preserve">test unique</w:t>
            </w:r>
          </w:p>
        </w:tc>
        <w:tc>
          <w:tcPr/>
          <w:p>
            <w:pPr>
              <w:pStyle w:val="Compact"/>
              <w:jc w:val="left"/>
            </w:pPr>
            <w:r>
              <w:t xml:space="preserve">le seuil influence le diagnostic, surtout en cas d’obésité</w:t>
            </w:r>
          </w:p>
        </w:tc>
      </w:tr>
      <w:tr>
        <w:tc>
          <w:tcPr/>
          <w:p>
            <w:pPr>
              <w:pStyle w:val="Compact"/>
              <w:jc w:val="left"/>
            </w:pPr>
            <w:r>
              <w:t xml:space="preserve">Cachexie (Herodes 2023), PMID 36860137</w:t>
            </w:r>
          </w:p>
        </w:tc>
        <w:tc>
          <w:tcPr/>
          <w:p>
            <w:pPr>
              <w:pStyle w:val="Compact"/>
              <w:jc w:val="left"/>
            </w:pPr>
            <w:r>
              <w:t xml:space="preserve">15 patients atteints de cancer, ECR pilote</w:t>
            </w:r>
          </w:p>
        </w:tc>
        <w:tc>
          <w:tcPr/>
          <w:p>
            <w:pPr>
              <w:pStyle w:val="Compact"/>
              <w:jc w:val="left"/>
            </w:pPr>
            <w:r>
              <w:t xml:space="preserve">1 semaine</w:t>
            </w:r>
          </w:p>
        </w:tc>
        <w:tc>
          <w:tcPr/>
          <w:p>
            <w:pPr>
              <w:pStyle w:val="Compact"/>
              <w:jc w:val="left"/>
            </w:pPr>
            <w:r>
              <w:t xml:space="preserve">bien tolérée, pas d’effet significatif</w:t>
            </w:r>
          </w:p>
        </w:tc>
      </w:tr>
    </w:tbl>
    <w:bookmarkEnd w:id="1474"/>
    <w:bookmarkEnd w:id="1475"/>
    <w:bookmarkStart w:id="1478" w:name="études-animales-et-de-laboratoire-30"/>
    <w:p>
      <w:pPr>
        <w:pStyle w:val="Heading3"/>
      </w:pPr>
      <w:r>
        <w:t xml:space="preserve">Études animales et de laboratoire</w:t>
      </w:r>
    </w:p>
    <w:p>
      <w:pPr>
        <w:pStyle w:val="FirstParagraph"/>
      </w:pPr>
      <w:r>
        <w:t xml:space="preserve">Chez des souris atteintes d’une épilepsie difficile à traiter, la macimoréline a réduit le nombre et la durée des crises pendant les deux semaines de traitement, mais n’a pas modifié l’évolution de la maladie</w:t>
      </w:r>
      <w:r>
        <w:rPr>
          <w:rStyle w:val="FootnoteReference"/>
        </w:rPr>
        <w:footnoteReference w:id="1476"/>
      </w:r>
      <w:r>
        <w:t xml:space="preserve">. Des études structurales montrent comment la macimoréline se lie au récepteur de la ghréline</w:t>
      </w:r>
      <w:r>
        <w:rPr>
          <w:rStyle w:val="FootnoteReference"/>
        </w:rPr>
        <w:footnoteReference w:id="1477"/>
      </w:r>
      <w:r>
        <w:t xml:space="preserve">. Ces travaux ne sont pas pertinents pour l’usage autorisé.</w:t>
      </w:r>
    </w:p>
    <w:bookmarkEnd w:id="1478"/>
    <w:bookmarkStart w:id="1483" w:name="risques-et-effets-indésirables-30"/>
    <w:p>
      <w:pPr>
        <w:pStyle w:val="Heading3"/>
      </w:pPr>
      <w:r>
        <w:t xml:space="preserve">Risques et effets indésirables</w:t>
      </w:r>
    </w:p>
    <w:p>
      <w:pPr>
        <w:pStyle w:val="FirstParagraph"/>
      </w:pPr>
      <w:r>
        <w:rPr>
          <w:bCs/>
          <w:b/>
        </w:rPr>
        <w:t xml:space="preserve">Établi :</w:t>
      </w:r>
      <w:r>
        <w:t xml:space="preserve"> </w:t>
      </w:r>
      <w:r>
        <w:t xml:space="preserve">la macimoréline n’est prise qu’une seule fois par test ; les effets indésirables sont donc limités. Dans l’étude d’autorisation, aucun effet indésirable grave dû à la macimoréline n’est survenu</w:t>
      </w:r>
      <w:r>
        <w:rPr>
          <w:rStyle w:val="FootnoteReference"/>
        </w:rPr>
        <w:footnoteReference w:id="1479"/>
      </w:r>
      <w:r>
        <w:t xml:space="preserve">. L’ACTH, le cortisol et la prolactine augmentent temporairement</w:t>
      </w:r>
      <w:r>
        <w:rPr>
          <w:rStyle w:val="FootnoteReference"/>
        </w:rPr>
        <w:footnoteReference w:id="1480"/>
      </w:r>
      <w:r>
        <w:t xml:space="preserve">.</w:t>
      </w:r>
    </w:p>
    <w:p>
      <w:pPr>
        <w:pStyle w:val="BodyText"/>
      </w:pPr>
      <w:r>
        <w:rPr>
          <w:bCs/>
          <w:b/>
        </w:rPr>
        <w:t xml:space="preserve">Allongement du QT :</w:t>
      </w:r>
      <w:r>
        <w:t xml:space="preserve"> </w:t>
      </w:r>
      <w:r>
        <w:t xml:space="preserve">dans une étude ECG approfondie portant sur 60 personnes en bonne santé, une dose unique volontairement excessive (suprathérapeutique) a allongé l’intervalle QT – une mesure de la repolarisation cardiaque – en moyenne jusqu’à 9,61 millisecondes ; la borne supérieure de l’intervalle de confiance dépassait le seuil réglementaire de 10 millisecondes</w:t>
      </w:r>
      <w:r>
        <w:rPr>
          <w:rStyle w:val="FootnoteReference"/>
        </w:rPr>
        <w:footnoteReference w:id="1481"/>
      </w:r>
      <w:r>
        <w:t xml:space="preserve">. La prudence est donc de mise chez les personnes prenant d’autres médicaments allongeant le QT. Les détails relatifs aux contre-indications et aux interactions sont réglés par le résumé des caractéristiques du produit ; le test est réalisé par un médecin.</w:t>
      </w:r>
    </w:p>
    <w:p>
      <w:pPr>
        <w:pStyle w:val="BodyText"/>
      </w:pPr>
      <w:r>
        <w:rPr>
          <w:bCs/>
          <w:b/>
        </w:rPr>
        <w:t xml:space="preserve">Erreurs de diagnostic :</w:t>
      </w:r>
      <w:r>
        <w:t xml:space="preserve"> </w:t>
      </w:r>
      <w:r>
        <w:t xml:space="preserve">comme tout test de stimulation, le test à la macimoréline peut fournir des résultats faussement positifs et faussement négatifs, en particulier en cas de surpoids important</w:t>
      </w:r>
      <w:r>
        <w:rPr>
          <w:rStyle w:val="FootnoteReference"/>
        </w:rPr>
        <w:footnoteReference w:id="1482"/>
      </w:r>
      <w:r>
        <w:t xml:space="preserve">.</w:t>
      </w:r>
    </w:p>
    <w:p>
      <w:pPr>
        <w:pStyle w:val="BodyText"/>
      </w:pPr>
      <w:r>
        <w:t xml:space="preserve">Un risque de cancer n’est pas à attendre avec une administration unique ; le débat sur un IGF-1 durablement élevé (voir l’introduction de ce groupe) ne concerne donc pas la macimoréline.</w:t>
      </w:r>
    </w:p>
    <w:bookmarkEnd w:id="1483"/>
    <w:bookmarkStart w:id="1485" w:name="statut-juridique-30"/>
    <w:p>
      <w:pPr>
        <w:pStyle w:val="Heading3"/>
      </w:pPr>
      <w:r>
        <w:t xml:space="preserve">Statut juridique</w:t>
      </w:r>
    </w:p>
    <w:p>
      <w:pPr>
        <w:pStyle w:val="FirstParagraph"/>
      </w:pPr>
      <w:r>
        <w:rPr>
          <w:iCs/>
          <w:i/>
        </w:rPr>
        <w:t xml:space="preserve">État 2026, à vérifier.</w:t>
      </w:r>
    </w:p>
    <w:p>
      <w:pPr>
        <w:numPr>
          <w:ilvl w:val="0"/>
          <w:numId w:val="1173"/>
        </w:numPr>
        <w:pStyle w:val="Compact"/>
      </w:pPr>
      <w:r>
        <w:rPr>
          <w:bCs/>
          <w:b/>
        </w:rPr>
        <w:t xml:space="preserve">UE :</w:t>
      </w:r>
      <w:r>
        <w:t xml:space="preserve"> </w:t>
      </w:r>
      <w:r>
        <w:t xml:space="preserve">autorisation centralisée pour le diagnostic du déficit en hormone de croissance chez l’adulte. La commercialisation effective de la préparation en Allemagne et en Autriche dépend des décisions de distribution du titulaire de l’autorisation et devrait être vérifiée.</w:t>
      </w:r>
    </w:p>
    <w:p>
      <w:pPr>
        <w:numPr>
          <w:ilvl w:val="0"/>
          <w:numId w:val="1173"/>
        </w:numPr>
        <w:pStyle w:val="Compact"/>
      </w:pPr>
      <w:r>
        <w:rPr>
          <w:bCs/>
          <w:b/>
        </w:rPr>
        <w:t xml:space="preserve">États-Unis :</w:t>
      </w:r>
      <w:r>
        <w:t xml:space="preserve"> </w:t>
      </w:r>
      <w:r>
        <w:t xml:space="preserve">autorisée (Macrilen) pour la même indication ; les droits de distribution ont changé de mains ces dernières années.</w:t>
      </w:r>
    </w:p>
    <w:p>
      <w:pPr>
        <w:numPr>
          <w:ilvl w:val="0"/>
          <w:numId w:val="1173"/>
        </w:numPr>
        <w:pStyle w:val="Compact"/>
      </w:pPr>
      <w:r>
        <w:rPr>
          <w:bCs/>
          <w:b/>
        </w:rPr>
        <w:t xml:space="preserve">Utilisation :</w:t>
      </w:r>
      <w:r>
        <w:t xml:space="preserve"> </w:t>
      </w:r>
      <w:r>
        <w:t xml:space="preserve">exclusivement comme test fonctionnel réalisé par un médecin conformément au résumé des caractéristiques du produit ; aucune autorisation thérapeutique.</w:t>
      </w:r>
    </w:p>
    <w:p>
      <w:pPr>
        <w:numPr>
          <w:ilvl w:val="0"/>
          <w:numId w:val="1173"/>
        </w:numPr>
        <w:pStyle w:val="Compact"/>
      </w:pPr>
      <w:r>
        <w:rPr>
          <w:bCs/>
          <w:b/>
        </w:rPr>
        <w:t xml:space="preserve">AMA (WADA) :</w:t>
      </w:r>
      <w:r>
        <w:t xml:space="preserve"> </w:t>
      </w:r>
      <w:r>
        <w:t xml:space="preserve">interdite (S2). Pour les contrôles antidopage, des produits de dégradation de la macimoréline et de mimétiques apparentés de la ghréline ont été caractérisés</w:t>
      </w:r>
      <w:r>
        <w:rPr>
          <w:rStyle w:val="FootnoteReference"/>
        </w:rPr>
        <w:footnoteReference w:id="1484"/>
      </w:r>
      <w:r>
        <w:t xml:space="preserve">.</w:t>
      </w:r>
    </w:p>
    <w:bookmarkEnd w:id="1485"/>
    <w:bookmarkStart w:id="1488" w:name="études-en-cours-et-perspectives-30"/>
    <w:p>
      <w:pPr>
        <w:pStyle w:val="Heading3"/>
      </w:pPr>
      <w:r>
        <w:t xml:space="preserve">Études en cours et perspectives</w:t>
      </w:r>
    </w:p>
    <w:p>
      <w:pPr>
        <w:pStyle w:val="FirstParagraph"/>
      </w:pPr>
      <w:r>
        <w:rPr>
          <w:iCs/>
          <w:i/>
        </w:rPr>
        <w:t xml:space="preserve">Établi :</w:t>
      </w:r>
      <w:r>
        <w:t xml:space="preserve"> </w:t>
      </w:r>
      <w:r>
        <w:t xml:space="preserve">l’étude pédiatrique DETECT</w:t>
      </w:r>
      <w:r>
        <w:rPr>
          <w:rStyle w:val="FootnoteReference"/>
        </w:rPr>
        <w:footnoteReference w:id="1486"/>
      </w:r>
      <w:r>
        <w:t xml:space="preserve"> </w:t>
      </w:r>
      <w:r>
        <w:t xml:space="preserve">est terminée ; les résultats sont attendus. Une autre étude a examiné comment la macimoréline influence l’hormone copeptine</w:t>
      </w:r>
      <w:r>
        <w:rPr>
          <w:rStyle w:val="FootnoteReference"/>
        </w:rPr>
        <w:footnoteReference w:id="1487"/>
      </w:r>
      <w:r>
        <w:t xml:space="preserve">.</w:t>
      </w:r>
      <w:r>
        <w:t xml:space="preserve"> </w:t>
      </w:r>
      <w:r>
        <w:rPr>
          <w:iCs/>
          <w:i/>
        </w:rPr>
        <w:t xml:space="preserve">Appréciation de l’auteur :</w:t>
      </w:r>
      <w:r>
        <w:t xml:space="preserve"> </w:t>
      </w:r>
      <w:r>
        <w:t xml:space="preserve">une extension de l’autorisation aux enfants serait la prochaine étape logique, mais dépend du résultat de l’étude DETECT. Une utilisation thérapeutique, par exemple dans la cachexie, n’est pas en vue au vu des données actuelles.</w:t>
      </w:r>
    </w:p>
    <w:bookmarkEnd w:id="1488"/>
    <w:bookmarkStart w:id="1489" w:name="conclusion-30"/>
    <w:p>
      <w:pPr>
        <w:pStyle w:val="Heading3"/>
      </w:pPr>
      <w:r>
        <w:t xml:space="preserve">Conclusion</w:t>
      </w:r>
    </w:p>
    <w:p>
      <w:pPr>
        <w:pStyle w:val="FirstParagraph"/>
      </w:pPr>
      <w:r>
        <w:t xml:space="preserve">La macimoréline est un produit diagnostique autorisé aux États-Unis et dans l’UE : un test bu une seule fois détecte un déficit en hormone de croissance chez l’adulte de manière presque aussi fiable que le pénible test à l’insuline, avec une sensibilité de 87 % et une spécificité de 96 % dans l’étude d’autorisation. Le principal effet indésirable connu est un léger allongement de l’intervalle QT à dose excessive. La macimoréline n’est ni conçue ni étudiée pour un traitement, le développement musculaire ou l’« anti-âge ».</w:t>
      </w:r>
    </w:p>
    <w:bookmarkEnd w:id="1489"/>
    <w:bookmarkEnd w:id="1490"/>
    <w:bookmarkStart w:id="1530" w:name="mécasermine-igf-1"/>
    <w:p>
      <w:pPr>
        <w:pStyle w:val="Heading2"/>
      </w:pPr>
      <w:r>
        <w:t xml:space="preserve">Mécasermine (IGF-1)</w:t>
      </w:r>
    </w:p>
    <w:p>
      <w:pPr>
        <w:pStyle w:val="FirstParagraph"/>
      </w:pPr>
      <w:r>
        <w:t xml:space="preserve">La mécasermine est de l’IGF-1 humain produit par génie génétique – c’est-à-dire le messager par lequel l’hormone de croissance exerce une grande partie de son effet. En tant que médicament (Increlex), elle est autorisée pour un groupe très rare d’enfants : des enfants dont l’organisme produit suffisamment d’hormone de croissance, mais n’y réagit pas et ne fabrique donc presque pas d’IGF-1. La mécasermine est ainsi un rare exemple de peptide autorisé dans ce groupe – et en même temps la substance pour laquelle la question de l’hypoglycémie et du risque de cancer lié à l’IGF-1 se pose le plus clairement.</w:t>
      </w:r>
    </w:p>
    <w:bookmarkStart w:id="1491" w:name="fiche-signalétique-31"/>
    <w:p>
      <w:pPr>
        <w:pStyle w:val="Heading3"/>
      </w:pPr>
      <w:r>
        <w:t xml:space="preserve">Fiche signalétique</w:t>
      </w:r>
    </w:p>
    <w:p>
      <w:pPr>
        <w:numPr>
          <w:ilvl w:val="0"/>
          <w:numId w:val="1174"/>
        </w:numPr>
        <w:pStyle w:val="Compact"/>
      </w:pPr>
      <w:r>
        <w:rPr>
          <w:bCs/>
          <w:b/>
        </w:rPr>
        <w:t xml:space="preserve">Nature et structure :</w:t>
      </w:r>
      <w:r>
        <w:t xml:space="preserve"> </w:t>
      </w:r>
      <w:r>
        <w:t xml:space="preserve">IGF-1 humain recombinant (produit par génie génétique dans des bactéries) de 70 acides aminés, identique à l’hormone endogène.</w:t>
      </w:r>
    </w:p>
    <w:p>
      <w:pPr>
        <w:numPr>
          <w:ilvl w:val="0"/>
          <w:numId w:val="1174"/>
        </w:numPr>
        <w:pStyle w:val="Compact"/>
      </w:pPr>
      <w:r>
        <w:rPr>
          <w:bCs/>
          <w:b/>
        </w:rPr>
        <w:t xml:space="preserve">Origine :</w:t>
      </w:r>
      <w:r>
        <w:t xml:space="preserve"> </w:t>
      </w:r>
      <w:r>
        <w:t xml:space="preserve">l’IGF-1 a été décrit dans les années 1970 sous le nom de « somatomédine » ; la mécasermine a été développée par Tercica et commercialisée par Ipsen, désormais par un autre titulaire de l’autorisation.</w:t>
      </w:r>
    </w:p>
    <w:p>
      <w:pPr>
        <w:numPr>
          <w:ilvl w:val="0"/>
          <w:numId w:val="1174"/>
        </w:numPr>
        <w:pStyle w:val="Compact"/>
      </w:pPr>
      <w:r>
        <w:rPr>
          <w:bCs/>
          <w:b/>
        </w:rPr>
        <w:t xml:space="preserve">Principe d’action :</w:t>
      </w:r>
      <w:r>
        <w:t xml:space="preserve"> </w:t>
      </w:r>
      <w:r>
        <w:t xml:space="preserve">se lie au récepteur de l’IGF-1 et remplace directement l’IGF-1 manquant ; favorise la croissance, a un effet anabolisant et – à dose plus élevée – fait baisser la glycémie de manière semblable à l’insuline.</w:t>
      </w:r>
    </w:p>
    <w:p>
      <w:pPr>
        <w:numPr>
          <w:ilvl w:val="0"/>
          <w:numId w:val="1174"/>
        </w:numPr>
        <w:pStyle w:val="Compact"/>
      </w:pPr>
      <w:r>
        <w:rPr>
          <w:bCs/>
          <w:b/>
        </w:rPr>
        <w:t xml:space="preserve">Autorisation UE :</w:t>
      </w:r>
      <w:r>
        <w:t xml:space="preserve"> </w:t>
      </w:r>
      <w:r>
        <w:t xml:space="preserve">oui (Increlex) pour le traitement au long cours des troubles de la croissance chez les enfants et adolescents présentant un déficit primaire sévère en IGF-1.</w:t>
      </w:r>
      <w:r>
        <w:t xml:space="preserve"> </w:t>
      </w:r>
      <w:r>
        <w:rPr>
          <w:bCs/>
          <w:b/>
        </w:rPr>
        <w:t xml:space="preserve">Autorisation États-Unis :</w:t>
      </w:r>
      <w:r>
        <w:t xml:space="preserve"> </w:t>
      </w:r>
      <w:r>
        <w:t xml:space="preserve">oui (Increlex), même indication.</w:t>
      </w:r>
    </w:p>
    <w:p>
      <w:pPr>
        <w:numPr>
          <w:ilvl w:val="0"/>
          <w:numId w:val="1174"/>
        </w:numPr>
        <w:pStyle w:val="Compact"/>
      </w:pPr>
      <w:r>
        <w:rPr>
          <w:bCs/>
          <w:b/>
        </w:rPr>
        <w:t xml:space="preserve">AMA (WADA) :</w:t>
      </w:r>
      <w:r>
        <w:t xml:space="preserve"> </w:t>
      </w:r>
      <w:r>
        <w:t xml:space="preserve">interdite, classe S2 (l’IGF-1 et ses analogues en tant que facteurs de croissance).</w:t>
      </w:r>
    </w:p>
    <w:p>
      <w:pPr>
        <w:numPr>
          <w:ilvl w:val="0"/>
          <w:numId w:val="1174"/>
        </w:numPr>
        <w:pStyle w:val="Compact"/>
      </w:pPr>
      <w:r>
        <w:rPr>
          <w:bCs/>
          <w:b/>
        </w:rPr>
        <w:t xml:space="preserve">Niveau de preuve : A</w:t>
      </w:r>
      <w:r>
        <w:t xml:space="preserve"> </w:t>
      </w:r>
      <w:r>
        <w:t xml:space="preserve">– autorisée dans l’UE et aux États-Unis. Restriction : en raison de la rareté de la maladie, l’autorisation repose sur des études ouvertes à long terme et des registres, et non sur de grandes études randomisées. Des études randomisées existent pour d’autres applications, par exemple la SLA (négative).</w:t>
      </w:r>
    </w:p>
    <w:bookmarkEnd w:id="1491"/>
    <w:bookmarkStart w:id="1493" w:name="mode-daction-supposé-31"/>
    <w:p>
      <w:pPr>
        <w:pStyle w:val="Heading3"/>
      </w:pPr>
      <w:r>
        <w:t xml:space="preserve">Mode d’action supposé</w:t>
      </w:r>
    </w:p>
    <w:p>
      <w:pPr>
        <w:pStyle w:val="FirstParagraph"/>
      </w:pPr>
      <w:r>
        <w:t xml:space="preserve">L’hormone de croissance issue de l’hypophyse agit surtout sur le foie, qui produit alors de l’IGF-1. L’IGF-1 fait ensuite croître les os en longueur et favorise la construction du muscle et d’autres tissus. Chez certains enfants, cette chaîne est interrompue : leur récepteur de l’hormone de croissance est non fonctionnel en raison d’une altération génétique, ou la transmission du signal est perturbée. L’exemple classique est le syndrome de Laron. Ces enfants ont beaucoup d’hormone de croissance mais presque pas d’IGF-1, et les injections d’hormone de croissance ne les aident pas. Sans traitement, ils n’atteignent souvent que 120 à 130 cm à l’âge adulte</w:t>
      </w:r>
      <w:r>
        <w:rPr>
          <w:rStyle w:val="FootnoteReference"/>
        </w:rPr>
        <w:footnoteReference w:id="1492"/>
      </w:r>
      <w:r>
        <w:t xml:space="preserve">.</w:t>
      </w:r>
    </w:p>
    <w:p>
      <w:pPr>
        <w:pStyle w:val="BodyText"/>
      </w:pPr>
      <w:r>
        <w:t xml:space="preserve">La mécasermine court-circuite l’étape défectueuse et fournit directement l’IGF-1. Comme l’IGF-1 ressemble à l’insuline, il peut faire baisser la glycémie – c’est l’effet indésirable le plus important.</w:t>
      </w:r>
    </w:p>
    <w:bookmarkEnd w:id="1493"/>
    <w:bookmarkStart w:id="1509" w:name="études-chez-lhumain-31"/>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21</w:t>
      </w:r>
      <w:r>
        <w:t xml:space="preserve"> </w:t>
      </w:r>
      <w:r>
        <w:t xml:space="preserve">études chez l’humain dans PubMed (</w:t>
      </w:r>
      <w:r>
        <w:rPr>
          <w:rStyle w:val="VerbatimChar"/>
        </w:rPr>
        <w:t xml:space="preserve">humanstudien_alle</w:t>
      </w:r>
      <w:r>
        <w:t xml:space="preserve">) et</w:t>
      </w:r>
      <w:r>
        <w:t xml:space="preserve"> </w:t>
      </w:r>
      <w:r>
        <w:rPr>
          <w:bCs/>
          <w:b/>
        </w:rPr>
        <w:t xml:space="preserve">37</w:t>
      </w:r>
      <w:r>
        <w:t xml:space="preserve"> </w:t>
      </w:r>
      <w:r>
        <w:t xml:space="preserve">entrées sur ClinicalTrials.gov ; certaines de ces entrées concernent d’autres sujets et n’apparaissent qu’en raison du terme de recherche. S’y ajoutent trois revues systématiques. Une recherche complémentaire ciblée a mis au jour les principales études à long terme et analyses de registre portant sur l’indication autorisée.</w:t>
      </w:r>
    </w:p>
    <w:bookmarkStart w:id="1499" w:name="X73afc93c50356221baec47c3cd7910c02c24aa8"/>
    <w:p>
      <w:pPr>
        <w:pStyle w:val="Heading4"/>
      </w:pPr>
      <w:r>
        <w:t xml:space="preserve">Déficit primaire sévère en IGF-1 chez l’enfant</w:t>
      </w:r>
    </w:p>
    <w:p>
      <w:pPr>
        <w:pStyle w:val="FirstParagraph"/>
      </w:pPr>
      <w:r>
        <w:t xml:space="preserve">L’autorisation repose sur une étude principalement ouverte, menée sur une durée allant jusqu’à douze ans, auprès de 76 enfants présentant un déficit en IGF-1 dû à une résistance à l’hormone de croissance. La vitesse de croissance est passée en moyenne de 2,8 cm par an avant traitement à 8,0 cm la première année de traitement ; elle a diminué les années suivantes, mais est restée au-dessus de la valeur initiale jusqu’à huit ans. L’effet indésirable le plus fréquent était l’hypoglycémie (chez 49 % des enfants, mais déjà observée avant le début du traitement), suivie de modifications du tissu adipeux au point d’injection (32 %) et d’une hypertrophie des amygdales et des végétations (22 %)</w:t>
      </w:r>
      <w:r>
        <w:rPr>
          <w:rStyle w:val="FootnoteReference"/>
        </w:rPr>
        <w:footnoteReference w:id="1494"/>
      </w:r>
      <w:r>
        <w:t xml:space="preserve">.</w:t>
      </w:r>
    </w:p>
    <w:p>
      <w:pPr>
        <w:pStyle w:val="BodyText"/>
      </w:pPr>
      <w:r>
        <w:t xml:space="preserve">Depuis 2008, un registre européen, devenu mondial, recueille des données issues de la pratique</w:t>
      </w:r>
      <w:r>
        <w:rPr>
          <w:rStyle w:val="FootnoteReference"/>
        </w:rPr>
        <w:footnoteReference w:id="1495"/>
      </w:r>
      <w:r>
        <w:t xml:space="preserve">. Chez 138 enfants prépubères non traités auparavant, la taille s’est améliorée la première année ; les enfants atteints du syndrome de Laron ont répondu un peu mieux, et parmi les autres, 56 % étaient considérés comme répondeurs. 65,3 % des enfants ont présenté au moins un effet indésirable, le plus souvent une hypoglycémie</w:t>
      </w:r>
      <w:r>
        <w:rPr>
          <w:rStyle w:val="FootnoteReference"/>
        </w:rPr>
        <w:footnoteReference w:id="1496"/>
      </w:r>
      <w:r>
        <w:t xml:space="preserve">. 102 enfants et adolescents ayant déjà atteint leur taille quasi définitive ont gagné en moyenne 0,9 écart-type de taille, et 1,4 lorsque le traitement avait commencé avant la puberté. Près de la moitié de ces enfants traités tôt ont atteint une taille dans la norme, contre seulement 10,5 % en cas de syndrome de Laron</w:t>
      </w:r>
      <w:r>
        <w:rPr>
          <w:rStyle w:val="FootnoteReference"/>
        </w:rPr>
        <w:footnoteReference w:id="1497"/>
      </w:r>
      <w:r>
        <w:t xml:space="preserve">. Les hypoglycémies sévères étaient rares, avec 0,01 événement par patient et par année de traitement ; étaient surtout à risque les enfants atteints du syndrome de Laron ou ayant des antécédents d’hypoglycémie</w:t>
      </w:r>
      <w:r>
        <w:rPr>
          <w:rStyle w:val="FootnoteReference"/>
        </w:rPr>
        <w:footnoteReference w:id="1498"/>
      </w:r>
      <w:r>
        <w:t xml:space="preserve">.</w:t>
      </w:r>
    </w:p>
    <w:bookmarkEnd w:id="1499"/>
    <w:bookmarkStart w:id="1508" w:name="autres-applications-1"/>
    <w:p>
      <w:pPr>
        <w:pStyle w:val="Heading4"/>
      </w:pPr>
      <w:r>
        <w:t xml:space="preserve">Autres applications</w:t>
      </w:r>
    </w:p>
    <w:p>
      <w:pPr>
        <w:numPr>
          <w:ilvl w:val="0"/>
          <w:numId w:val="1175"/>
        </w:numPr>
        <w:pStyle w:val="Compact"/>
      </w:pPr>
      <w:r>
        <w:rPr>
          <w:bCs/>
          <w:b/>
        </w:rPr>
        <w:t xml:space="preserve">SLA :</w:t>
      </w:r>
      <w:r>
        <w:t xml:space="preserve"> </w:t>
      </w:r>
      <w:r>
        <w:t xml:space="preserve">dans une étude de phase 3 portant sur 330 personnes atteintes de sclérose latérale amyotrophique, l’IGF-1 n’a apporté sur deux ans aucune différence par rapport au placebo – ni sur la force musculaire ni sur la survie sans trachéotomie</w:t>
      </w:r>
      <w:r>
        <w:rPr>
          <w:rStyle w:val="FootnoteReference"/>
        </w:rPr>
        <w:footnoteReference w:id="1500"/>
      </w:r>
      <w:r>
        <w:t xml:space="preserve">.</w:t>
      </w:r>
    </w:p>
    <w:p>
      <w:pPr>
        <w:numPr>
          <w:ilvl w:val="0"/>
          <w:numId w:val="1175"/>
        </w:numPr>
        <w:pStyle w:val="Compact"/>
      </w:pPr>
      <w:r>
        <w:rPr>
          <w:bCs/>
          <w:b/>
        </w:rPr>
        <w:t xml:space="preserve">Dystrophie musculaire de Duchenne :</w:t>
      </w:r>
      <w:r>
        <w:t xml:space="preserve"> </w:t>
      </w:r>
      <w:r>
        <w:t xml:space="preserve">chez 17 garçons traités contre 21 témoins, les garçons ont grandi plus vite sur six mois (6,5 vs 3,3 cm par an), mais la distance de marche au test de 6 minutes n’a pas changé</w:t>
      </w:r>
      <w:r>
        <w:rPr>
          <w:rStyle w:val="FootnoteReference"/>
        </w:rPr>
        <w:footnoteReference w:id="1501"/>
      </w:r>
      <w:r>
        <w:t xml:space="preserve">.</w:t>
      </w:r>
    </w:p>
    <w:p>
      <w:pPr>
        <w:numPr>
          <w:ilvl w:val="0"/>
          <w:numId w:val="1175"/>
        </w:numPr>
        <w:pStyle w:val="Compact"/>
      </w:pPr>
      <w:r>
        <w:rPr>
          <w:bCs/>
          <w:b/>
        </w:rPr>
        <w:t xml:space="preserve">Syndrome de Rett :</w:t>
      </w:r>
      <w:r>
        <w:t xml:space="preserve"> </w:t>
      </w:r>
      <w:r>
        <w:t xml:space="preserve">une revue systématique décrit des indices de préservation des capacités sociales et cognitives, mais des résultats hétérogènes, et réclame des études plus vastes</w:t>
      </w:r>
      <w:r>
        <w:rPr>
          <w:rStyle w:val="FootnoteReference"/>
        </w:rPr>
        <w:footnoteReference w:id="1502"/>
      </w:r>
      <w:r>
        <w:t xml:space="preserve">.</w:t>
      </w:r>
    </w:p>
    <w:p>
      <w:pPr>
        <w:numPr>
          <w:ilvl w:val="0"/>
          <w:numId w:val="1175"/>
        </w:numPr>
        <w:pStyle w:val="Compact"/>
      </w:pPr>
      <w:r>
        <w:rPr>
          <w:bCs/>
          <w:b/>
        </w:rPr>
        <w:t xml:space="preserve">Prématurés :</w:t>
      </w:r>
      <w:r>
        <w:t xml:space="preserve"> </w:t>
      </w:r>
      <w:r>
        <w:t xml:space="preserve">l’IGF-1 associé à sa protéine de liaison IGFBP-3 n’a pas prévenu chez 121 grands prématurés la rétinopathie du prématuré, mais a réduit la dysplasie bronchopulmonaire sévère (21,3 % vs 44,9 %). Des événements graves mortels sont survenus chez 19,7 % des enfants traités et 11,7 % des enfants témoins</w:t>
      </w:r>
      <w:r>
        <w:rPr>
          <w:rStyle w:val="FootnoteReference"/>
        </w:rPr>
        <w:footnoteReference w:id="1503"/>
      </w:r>
      <w:r>
        <w:t xml:space="preserve">. Une étude de suivi sur le développement pulmonaire est en cours</w:t>
      </w:r>
      <w:r>
        <w:rPr>
          <w:rStyle w:val="FootnoteReference"/>
        </w:rPr>
        <w:footnoteReference w:id="1504"/>
      </w:r>
      <w:r>
        <w:t xml:space="preserve">.</w:t>
      </w:r>
    </w:p>
    <w:p>
      <w:pPr>
        <w:numPr>
          <w:ilvl w:val="0"/>
          <w:numId w:val="1175"/>
        </w:numPr>
        <w:pStyle w:val="Compact"/>
      </w:pPr>
      <w:r>
        <w:rPr>
          <w:bCs/>
          <w:b/>
        </w:rPr>
        <w:t xml:space="preserve">Anorexie :</w:t>
      </w:r>
      <w:r>
        <w:t xml:space="preserve"> </w:t>
      </w:r>
      <w:r>
        <w:t xml:space="preserve">chez 90 femmes atteintes d’anorexie mentale, un traitement de six mois par IGF-1, suivi d’un médicament osseux, a augmenté la densité osseuse de la colonne vertébrale davantage que le placebo</w:t>
      </w:r>
      <w:r>
        <w:rPr>
          <w:rStyle w:val="FootnoteReference"/>
        </w:rPr>
        <w:footnoteReference w:id="1505"/>
      </w:r>
      <w:r>
        <w:t xml:space="preserve">.</w:t>
      </w:r>
    </w:p>
    <w:p>
      <w:pPr>
        <w:numPr>
          <w:ilvl w:val="0"/>
          <w:numId w:val="1175"/>
        </w:numPr>
        <w:pStyle w:val="Compact"/>
      </w:pPr>
      <w:r>
        <w:rPr>
          <w:bCs/>
          <w:b/>
        </w:rPr>
        <w:t xml:space="preserve">Adultes atteints du syndrome de Laron :</w:t>
      </w:r>
      <w:r>
        <w:t xml:space="preserve"> </w:t>
      </w:r>
      <w:r>
        <w:t xml:space="preserve">chez dix adultes, huit semaines d’IGF-1 ont fait diminuer la proportion de graisse et augmenter la masse maigre</w:t>
      </w:r>
      <w:r>
        <w:rPr>
          <w:rStyle w:val="FootnoteReference"/>
        </w:rPr>
        <w:footnoteReference w:id="1506"/>
      </w:r>
      <w:r>
        <w:t xml:space="preserve">.</w:t>
      </w:r>
    </w:p>
    <w:p>
      <w:pPr>
        <w:numPr>
          <w:ilvl w:val="0"/>
          <w:numId w:val="1175"/>
        </w:numPr>
        <w:pStyle w:val="Compact"/>
      </w:pPr>
      <w:r>
        <w:rPr>
          <w:bCs/>
          <w:b/>
        </w:rPr>
        <w:t xml:space="preserve">Sportives et sportifs :</w:t>
      </w:r>
      <w:r>
        <w:t xml:space="preserve"> </w:t>
      </w:r>
      <w:r>
        <w:t xml:space="preserve">dans une étude randomisée en double aveugle portant sur 56 sportifs amateurs pendant 28 jours, l’IGF-1/IGFBP-3 a modifié les lipides sanguins et les taux d’insuline</w:t>
      </w:r>
      <w:r>
        <w:rPr>
          <w:rStyle w:val="FootnoteReference"/>
        </w:rPr>
        <w:footnoteReference w:id="1507"/>
      </w:r>
      <w:r>
        <w:t xml:space="preserve">. Cette étude ne fournit pas de données de performance.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Étude à long terme (Chernausek 2007), PMID 17192294</w:t>
            </w:r>
          </w:p>
        </w:tc>
        <w:tc>
          <w:tcPr/>
          <w:p>
            <w:pPr>
              <w:pStyle w:val="Compact"/>
              <w:jc w:val="left"/>
            </w:pPr>
            <w:r>
              <w:t xml:space="preserve">76 enfants avec résistance à la GH, principalement en ouvert</w:t>
            </w:r>
          </w:p>
        </w:tc>
        <w:tc>
          <w:tcPr/>
          <w:p>
            <w:pPr>
              <w:pStyle w:val="Compact"/>
              <w:jc w:val="left"/>
            </w:pPr>
            <w:r>
              <w:t xml:space="preserve">jusqu’à 12 ans</w:t>
            </w:r>
          </w:p>
        </w:tc>
        <w:tc>
          <w:tcPr/>
          <w:p>
            <w:pPr>
              <w:pStyle w:val="Compact"/>
              <w:jc w:val="left"/>
            </w:pPr>
            <w:r>
              <w:t xml:space="preserve">croissance 2,8 → 8,0 cm/an la 1re année ; hypoglycémie chez 49 %</w:t>
            </w:r>
          </w:p>
        </w:tc>
      </w:tr>
      <w:tr>
        <w:tc>
          <w:tcPr/>
          <w:p>
            <w:pPr>
              <w:pStyle w:val="Compact"/>
              <w:jc w:val="left"/>
            </w:pPr>
            <w:r>
              <w:t xml:space="preserve">Registre (Bang 2021), PMID 33434161</w:t>
            </w:r>
          </w:p>
        </w:tc>
        <w:tc>
          <w:tcPr/>
          <w:p>
            <w:pPr>
              <w:pStyle w:val="Compact"/>
              <w:jc w:val="left"/>
            </w:pPr>
            <w:r>
              <w:t xml:space="preserve">242 enfants, dont 138 prépubères non traités ; observationnel</w:t>
            </w:r>
          </w:p>
        </w:tc>
        <w:tc>
          <w:tcPr/>
          <w:p>
            <w:pPr>
              <w:pStyle w:val="Compact"/>
              <w:jc w:val="left"/>
            </w:pPr>
            <w:r>
              <w:t xml:space="preserve">jusqu’à 5 ans</w:t>
            </w:r>
          </w:p>
        </w:tc>
        <w:tc>
          <w:tcPr/>
          <w:p>
            <w:pPr>
              <w:pStyle w:val="Compact"/>
              <w:jc w:val="left"/>
            </w:pPr>
            <w:r>
              <w:t xml:space="preserve">gain de taille ; 65,3 % avec effets indésirables</w:t>
            </w:r>
          </w:p>
        </w:tc>
      </w:tr>
      <w:tr>
        <w:tc>
          <w:tcPr/>
          <w:p>
            <w:pPr>
              <w:pStyle w:val="Compact"/>
              <w:jc w:val="left"/>
            </w:pPr>
            <w:r>
              <w:t xml:space="preserve">Registre taille finale (Ramon-Krauel 2026), PMID 40626687</w:t>
            </w:r>
          </w:p>
        </w:tc>
        <w:tc>
          <w:tcPr/>
          <w:p>
            <w:pPr>
              <w:pStyle w:val="Compact"/>
              <w:jc w:val="left"/>
            </w:pPr>
            <w:r>
              <w:t xml:space="preserve">102 adolescents ayant presque atteint leur taille finale</w:t>
            </w:r>
          </w:p>
        </w:tc>
        <w:tc>
          <w:tcPr/>
          <w:p>
            <w:pPr>
              <w:pStyle w:val="Compact"/>
              <w:jc w:val="left"/>
            </w:pPr>
            <w:r>
              <w:t xml:space="preserve">médiane 3,9 ans</w:t>
            </w:r>
          </w:p>
        </w:tc>
        <w:tc>
          <w:tcPr/>
          <w:p>
            <w:pPr>
              <w:pStyle w:val="Compact"/>
              <w:jc w:val="left"/>
            </w:pPr>
            <w:r>
              <w:t xml:space="preserve">+0,9 ET (traités tôt +1,4 ET)</w:t>
            </w:r>
          </w:p>
        </w:tc>
      </w:tr>
      <w:tr>
        <w:tc>
          <w:tcPr/>
          <w:p>
            <w:pPr>
              <w:pStyle w:val="Compact"/>
              <w:jc w:val="left"/>
            </w:pPr>
            <w:r>
              <w:t xml:space="preserve">SLA (Sorenson 2008), PMID 19029516</w:t>
            </w:r>
          </w:p>
        </w:tc>
        <w:tc>
          <w:tcPr/>
          <w:p>
            <w:pPr>
              <w:pStyle w:val="Compact"/>
              <w:jc w:val="left"/>
            </w:pPr>
            <w:r>
              <w:t xml:space="preserve">330 personnes atteintes de SLA, ECR contre placebo</w:t>
            </w:r>
          </w:p>
        </w:tc>
        <w:tc>
          <w:tcPr/>
          <w:p>
            <w:pPr>
              <w:pStyle w:val="Compact"/>
              <w:jc w:val="left"/>
            </w:pPr>
            <w:r>
              <w:t xml:space="preserve">2 ans</w:t>
            </w:r>
          </w:p>
        </w:tc>
        <w:tc>
          <w:tcPr/>
          <w:p>
            <w:pPr>
              <w:pStyle w:val="Compact"/>
              <w:jc w:val="left"/>
            </w:pPr>
            <w:r>
              <w:t xml:space="preserve">aucun bénéfice</w:t>
            </w:r>
          </w:p>
        </w:tc>
      </w:tr>
      <w:tr>
        <w:tc>
          <w:tcPr/>
          <w:p>
            <w:pPr>
              <w:pStyle w:val="Compact"/>
              <w:jc w:val="left"/>
            </w:pPr>
            <w:r>
              <w:t xml:space="preserve">Prématurés (Ley 2019), PMID 30471715</w:t>
            </w:r>
          </w:p>
        </w:tc>
        <w:tc>
          <w:tcPr/>
          <w:p>
            <w:pPr>
              <w:pStyle w:val="Compact"/>
              <w:jc w:val="left"/>
            </w:pPr>
            <w:r>
              <w:t xml:space="preserve">121 grands prématurés, ECR contre traitement standard</w:t>
            </w:r>
          </w:p>
        </w:tc>
        <w:tc>
          <w:tcPr/>
          <w:p>
            <w:pPr>
              <w:pStyle w:val="Compact"/>
              <w:jc w:val="left"/>
            </w:pPr>
            <w:r>
              <w:t xml:space="preserve">jusqu’à la 40e semaine</w:t>
            </w:r>
          </w:p>
        </w:tc>
        <w:tc>
          <w:tcPr/>
          <w:p>
            <w:pPr>
              <w:pStyle w:val="Compact"/>
              <w:jc w:val="left"/>
            </w:pPr>
            <w:r>
              <w:t xml:space="preserve">aucun effet sur la rétine ; moins de DBP sévère</w:t>
            </w:r>
          </w:p>
        </w:tc>
      </w:tr>
    </w:tbl>
    <w:bookmarkEnd w:id="1508"/>
    <w:bookmarkEnd w:id="1509"/>
    <w:bookmarkStart w:id="1512" w:name="études-animales-et-de-laboratoire-31"/>
    <w:p>
      <w:pPr>
        <w:pStyle w:val="Heading3"/>
      </w:pPr>
      <w:r>
        <w:t xml:space="preserve">Études animales et de laboratoire</w:t>
      </w:r>
    </w:p>
    <w:p>
      <w:pPr>
        <w:pStyle w:val="FirstParagraph"/>
      </w:pPr>
      <w:r>
        <w:t xml:space="preserve">Les effets de l’IGF-1 sur la croissance, le muscle et le métabolisme ont été très largement étudiés chez l’animal et en culture cellulaire et constituent la base du traitement. Pour la question de la sécurité, des expériences cellulaires avec du sérum sanguin de personnes atteintes du syndrome de Laron sont importantes : des cellules traitées avec ce sérum pauvre en IGF-1 puis exposées à un stress oxydatif présentaient moins de cassures de l’ADN, et les cellules endommagées mouraient plus souvent</w:t>
      </w:r>
      <w:r>
        <w:rPr>
          <w:rStyle w:val="FootnoteReference"/>
        </w:rPr>
        <w:footnoteReference w:id="1510"/>
      </w:r>
      <w:r>
        <w:t xml:space="preserve">. Lorsqu’on ajoutait de l’IGF-1 au sérum, ces différences disparaissaient</w:t>
      </w:r>
      <w:r>
        <w:rPr>
          <w:rStyle w:val="FootnoteReference"/>
        </w:rPr>
        <w:footnoteReference w:id="1511"/>
      </w:r>
      <w:r>
        <w:t xml:space="preserve">. L’IGF-1 tend donc à maintenir en vie aussi les cellules endommagées – un mécanisme possible de risque de cancer.</w:t>
      </w:r>
    </w:p>
    <w:bookmarkEnd w:id="1512"/>
    <w:bookmarkStart w:id="1523" w:name="risques-et-effets-indésirables-31"/>
    <w:p>
      <w:pPr>
        <w:pStyle w:val="Heading3"/>
      </w:pPr>
      <w:r>
        <w:t xml:space="preserve">Risques et effets indésirables</w:t>
      </w:r>
    </w:p>
    <w:p>
      <w:pPr>
        <w:pStyle w:val="FirstParagraph"/>
      </w:pPr>
      <w:r>
        <w:rPr>
          <w:bCs/>
          <w:b/>
        </w:rPr>
        <w:t xml:space="preserve">Établi :</w:t>
      </w:r>
    </w:p>
    <w:p>
      <w:pPr>
        <w:numPr>
          <w:ilvl w:val="0"/>
          <w:numId w:val="1176"/>
        </w:numPr>
        <w:pStyle w:val="Compact"/>
      </w:pPr>
      <w:r>
        <w:rPr>
          <w:bCs/>
          <w:b/>
        </w:rPr>
        <w:t xml:space="preserve">Hypoglycémie</w:t>
      </w:r>
      <w:r>
        <w:t xml:space="preserve"> </w:t>
      </w:r>
      <w:r>
        <w:t xml:space="preserve">– l’effet indésirable le plus fréquent et le plus important, en particulier chez les jeunes enfants, en cas de syndrome de Laron et après des hypoglycémies antérieures</w:t>
      </w:r>
      <w:r>
        <w:rPr>
          <w:rStyle w:val="FootnoteReference"/>
        </w:rPr>
        <w:footnoteReference w:id="1513"/>
      </w:r>
      <w:r>
        <w:t xml:space="preserve">. Le résumé des caractéristiques du produit impose donc une administration étroitement liée aux repas ; il en règle lui-même les détails.</w:t>
      </w:r>
    </w:p>
    <w:p>
      <w:pPr>
        <w:numPr>
          <w:ilvl w:val="0"/>
          <w:numId w:val="1176"/>
        </w:numPr>
        <w:pStyle w:val="Compact"/>
      </w:pPr>
      <w:r>
        <w:rPr>
          <w:bCs/>
          <w:b/>
        </w:rPr>
        <w:t xml:space="preserve">Hypertrophie des amygdales et des végétations</w:t>
      </w:r>
      <w:r>
        <w:t xml:space="preserve"> </w:t>
      </w:r>
      <w:r>
        <w:t xml:space="preserve">(22 %) et modifications du tissu adipeux au point d’injection (32 %)</w:t>
      </w:r>
      <w:r>
        <w:rPr>
          <w:rStyle w:val="FootnoteReference"/>
        </w:rPr>
        <w:footnoteReference w:id="1514"/>
      </w:r>
      <w:r>
        <w:t xml:space="preserve">.</w:t>
      </w:r>
    </w:p>
    <w:p>
      <w:pPr>
        <w:numPr>
          <w:ilvl w:val="0"/>
          <w:numId w:val="1176"/>
        </w:numPr>
        <w:pStyle w:val="Compact"/>
      </w:pPr>
      <w:r>
        <w:t xml:space="preserve">Dans l’étude chez les prématurés, davantage d’événements graves mortels sont survenus en nombre sous IGF-1/IGFBP-3 que sous traitement standard</w:t>
      </w:r>
      <w:r>
        <w:rPr>
          <w:rStyle w:val="FootnoteReference"/>
        </w:rPr>
        <w:footnoteReference w:id="1515"/>
      </w:r>
      <w:r>
        <w:t xml:space="preserve"> </w:t>
      </w:r>
      <w:r>
        <w:t xml:space="preserve">; l’étude n’était pas conçue pour évaluer cette différence.</w:t>
      </w:r>
    </w:p>
    <w:p>
      <w:pPr>
        <w:pStyle w:val="FirstParagraph"/>
      </w:pPr>
      <w:r>
        <w:rPr>
          <w:bCs/>
          <w:b/>
        </w:rPr>
        <w:t xml:space="preserve">Risque de cancer – ce qui est établi et ce qui ne l’est pas :</w:t>
      </w:r>
    </w:p>
    <w:p>
      <w:pPr>
        <w:pStyle w:val="BodyText"/>
      </w:pPr>
      <w:r>
        <w:t xml:space="preserve">L’IGF-1 est un signal de croissance et de survie pour les cellules. La crainte qu’un surcroît d’IGF-1 augmente le risque de cancer est donc biologiquement plausible et étayée par plusieurs types de résultats :</w:t>
      </w:r>
    </w:p>
    <w:p>
      <w:pPr>
        <w:numPr>
          <w:ilvl w:val="0"/>
          <w:numId w:val="1177"/>
        </w:numPr>
        <w:pStyle w:val="Compact"/>
      </w:pPr>
      <w:r>
        <w:rPr>
          <w:iCs/>
          <w:i/>
        </w:rPr>
        <w:t xml:space="preserve">Études observationnelles :</w:t>
      </w:r>
      <w:r>
        <w:t xml:space="preserve"> </w:t>
      </w:r>
      <w:r>
        <w:t xml:space="preserve">les personnes ayant des taux sanguins d’IGF-1 plus élevés développent un peu plus souvent un cancer de la prostate et un cancer du sein avant la ménopause</w:t>
      </w:r>
      <w:r>
        <w:rPr>
          <w:rStyle w:val="FootnoteReference"/>
        </w:rPr>
        <w:footnoteReference w:id="1516"/>
      </w:r>
      <w:r>
        <w:t xml:space="preserve">. Dans la UK Biobank, chaque augmentation de 5 nmol/l était associée à un risque de cancer du sein supérieur de 11 %</w:t>
      </w:r>
      <w:r>
        <w:rPr>
          <w:rStyle w:val="FootnoteReference"/>
        </w:rPr>
        <w:footnoteReference w:id="1517"/>
      </w:r>
      <w:r>
        <w:t xml:space="preserve"> </w:t>
      </w:r>
      <w:r>
        <w:t xml:space="preserve">; des associations semblables apparaissent pour le cancer colorectal</w:t>
      </w:r>
      <w:r>
        <w:rPr>
          <w:rStyle w:val="FootnoteReference"/>
        </w:rPr>
        <w:footnoteReference w:id="1518"/>
      </w:r>
      <w:r>
        <w:t xml:space="preserve"> </w:t>
      </w:r>
      <w:r>
        <w:t xml:space="preserve">et le cancer de la prostate</w:t>
      </w:r>
      <w:r>
        <w:rPr>
          <w:rStyle w:val="FootnoteReference"/>
        </w:rPr>
        <w:footnoteReference w:id="1519"/>
      </w:r>
      <w:r>
        <w:t xml:space="preserve">.</w:t>
      </w:r>
    </w:p>
    <w:p>
      <w:pPr>
        <w:numPr>
          <w:ilvl w:val="0"/>
          <w:numId w:val="1177"/>
        </w:numPr>
        <w:pStyle w:val="Compact"/>
      </w:pPr>
      <w:r>
        <w:rPr>
          <w:iCs/>
          <w:i/>
        </w:rPr>
        <w:t xml:space="preserve">Analyses génétiques (randomisation mendélienne) :</w:t>
      </w:r>
      <w:r>
        <w:t xml:space="preserve"> </w:t>
      </w:r>
      <w:r>
        <w:t xml:space="preserve">les personnes ayant génétiquement des taux d’IGF-1 plus élevés développent elles aussi un peu plus souvent un cancer du sein et un cancer colorectal – un indice que l’association pourrait être causale</w:t>
      </w:r>
      <w:r>
        <w:rPr>
          <w:rStyle w:val="FootnoteReference"/>
        </w:rPr>
        <w:footnoteReference w:id="1520"/>
      </w:r>
      <w:r>
        <w:t xml:space="preserve">.</w:t>
      </w:r>
    </w:p>
    <w:p>
      <w:pPr>
        <w:numPr>
          <w:ilvl w:val="0"/>
          <w:numId w:val="1177"/>
        </w:numPr>
        <w:pStyle w:val="Compact"/>
      </w:pPr>
      <w:r>
        <w:rPr>
          <w:iCs/>
          <w:i/>
        </w:rPr>
        <w:t xml:space="preserve">Le contre-exemple :</w:t>
      </w:r>
      <w:r>
        <w:t xml:space="preserve"> </w:t>
      </w:r>
      <w:r>
        <w:t xml:space="preserve">dans un groupe équatorien atteint du syndrome de Laron, c’est-à-dire d’un déficit en IGF-1 à vie, un seul cancer, non mortel, est survenu sur 22 ans d’observation, contre 17 % chez les apparentés non atteints</w:t>
      </w:r>
      <w:r>
        <w:rPr>
          <w:rStyle w:val="FootnoteReference"/>
        </w:rPr>
        <w:footnoteReference w:id="1521"/>
      </w:r>
      <w:r>
        <w:t xml:space="preserve">.</w:t>
      </w:r>
    </w:p>
    <w:p>
      <w:pPr>
        <w:pStyle w:val="FirstParagraph"/>
      </w:pPr>
      <w:r>
        <w:t xml:space="preserve">L’ordre de grandeur est important : les hausses de risque mesurées en cas d’IGF-1 naturellement plus élevé sont modérées (selon la comparaison et le type de cancer, généralement entre environ 5 et 65 % en valeur relative). Chez les enfants pour lesquels la mécasermine est autorisée, on remplace une hormone manquante ; on n’élève pas un taux normal au-delà de la norme. Néanmoins, après la mise sur le marché, des cas de néoplasies bénignes et malignes ont été signalés chez des enfants traités ; le résumé des caractéristiques du produit dans l’UE et aux États-Unis a alors été complété par des mises en garde correspondantes, et la mécasermine ne doit pas être utilisée en cas de cancer actif ou suspecté (état 2026, détails dans le résumé des caractéristiques du produit en vigueur). Les signalements isolés ne permettent pas d’établir s’il existe un lien de causalité ; le registre à long terme</w:t>
      </w:r>
      <w:r>
        <w:rPr>
          <w:rStyle w:val="FootnoteReference"/>
        </w:rPr>
        <w:footnoteReference w:id="1522"/>
      </w:r>
      <w:r>
        <w:t xml:space="preserve"> </w:t>
      </w:r>
      <w:r>
        <w:t xml:space="preserve">doit fournir des données à ce sujet.</w:t>
      </w:r>
    </w:p>
    <w:p>
      <w:pPr>
        <w:pStyle w:val="BodyText"/>
      </w:pPr>
      <w:r>
        <w:t xml:space="preserve">Pour les adultes qui utilisent de l’IGF-1 sans déficit, pour améliorer leurs performances ou se « rajeunir », ces considérations sont à prendre beaucoup plus au sérieux : on élèverait ici durablement un taux normal – exactement la situation associée à un risque plus élevé dans les études observationnelles. Le sujet est traité en détail dans la partie IV.</w:t>
      </w:r>
    </w:p>
    <w:bookmarkEnd w:id="1523"/>
    <w:bookmarkStart w:id="1526" w:name="statut-juridique-31"/>
    <w:p>
      <w:pPr>
        <w:pStyle w:val="Heading3"/>
      </w:pPr>
      <w:r>
        <w:t xml:space="preserve">Statut juridique</w:t>
      </w:r>
    </w:p>
    <w:p>
      <w:pPr>
        <w:pStyle w:val="FirstParagraph"/>
      </w:pPr>
      <w:r>
        <w:rPr>
          <w:iCs/>
          <w:i/>
        </w:rPr>
        <w:t xml:space="preserve">État 2026, à vérifier.</w:t>
      </w:r>
    </w:p>
    <w:p>
      <w:pPr>
        <w:numPr>
          <w:ilvl w:val="0"/>
          <w:numId w:val="1178"/>
        </w:numPr>
        <w:pStyle w:val="Compact"/>
      </w:pPr>
      <w:r>
        <w:rPr>
          <w:bCs/>
          <w:b/>
        </w:rPr>
        <w:t xml:space="preserve">UE, Allemagne, Autriche :</w:t>
      </w:r>
      <w:r>
        <w:t xml:space="preserve"> </w:t>
      </w:r>
      <w:r>
        <w:t xml:space="preserve">autorisée (Increlex) exclusivement pour les enfants et adolescents présentant un déficit primaire sévère en IGF-1 ; sur ordonnance, traitement par des médecins expérimentés en endocrinologie pédiatrique conformément au résumé des caractéristiques du produit. L’autorisation de l’UE est liée à la collecte de données dans le registre à long terme</w:t>
      </w:r>
      <w:r>
        <w:rPr>
          <w:rStyle w:val="FootnoteReference"/>
        </w:rPr>
        <w:footnoteReference w:id="1524"/>
      </w:r>
      <w:r>
        <w:t xml:space="preserve">.</w:t>
      </w:r>
    </w:p>
    <w:p>
      <w:pPr>
        <w:numPr>
          <w:ilvl w:val="0"/>
          <w:numId w:val="1178"/>
        </w:numPr>
        <w:pStyle w:val="Compact"/>
      </w:pPr>
      <w:r>
        <w:rPr>
          <w:bCs/>
          <w:b/>
        </w:rPr>
        <w:t xml:space="preserve">États-Unis :</w:t>
      </w:r>
      <w:r>
        <w:t xml:space="preserve"> </w:t>
      </w:r>
      <w:r>
        <w:t xml:space="preserve">autorisée (Increlex) pour la même indication.</w:t>
      </w:r>
    </w:p>
    <w:p>
      <w:pPr>
        <w:numPr>
          <w:ilvl w:val="0"/>
          <w:numId w:val="1178"/>
        </w:numPr>
        <w:pStyle w:val="Compact"/>
      </w:pPr>
      <w:r>
        <w:rPr>
          <w:bCs/>
          <w:b/>
        </w:rPr>
        <w:t xml:space="preserve">Autres utilisations</w:t>
      </w:r>
      <w:r>
        <w:t xml:space="preserve"> </w:t>
      </w:r>
      <w:r>
        <w:t xml:space="preserve">(adultes, sport, anti-âge) : non autorisées.</w:t>
      </w:r>
    </w:p>
    <w:p>
      <w:pPr>
        <w:numPr>
          <w:ilvl w:val="0"/>
          <w:numId w:val="1178"/>
        </w:numPr>
        <w:pStyle w:val="Compact"/>
      </w:pPr>
      <w:r>
        <w:rPr>
          <w:bCs/>
          <w:b/>
        </w:rPr>
        <w:t xml:space="preserve">AMA (WADA) :</w:t>
      </w:r>
      <w:r>
        <w:t xml:space="preserve"> </w:t>
      </w:r>
      <w:r>
        <w:t xml:space="preserve">interdite (S2). Pour la détection de l’abus d’IGF-1, des méthodes fondées sur des marqueurs sont en cours de développement, à l’image du test de l’hormone de croissance</w:t>
      </w:r>
      <w:r>
        <w:rPr>
          <w:rStyle w:val="FootnoteReference"/>
        </w:rPr>
        <w:footnoteReference w:id="1525"/>
      </w:r>
      <w:r>
        <w:t xml:space="preserve">.</w:t>
      </w:r>
    </w:p>
    <w:bookmarkEnd w:id="1526"/>
    <w:bookmarkStart w:id="1528" w:name="études-en-cours-et-perspectives-31"/>
    <w:p>
      <w:pPr>
        <w:pStyle w:val="Heading3"/>
      </w:pPr>
      <w:r>
        <w:t xml:space="preserve">Études en cours et perspectives</w:t>
      </w:r>
    </w:p>
    <w:p>
      <w:pPr>
        <w:pStyle w:val="FirstParagraph"/>
      </w:pPr>
      <w:r>
        <w:rPr>
          <w:iCs/>
          <w:i/>
        </w:rPr>
        <w:t xml:space="preserve">Établi :</w:t>
      </w:r>
      <w:r>
        <w:t xml:space="preserve"> </w:t>
      </w:r>
      <w:r>
        <w:t xml:space="preserve">selon son entrée, le registre mondial Increlex</w:t>
      </w:r>
      <w:r>
        <w:rPr>
          <w:rStyle w:val="FootnoteReference"/>
        </w:rPr>
        <w:footnoteReference w:id="1527"/>
      </w:r>
      <w:r>
        <w:t xml:space="preserve"> </w:t>
      </w:r>
      <w:r>
        <w:t xml:space="preserve">court jusqu’à fin 2027. Une étude de phase 2 avec IGF-1/IGFBP-3 pour la prévention de la dysplasie bronchopulmonaire chez les grands prématurés (NCT03253263, 295 enfants) est active, mais ne recrute plus.</w:t>
      </w:r>
      <w:r>
        <w:t xml:space="preserve"> </w:t>
      </w:r>
      <w:r>
        <w:rPr>
          <w:iCs/>
          <w:i/>
        </w:rPr>
        <w:t xml:space="preserve">Appréciation de l’auteur :</w:t>
      </w:r>
      <w:r>
        <w:t xml:space="preserve"> </w:t>
      </w:r>
      <w:r>
        <w:t xml:space="preserve">de nouvelles autorisations pour les adultes ne sont pas en vue ; l’importance de la mécasermine restera limitée aux troubles rares de la croissance et, le cas échéant, à la médecine des prématurés.</w:t>
      </w:r>
    </w:p>
    <w:bookmarkEnd w:id="1528"/>
    <w:bookmarkStart w:id="1529" w:name="conclusion-31"/>
    <w:p>
      <w:pPr>
        <w:pStyle w:val="Heading3"/>
      </w:pPr>
      <w:r>
        <w:t xml:space="preserve">Conclusion</w:t>
      </w:r>
    </w:p>
    <w:p>
      <w:pPr>
        <w:pStyle w:val="FirstParagraph"/>
      </w:pPr>
      <w:r>
        <w:t xml:space="preserve">La mécasermine remplace l’IGF-1 manquant chez les enfants présentant un déficit primaire sévère en IGF-1 et améliore nettement leur croissance, surtout lorsque le traitement commence tôt. L’effet indésirable le plus fréquent est l’hypoglycémie ; après des signalements de néoplasies, les mises en garde ont été renforcées. Dans d’autres applications, par exemple la SLA, l’IGF-1 n’a apporté aucun bénéfice. Pour les personnes en bonne santé, une utilisation n’est ni démontrée ni défendable, car un IGF-1 durablement élevé est associé, dans de grandes études observationnelles et génétiques, à un risque de cancer légèrement plus élevé.</w:t>
      </w:r>
    </w:p>
    <w:bookmarkEnd w:id="1529"/>
    <w:bookmarkEnd w:id="1530"/>
    <w:bookmarkStart w:id="1560" w:name="igf-1-lr3"/>
    <w:p>
      <w:pPr>
        <w:pStyle w:val="Heading2"/>
      </w:pPr>
      <w:r>
        <w:t xml:space="preserve">IGF-1 LR3</w:t>
      </w:r>
    </w:p>
    <w:p>
      <w:pPr>
        <w:pStyle w:val="FirstParagraph"/>
      </w:pPr>
      <w:r>
        <w:t xml:space="preserve">L’IGF-1 LR3 (en toutes lettres « Long-R3-IGF-I ») n’est pas un médicament, mais un réactif de laboratoire. Il a été développé pour améliorer la croissance des cultures cellulaires en biotechnologie et il est utilisé dans des expérimentations animales. Le fait qu’il soit vendu sur Internet en flacons pour injection est un exemple type du marché des « Research Peptides » : une substance qui n’a jamais été destinée à l’humain, qui n’a jamais été testée chez l’humain et dont les propriétés amplifient précisément les risques qui inquiètent avec l’IGF-1 naturel.</w:t>
      </w:r>
    </w:p>
    <w:bookmarkStart w:id="1532" w:name="fiche-signalétique-32"/>
    <w:p>
      <w:pPr>
        <w:pStyle w:val="Heading3"/>
      </w:pPr>
      <w:r>
        <w:t xml:space="preserve">Fiche signalétique</w:t>
      </w:r>
    </w:p>
    <w:p>
      <w:pPr>
        <w:numPr>
          <w:ilvl w:val="0"/>
          <w:numId w:val="1179"/>
        </w:numPr>
        <w:pStyle w:val="Compact"/>
      </w:pPr>
      <w:r>
        <w:rPr>
          <w:bCs/>
          <w:b/>
        </w:rPr>
        <w:t xml:space="preserve">Nature et structure :</w:t>
      </w:r>
      <w:r>
        <w:t xml:space="preserve"> </w:t>
      </w:r>
      <w:r>
        <w:t xml:space="preserve">IGF-1 humain modifié : en position 3 se trouve l’acide aminé arginine (« R3 »), et une chaîne d’acides aminés supplémentaire a été ajoutée au début (« Long »). Ces deux modifications réduisent fortement la liaison aux protéines de liaison des IGF</w:t>
      </w:r>
      <w:r>
        <w:rPr>
          <w:rStyle w:val="FootnoteReference"/>
        </w:rPr>
        <w:footnoteReference w:id="1531"/>
      </w:r>
      <w:r>
        <w:t xml:space="preserve">.</w:t>
      </w:r>
    </w:p>
    <w:p>
      <w:pPr>
        <w:numPr>
          <w:ilvl w:val="0"/>
          <w:numId w:val="1179"/>
        </w:numPr>
        <w:pStyle w:val="Compact"/>
      </w:pPr>
      <w:r>
        <w:rPr>
          <w:bCs/>
          <w:b/>
        </w:rPr>
        <w:t xml:space="preserve">Origine :</w:t>
      </w:r>
      <w:r>
        <w:t xml:space="preserve"> </w:t>
      </w:r>
      <w:r>
        <w:t xml:space="preserve">décrit au début des années 1990 comme outil de recherche ; aujourd’hui disponible commercialement comme additif pour milieux de culture cellulaire.</w:t>
      </w:r>
    </w:p>
    <w:p>
      <w:pPr>
        <w:numPr>
          <w:ilvl w:val="0"/>
          <w:numId w:val="1179"/>
        </w:numPr>
        <w:pStyle w:val="Compact"/>
      </w:pPr>
      <w:r>
        <w:rPr>
          <w:bCs/>
          <w:b/>
        </w:rPr>
        <w:t xml:space="preserve">Principe d’action :</w:t>
      </w:r>
      <w:r>
        <w:t xml:space="preserve"> </w:t>
      </w:r>
      <w:r>
        <w:t xml:space="preserve">se lie comme l’IGF-1 au récepteur de l’IGF-1 ; comme il n’est presque pas capté par les protéines de liaison, il est présent dans le sang principalement sous forme libre et donc directement active.</w:t>
      </w:r>
    </w:p>
    <w:p>
      <w:pPr>
        <w:numPr>
          <w:ilvl w:val="0"/>
          <w:numId w:val="1179"/>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 Autorisé nulle part comme médicament, et jamais demandé.</w:t>
      </w:r>
    </w:p>
    <w:p>
      <w:pPr>
        <w:numPr>
          <w:ilvl w:val="0"/>
          <w:numId w:val="1179"/>
        </w:numPr>
        <w:pStyle w:val="Compact"/>
      </w:pPr>
      <w:r>
        <w:rPr>
          <w:bCs/>
          <w:b/>
        </w:rPr>
        <w:t xml:space="preserve">AMA (WADA) :</w:t>
      </w:r>
      <w:r>
        <w:t xml:space="preserve"> </w:t>
      </w:r>
      <w:r>
        <w:t xml:space="preserve">interdit, classe S2 (analogues de l’IGF-1 en tant que facteurs de croissance).</w:t>
      </w:r>
    </w:p>
    <w:p>
      <w:pPr>
        <w:numPr>
          <w:ilvl w:val="0"/>
          <w:numId w:val="1179"/>
        </w:numPr>
        <w:pStyle w:val="Compact"/>
      </w:pPr>
      <w:r>
        <w:rPr>
          <w:bCs/>
          <w:b/>
        </w:rPr>
        <w:t xml:space="preserve">Niveau de preuve : D</w:t>
      </w:r>
      <w:r>
        <w:t xml:space="preserve"> </w:t>
      </w:r>
      <w:r>
        <w:t xml:space="preserve">– pas une seule étude chez l’humain ; uniquement des études animales et de laboratoire.</w:t>
      </w:r>
    </w:p>
    <w:bookmarkEnd w:id="1532"/>
    <w:bookmarkStart w:id="1536" w:name="mode-daction-supposé-32"/>
    <w:p>
      <w:pPr>
        <w:pStyle w:val="Heading3"/>
      </w:pPr>
      <w:r>
        <w:t xml:space="preserve">Mode d’action supposé</w:t>
      </w:r>
    </w:p>
    <w:p>
      <w:pPr>
        <w:pStyle w:val="FirstParagraph"/>
      </w:pPr>
      <w:r>
        <w:t xml:space="preserve">Dans le sang, presque tout l’IGF-1 est couplé à des protéines de liaison, surtout à l’IGFBP-3. Ces protéines agissent comme un tampon : elles prolongent la durée de vie de l’IGF-1, mais le tiennent aussi à distance des cellules et atténuent ainsi son effet. Dans des expériences cellulaires, l’IGFBP-3 inhibait l’activation du récepteur de l’IGF-1 par l’IGF-1 et aussi par le Long-R3-IGF-I, en captant ces messagers</w:t>
      </w:r>
      <w:r>
        <w:rPr>
          <w:rStyle w:val="FootnoteReference"/>
        </w:rPr>
        <w:footnoteReference w:id="1533"/>
      </w:r>
      <w:r>
        <w:t xml:space="preserve">.</w:t>
      </w:r>
    </w:p>
    <w:p>
      <w:pPr>
        <w:pStyle w:val="BodyText"/>
      </w:pPr>
      <w:r>
        <w:t xml:space="preserve">Le LR3 a été modifié de manière à échapper en grande partie à ce tampon. Chez le rat, il était présent dans le sang principalement sous forme de peptide libre et était éliminé du sang – chez les animaux non gestants – environ dix fois plus vite que l’IGF-1 ; il disparaît donc rapidement dans les tissus</w:t>
      </w:r>
      <w:r>
        <w:rPr>
          <w:rStyle w:val="FootnoteReference"/>
        </w:rPr>
        <w:footnoteReference w:id="1534"/>
      </w:r>
      <w:r>
        <w:t xml:space="preserve">. Chez des rats diabétiques, il était 2,5 à 3 fois plus efficace que l’IGF-1 pour restaurer la croissance</w:t>
      </w:r>
      <w:r>
        <w:rPr>
          <w:rStyle w:val="FootnoteReference"/>
        </w:rPr>
        <w:footnoteReference w:id="1535"/>
      </w:r>
      <w:r>
        <w:t xml:space="preserve">. Sur le marché gris, on en déduit l’attente que le LR3 développerait davantage les muscles chez l’humain que l’IGF-1 naturel. Il n’existe aucune preuve en ce sens.</w:t>
      </w:r>
    </w:p>
    <w:bookmarkEnd w:id="1536"/>
    <w:bookmarkStart w:id="1540" w:name="études-chez-lhumain-32"/>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n’a trouvé</w:t>
      </w:r>
      <w:r>
        <w:t xml:space="preserve"> </w:t>
      </w:r>
      <w:r>
        <w:rPr>
          <w:bCs/>
          <w:b/>
        </w:rPr>
        <w:t xml:space="preserve">aucune</w:t>
      </w:r>
      <w:r>
        <w:t xml:space="preserve"> </w:t>
      </w:r>
      <w:r>
        <w:t xml:space="preserve">étude chez l’humain dans PubMed (</w:t>
      </w:r>
      <w:r>
        <w:rPr>
          <w:rStyle w:val="VerbatimChar"/>
        </w:rPr>
        <w:t xml:space="preserve">humanstudien_alle</w:t>
      </w:r>
      <w:r>
        <w:t xml:space="preserve"> </w:t>
      </w:r>
      <w:r>
        <w:t xml:space="preserve">: 0) et</w:t>
      </w:r>
      <w:r>
        <w:t xml:space="preserve"> </w:t>
      </w:r>
      <w:r>
        <w:rPr>
          <w:bCs/>
          <w:b/>
        </w:rPr>
        <w:t xml:space="preserve">aucune</w:t>
      </w:r>
      <w:r>
        <w:t xml:space="preserve"> </w:t>
      </w:r>
      <w:r>
        <w:t xml:space="preserve">entrée sur ClinicalTrials.gov. Une recherche complémentaire ciblée d’études pilotes, de rapports de cas d’intoxication ou d’effets indésirables n’a pas non plus mis au jour de publication dans laquelle des personnes auraient reçu de l’IGF-1 LR3.</w:t>
      </w:r>
    </w:p>
    <w:p>
      <w:pPr>
        <w:pStyle w:val="BodyText"/>
      </w:pPr>
      <w:r>
        <w:t xml:space="preserve">Seuls ont été trouvés :</w:t>
      </w:r>
    </w:p>
    <w:p>
      <w:pPr>
        <w:numPr>
          <w:ilvl w:val="0"/>
          <w:numId w:val="1180"/>
        </w:numPr>
        <w:pStyle w:val="Compact"/>
      </w:pPr>
      <w:r>
        <w:rPr>
          <w:bCs/>
          <w:b/>
        </w:rPr>
        <w:t xml:space="preserve">Analyses du marché gris :</w:t>
      </w:r>
      <w:r>
        <w:t xml:space="preserve"> </w:t>
      </w:r>
      <w:r>
        <w:t xml:space="preserve">un laboratoire antidopage a trouvé dans un flacon d’injection issu du marché noir du Long-R3-IGF-I portant un « His-Tag » – un appendice de six éléments histidine utilisé pour la purification lors de la production de protéines de laboratoire. Les auteurs supposent qu’il s’agissait d’un sous-produit de la recherche biochimique, et non d’une préparation fabriquée pour l’injection ; l’effet de cette variante chez l’humain est totalement inconnu</w:t>
      </w:r>
      <w:r>
        <w:rPr>
          <w:rStyle w:val="FootnoteReference"/>
        </w:rPr>
        <w:footnoteReference w:id="1537"/>
      </w:r>
      <w:r>
        <w:t xml:space="preserve">. Un autre groupe de recherche a trouvé dans des produits du marché noir de nombreux indices de formes peptidiques de qualité inférieure et oxydées</w:t>
      </w:r>
      <w:r>
        <w:rPr>
          <w:rStyle w:val="FootnoteReference"/>
        </w:rPr>
        <w:footnoteReference w:id="1538"/>
      </w:r>
      <w:r>
        <w:t xml:space="preserve">.</w:t>
      </w:r>
    </w:p>
    <w:p>
      <w:pPr>
        <w:numPr>
          <w:ilvl w:val="0"/>
          <w:numId w:val="1180"/>
        </w:numPr>
        <w:pStyle w:val="Compact"/>
      </w:pPr>
      <w:r>
        <w:rPr>
          <w:bCs/>
          <w:b/>
        </w:rPr>
        <w:t xml:space="preserve">Revues sur le dopage :</w:t>
      </w:r>
      <w:r>
        <w:t xml:space="preserve"> </w:t>
      </w:r>
      <w:r>
        <w:t xml:space="preserve">l’IGF-1 et ses analogues sont vantés sur Internet et disponibles sur le marché noir depuis des années</w:t>
      </w:r>
      <w:r>
        <w:rPr>
          <w:rStyle w:val="FootnoteReference"/>
        </w:rPr>
        <w:footnoteReference w:id="1539"/>
      </w:r>
      <w:r>
        <w:t xml:space="preserve">.</w:t>
      </w:r>
    </w:p>
    <w:bookmarkEnd w:id="1540"/>
    <w:bookmarkStart w:id="1548" w:name="études-animales-et-de-laboratoire-32"/>
    <w:p>
      <w:pPr>
        <w:pStyle w:val="Heading3"/>
      </w:pPr>
      <w:r>
        <w:t xml:space="preserve">Études animales et de laboratoire</w:t>
      </w:r>
    </w:p>
    <w:p>
      <w:pPr>
        <w:pStyle w:val="FirstParagraph"/>
      </w:pPr>
      <w:r>
        <w:t xml:space="preserve">Presque toute la recherche sur le LR3 provient de la biologie des animaux d’élevage et du développement :</w:t>
      </w:r>
    </w:p>
    <w:p>
      <w:pPr>
        <w:numPr>
          <w:ilvl w:val="0"/>
          <w:numId w:val="1181"/>
        </w:numPr>
        <w:pStyle w:val="Compact"/>
      </w:pPr>
      <w:r>
        <w:rPr>
          <w:bCs/>
          <w:b/>
        </w:rPr>
        <w:t xml:space="preserve">Rats :</w:t>
      </w:r>
      <w:r>
        <w:t xml:space="preserve"> </w:t>
      </w:r>
      <w:r>
        <w:t xml:space="preserve">distribution rapide dans les tissus, principalement sous forme de peptide libre</w:t>
      </w:r>
      <w:r>
        <w:rPr>
          <w:rStyle w:val="FootnoteReference"/>
        </w:rPr>
        <w:footnoteReference w:id="1541"/>
      </w:r>
      <w:r>
        <w:t xml:space="preserve"> </w:t>
      </w:r>
      <w:r>
        <w:t xml:space="preserve">; effet de croissance plus fort que l’IGF-1 chez des rats diabétiques, sans réduire l’excrétion urinaire de glucose</w:t>
      </w:r>
      <w:r>
        <w:rPr>
          <w:rStyle w:val="FootnoteReference"/>
        </w:rPr>
        <w:footnoteReference w:id="1542"/>
      </w:r>
      <w:r>
        <w:t xml:space="preserve">.</w:t>
      </w:r>
    </w:p>
    <w:p>
      <w:pPr>
        <w:numPr>
          <w:ilvl w:val="0"/>
          <w:numId w:val="1181"/>
        </w:numPr>
        <w:pStyle w:val="Compact"/>
      </w:pPr>
      <w:r>
        <w:rPr>
          <w:bCs/>
          <w:b/>
        </w:rPr>
        <w:t xml:space="preserve">Porcs :</w:t>
      </w:r>
      <w:r>
        <w:t xml:space="preserve"> </w:t>
      </w:r>
      <w:r>
        <w:t xml:space="preserve">une perfusion de quatre jours a</w:t>
      </w:r>
      <w:r>
        <w:t xml:space="preserve"> </w:t>
      </w:r>
      <w:r>
        <w:rPr>
          <w:bCs/>
          <w:b/>
        </w:rPr>
        <w:t xml:space="preserve">réduit</w:t>
      </w:r>
      <w:r>
        <w:t xml:space="preserve"> </w:t>
      </w:r>
      <w:r>
        <w:t xml:space="preserve">chez des porcs d’engraissement la prise de poids et la prise alimentaire et a supprimé les taux endogènes d’hormone de croissance, d’IGF-1, d’IGFBP-3 et d’insuline</w:t>
      </w:r>
      <w:r>
        <w:rPr>
          <w:rStyle w:val="FootnoteReference"/>
        </w:rPr>
        <w:footnoteReference w:id="1543"/>
      </w:r>
      <w:r>
        <w:t xml:space="preserve">.</w:t>
      </w:r>
    </w:p>
    <w:p>
      <w:pPr>
        <w:numPr>
          <w:ilvl w:val="0"/>
          <w:numId w:val="1181"/>
        </w:numPr>
        <w:pStyle w:val="Compact"/>
      </w:pPr>
      <w:r>
        <w:rPr>
          <w:bCs/>
          <w:b/>
        </w:rPr>
        <w:t xml:space="preserve">Cobayes :</w:t>
      </w:r>
      <w:r>
        <w:t xml:space="preserve"> </w:t>
      </w:r>
      <w:r>
        <w:t xml:space="preserve">des organes comme l’intestin, les reins, la rate et les surrénales sont devenus plus lourds, mais la croissance corporelle globale n’a pas augmenté</w:t>
      </w:r>
      <w:r>
        <w:rPr>
          <w:rStyle w:val="FootnoteReference"/>
        </w:rPr>
        <w:footnoteReference w:id="1544"/>
      </w:r>
      <w:r>
        <w:t xml:space="preserve">.</w:t>
      </w:r>
    </w:p>
    <w:p>
      <w:pPr>
        <w:numPr>
          <w:ilvl w:val="0"/>
          <w:numId w:val="1181"/>
        </w:numPr>
        <w:pStyle w:val="Compact"/>
      </w:pPr>
      <w:r>
        <w:rPr>
          <w:bCs/>
          <w:b/>
        </w:rPr>
        <w:t xml:space="preserve">Fœtus de mouton :</w:t>
      </w:r>
      <w:r>
        <w:t xml:space="preserve"> </w:t>
      </w:r>
      <w:r>
        <w:t xml:space="preserve">chez des fœtus à croissance normale, le LR3 a réduit la sécrétion d’insuline ; une brève perfusion a diminué de 66 % les taux d’insuline lors d’une charge en glucose</w:t>
      </w:r>
      <w:r>
        <w:rPr>
          <w:rStyle w:val="FootnoteReference"/>
        </w:rPr>
        <w:footnoteReference w:id="1545"/>
      </w:r>
      <w:r>
        <w:t xml:space="preserve">. Chez des fœtus à croissance retardée, un traitement d’une semaine n’a pas amélioré la croissance</w:t>
      </w:r>
      <w:r>
        <w:rPr>
          <w:rStyle w:val="FootnoteReference"/>
        </w:rPr>
        <w:footnoteReference w:id="1546"/>
      </w:r>
      <w:r>
        <w:t xml:space="preserve">.</w:t>
      </w:r>
    </w:p>
    <w:p>
      <w:pPr>
        <w:numPr>
          <w:ilvl w:val="0"/>
          <w:numId w:val="1181"/>
        </w:numPr>
        <w:pStyle w:val="Compact"/>
      </w:pPr>
      <w:r>
        <w:rPr>
          <w:bCs/>
          <w:b/>
        </w:rPr>
        <w:t xml:space="preserve">Souris :</w:t>
      </w:r>
      <w:r>
        <w:t xml:space="preserve"> </w:t>
      </w:r>
      <w:r>
        <w:t xml:space="preserve">dans un modèle de la maladie d’Alzheimer, le LR3 en spray nasal a modifié les dépôts amyloïdes, mais n’a pas empêché la perte de mémoire</w:t>
      </w:r>
      <w:r>
        <w:rPr>
          <w:rStyle w:val="FootnoteReference"/>
        </w:rPr>
        <w:footnoteReference w:id="1547"/>
      </w:r>
      <w:r>
        <w:t xml:space="preserve">.</w:t>
      </w:r>
    </w:p>
    <w:p>
      <w:pPr>
        <w:pStyle w:val="FirstParagraph"/>
      </w:pPr>
      <w:r>
        <w:t xml:space="preserve">Les données animales sont contradictoires : selon l’espèce, le LR3 favorisait la croissance, était sans effet, voire inhibait la croissance. Une transposition à l’humain n’est pas possible.</w:t>
      </w:r>
    </w:p>
    <w:bookmarkEnd w:id="1548"/>
    <w:bookmarkStart w:id="1555" w:name="risques-et-effets-indésirables-32"/>
    <w:p>
      <w:pPr>
        <w:pStyle w:val="Heading3"/>
      </w:pPr>
      <w:r>
        <w:t xml:space="preserve">Risques et effets indésirables</w:t>
      </w:r>
    </w:p>
    <w:p>
      <w:pPr>
        <w:pStyle w:val="FirstParagraph"/>
      </w:pPr>
      <w:r>
        <w:t xml:space="preserve">Comme il n’existe pas d’études chez l’humain, les risques ne peuvent être déduits que de la biologie et de l’expérience avec l’IGF-1 naturel (mécasermine). Ces déductions sont</w:t>
      </w:r>
      <w:r>
        <w:t xml:space="preserve"> </w:t>
      </w:r>
      <w:r>
        <w:rPr>
          <w:bCs/>
          <w:b/>
        </w:rPr>
        <w:t xml:space="preserve">théoriques</w:t>
      </w:r>
      <w:r>
        <w:t xml:space="preserve">, mais bien fondées :</w:t>
      </w:r>
    </w:p>
    <w:p>
      <w:pPr>
        <w:numPr>
          <w:ilvl w:val="0"/>
          <w:numId w:val="1182"/>
        </w:numPr>
        <w:pStyle w:val="Compact"/>
      </w:pPr>
      <w:r>
        <w:rPr>
          <w:bCs/>
          <w:b/>
        </w:rPr>
        <w:t xml:space="preserve">Hypoglycémie :</w:t>
      </w:r>
      <w:r>
        <w:t xml:space="preserve"> </w:t>
      </w:r>
      <w:r>
        <w:t xml:space="preserve">à dose plus élevée, l’IGF-1 agit de manière semblable à l’insuline. Avec la mécasermine autorisée, l’hypoglycémie est l’effet indésirable le plus fréquent, bien que le tampon des protéines de liaison y soit largement préservé</w:t>
      </w:r>
      <w:r>
        <w:rPr>
          <w:rStyle w:val="FootnoteReference"/>
        </w:rPr>
        <w:footnoteReference w:id="1549"/>
      </w:r>
      <w:r>
        <w:t xml:space="preserve">. Un analogue qui échappe délibérément à ce tampon pourrait agir plus fortement et de façon moins prévisible. Cela n’a pas été mesuré chez l’humain. Dans les expérimentations animales, les taux d’insuline ont parfois baissé</w:t>
      </w:r>
      <w:r>
        <w:rPr>
          <w:rStyle w:val="FootnoteReference"/>
        </w:rPr>
        <w:footnoteReference w:id="1550"/>
      </w:r>
      <w:r>
        <w:t xml:space="preserve">, ce qui pourrait modifier davantage encore la régulation de la glycémie.</w:t>
      </w:r>
    </w:p>
    <w:p>
      <w:pPr>
        <w:numPr>
          <w:ilvl w:val="0"/>
          <w:numId w:val="1182"/>
        </w:numPr>
        <w:pStyle w:val="Compact"/>
      </w:pPr>
      <w:r>
        <w:rPr>
          <w:bCs/>
          <w:b/>
        </w:rPr>
        <w:t xml:space="preserve">Croissance des organes et des tissus :</w:t>
      </w:r>
      <w:r>
        <w:t xml:space="preserve"> </w:t>
      </w:r>
      <w:r>
        <w:t xml:space="preserve">chez le cobaye, des organes internes ont grossi</w:t>
      </w:r>
      <w:r>
        <w:rPr>
          <w:rStyle w:val="FootnoteReference"/>
        </w:rPr>
        <w:footnoteReference w:id="1551"/>
      </w:r>
      <w:r>
        <w:t xml:space="preserve">. On ignore si quelque chose de semblable se produit chez l’humain.</w:t>
      </w:r>
    </w:p>
    <w:p>
      <w:pPr>
        <w:numPr>
          <w:ilvl w:val="0"/>
          <w:numId w:val="1182"/>
        </w:numPr>
        <w:pStyle w:val="Compact"/>
      </w:pPr>
      <w:r>
        <w:rPr>
          <w:bCs/>
          <w:b/>
        </w:rPr>
        <w:t xml:space="preserve">Théorie du cancer :</w:t>
      </w:r>
      <w:r>
        <w:t xml:space="preserve"> </w:t>
      </w:r>
      <w:r>
        <w:t xml:space="preserve">l’IGF-1 favorise la division et la survie cellulaires. Des taux d’IGF-1 plus élevés sont associés, dans de grandes études observationnelles et génétiques, à un risque légèrement plus élevé de cancer du sein et de la prostate</w:t>
      </w:r>
      <w:r>
        <w:rPr>
          <w:rStyle w:val="FootnoteReference"/>
        </w:rPr>
        <w:footnoteReference w:id="1552"/>
      </w:r>
      <w:r>
        <w:t xml:space="preserve">, et les personnes atteintes d’un déficit congénital en IGF-1 développent remarquablement rarement un cancer</w:t>
      </w:r>
      <w:r>
        <w:rPr>
          <w:rStyle w:val="FootnoteReference"/>
        </w:rPr>
        <w:footnoteReference w:id="1553"/>
      </w:r>
      <w:r>
        <w:t xml:space="preserve">. Un analogue qui agit plus fortement et sans tampon sur le récepteur de l’IGF-1 renforce précisément cette voie de signalisation. On n’a pas étudié si cela augmente de façon mesurable le risque de cancer chez l’humain – et on ne le fera pas, faute d’études. La crainte repose sur la plausibilité, non sur des rapports de cas.</w:t>
      </w:r>
    </w:p>
    <w:p>
      <w:pPr>
        <w:numPr>
          <w:ilvl w:val="0"/>
          <w:numId w:val="1182"/>
        </w:numPr>
        <w:pStyle w:val="Compact"/>
      </w:pPr>
      <w:r>
        <w:rPr>
          <w:bCs/>
          <w:b/>
        </w:rPr>
        <w:t xml:space="preserve">Qualité des produits :</w:t>
      </w:r>
      <w:r>
        <w:t xml:space="preserve"> </w:t>
      </w:r>
      <w:r>
        <w:t xml:space="preserve">les préparations du marché noir analysées contenaient des variantes de laboratoire avec appendice de purification et des peptides oxydés</w:t>
      </w:r>
      <w:r>
        <w:rPr>
          <w:rStyle w:val="FootnoteReference"/>
        </w:rPr>
        <w:footnoteReference w:id="1554"/>
      </w:r>
      <w:r>
        <w:t xml:space="preserve">. S’y ajoutent les risques généraux des injections non stériles. Les réactifs de culture cellulaire ne sont soumis à aucun contrôle pharmaceutique.</w:t>
      </w:r>
    </w:p>
    <w:bookmarkEnd w:id="1555"/>
    <w:bookmarkStart w:id="1557" w:name="statut-juridique-32"/>
    <w:p>
      <w:pPr>
        <w:pStyle w:val="Heading3"/>
      </w:pPr>
      <w:r>
        <w:t xml:space="preserve">Statut juridique</w:t>
      </w:r>
    </w:p>
    <w:p>
      <w:pPr>
        <w:pStyle w:val="FirstParagraph"/>
      </w:pPr>
      <w:r>
        <w:rPr>
          <w:iCs/>
          <w:i/>
        </w:rPr>
        <w:t xml:space="preserve">État 2026, à vérifier.</w:t>
      </w:r>
    </w:p>
    <w:p>
      <w:pPr>
        <w:numPr>
          <w:ilvl w:val="0"/>
          <w:numId w:val="1183"/>
        </w:numPr>
        <w:pStyle w:val="Compact"/>
      </w:pPr>
      <w:r>
        <w:rPr>
          <w:bCs/>
          <w:b/>
        </w:rPr>
        <w:t xml:space="preserve">UE, Allemagne, Autriche :</w:t>
      </w:r>
      <w:r>
        <w:t xml:space="preserve"> </w:t>
      </w:r>
      <w:r>
        <w:t xml:space="preserve">pas un médicament, aucune autorisation, ni même demandée. En tant que réactif de laboratoire, il peut être vendu pour la recherche ; la remise en vue d’un usage humain est illicite au regard des lois sur le médicament.</w:t>
      </w:r>
    </w:p>
    <w:p>
      <w:pPr>
        <w:numPr>
          <w:ilvl w:val="0"/>
          <w:numId w:val="1183"/>
        </w:numPr>
        <w:pStyle w:val="Compact"/>
      </w:pPr>
      <w:r>
        <w:rPr>
          <w:bCs/>
          <w:b/>
        </w:rPr>
        <w:t xml:space="preserve">États-Unis :</w:t>
      </w:r>
      <w:r>
        <w:t xml:space="preserve"> </w:t>
      </w:r>
      <w:r>
        <w:t xml:space="preserve">aucune autorisation ; distribution uniquement comme produit chimique de recherche.</w:t>
      </w:r>
    </w:p>
    <w:p>
      <w:pPr>
        <w:numPr>
          <w:ilvl w:val="0"/>
          <w:numId w:val="1183"/>
        </w:numPr>
        <w:pStyle w:val="Compact"/>
      </w:pPr>
      <w:r>
        <w:rPr>
          <w:bCs/>
          <w:b/>
        </w:rPr>
        <w:t xml:space="preserve">AMA (WADA) :</w:t>
      </w:r>
      <w:r>
        <w:t xml:space="preserve"> </w:t>
      </w:r>
      <w:r>
        <w:t xml:space="preserve">interdit (S2). Une méthode de détection du LR3 et d’analogues apparentés de l’IGF-1 dans le sang a été mise au point ; chez le rat, le LR3 inchangé disparaissait dès environ 4 heures, et les produits de dégradation étaient détectables jusqu’à 16 heures</w:t>
      </w:r>
      <w:r>
        <w:rPr>
          <w:rStyle w:val="FootnoteReference"/>
        </w:rPr>
        <w:footnoteReference w:id="1556"/>
      </w:r>
      <w:r>
        <w:t xml:space="preserve">.</w:t>
      </w:r>
    </w:p>
    <w:bookmarkEnd w:id="1557"/>
    <w:bookmarkStart w:id="1558" w:name="études-en-cours-et-perspectives-32"/>
    <w:p>
      <w:pPr>
        <w:pStyle w:val="Heading3"/>
      </w:pPr>
      <w:r>
        <w:t xml:space="preserve">Études en cours et perspectives</w:t>
      </w:r>
    </w:p>
    <w:p>
      <w:pPr>
        <w:pStyle w:val="FirstParagraph"/>
      </w:pPr>
      <w:r>
        <w:t xml:space="preserve">En octobre 2026, ClinicalTrials.gov ne recense aucune étude avec l’IGF-1 LR3.</w:t>
      </w:r>
      <w:r>
        <w:t xml:space="preserve"> </w:t>
      </w:r>
      <w:r>
        <w:rPr>
          <w:iCs/>
          <w:i/>
        </w:rPr>
        <w:t xml:space="preserve">Appréciation de l’auteur :</w:t>
      </w:r>
      <w:r>
        <w:t xml:space="preserve"> </w:t>
      </w:r>
      <w:r>
        <w:t xml:space="preserve">un développement en tant que médicament n’est pas à attendre. Le LR3 reste un outil pour la culture cellulaire et la recherche animale.</w:t>
      </w:r>
    </w:p>
    <w:bookmarkEnd w:id="1558"/>
    <w:bookmarkStart w:id="1559" w:name="conclusion-32"/>
    <w:p>
      <w:pPr>
        <w:pStyle w:val="Heading3"/>
      </w:pPr>
      <w:r>
        <w:t xml:space="preserve">Conclusion</w:t>
      </w:r>
    </w:p>
    <w:p>
      <w:pPr>
        <w:pStyle w:val="FirstParagraph"/>
      </w:pPr>
      <w:r>
        <w:t xml:space="preserve">L’IGF-1 LR3 est un réactif de laboratoire qui n’a jamais été étudié chez l’humain. Dans les expérimentations animales, il a, selon l’espèce, favorisé la croissance, été sans effet, voire inhibé la croissance. Sa propriété particulière – l’absence de liaison aux protéines de liaison qui jouent le rôle de tampon – laisse attendre un risque plus élevé d’hypoglycémie et une signalisation de croissance renforcée. Il est démontré que des produits du marché noir contenaient des variantes de laboratoire qui n’ont jamais été destinées à l’injection.</w:t>
      </w:r>
    </w:p>
    <w:bookmarkEnd w:id="1559"/>
    <w:bookmarkEnd w:id="1560"/>
    <w:bookmarkStart w:id="1602" w:name="ibutamorène-mk-677"/>
    <w:p>
      <w:pPr>
        <w:pStyle w:val="Heading2"/>
      </w:pPr>
      <w:r>
        <w:t xml:space="preserve">Ibutamorène (MK-677)</w:t>
      </w:r>
    </w:p>
    <w:p>
      <w:pPr>
        <w:pStyle w:val="FirstParagraph"/>
      </w:pPr>
      <w:r>
        <w:rPr>
          <w:iCs/>
          <w:i/>
        </w:rPr>
        <w:t xml:space="preserve">Chapitre de comparaison :</w:t>
      </w:r>
      <w:r>
        <w:t xml:space="preserve"> </w:t>
      </w:r>
      <w:r>
        <w:t xml:space="preserve">l’ibutamorène n’est pas un peptide. C’est une petite molécule de synthèse qui s’avale sous forme de comprimé ou de liquide – et c’est précisément pour cela qu’elle figure dans ce livre : à titre de comparaison. Elle agit sur le même récepteur que l’ipamoréline, le GHRP-2 ou l’hexaréline, à savoir le récepteur de la ghréline, et élève l’hormone de croissance et l’IGF-1 pendant des mois. L’ibutamorène a été testé dans les années 1990 et 2000 par le laboratoire pharmaceutique Merck dans plusieurs études randomisées assez vastes. Ces études montrent assez précisément ce qu’apporte une stimulation durable de l’axe de l’hormone de croissance chez les personnes âgées – et où se situent les risques. Sur le marché gris, l’ibutamorène est aujourd’hui le plus souvent vendu comme « complément de type SARM ».</w:t>
      </w:r>
    </w:p>
    <w:bookmarkStart w:id="1562" w:name="fiche-signalétique-33"/>
    <w:p>
      <w:pPr>
        <w:pStyle w:val="Heading3"/>
      </w:pPr>
      <w:r>
        <w:t xml:space="preserve">Fiche signalétique</w:t>
      </w:r>
    </w:p>
    <w:p>
      <w:pPr>
        <w:numPr>
          <w:ilvl w:val="0"/>
          <w:numId w:val="1184"/>
        </w:numPr>
        <w:pStyle w:val="Compact"/>
      </w:pPr>
      <w:r>
        <w:rPr>
          <w:bCs/>
          <w:b/>
        </w:rPr>
        <w:t xml:space="preserve">Nature et structure :</w:t>
      </w:r>
      <w:r>
        <w:t xml:space="preserve"> </w:t>
      </w:r>
      <w:r>
        <w:t xml:space="preserve">petite molécule de synthèse, pas un peptide (« non-peptide agonist » ; Liu 2021, PMID 34737341) ; active par voie orale. Noms de développement MK-677 ou MK-0677, aujourd’hui en développement sous le nom de LUM-201</w:t>
      </w:r>
      <w:r>
        <w:rPr>
          <w:rStyle w:val="FootnoteReference"/>
        </w:rPr>
        <w:footnoteReference w:id="1561"/>
      </w:r>
      <w:r>
        <w:t xml:space="preserve">.</w:t>
      </w:r>
    </w:p>
    <w:p>
      <w:pPr>
        <w:numPr>
          <w:ilvl w:val="0"/>
          <w:numId w:val="1184"/>
        </w:numPr>
        <w:pStyle w:val="Compact"/>
      </w:pPr>
      <w:r>
        <w:rPr>
          <w:bCs/>
          <w:b/>
        </w:rPr>
        <w:t xml:space="preserve">Origine :</w:t>
      </w:r>
      <w:r>
        <w:t xml:space="preserve"> </w:t>
      </w:r>
      <w:r>
        <w:t xml:space="preserve">développé par Merck (États-Unis) dans les années 1990 comme « peptidomimétique » des peptides libérant l’hormone de croissance.</w:t>
      </w:r>
    </w:p>
    <w:p>
      <w:pPr>
        <w:numPr>
          <w:ilvl w:val="0"/>
          <w:numId w:val="1184"/>
        </w:numPr>
        <w:pStyle w:val="Compact"/>
      </w:pPr>
      <w:r>
        <w:rPr>
          <w:bCs/>
          <w:b/>
        </w:rPr>
        <w:t xml:space="preserve">Principe d’action :</w:t>
      </w:r>
      <w:r>
        <w:t xml:space="preserve"> </w:t>
      </w:r>
      <w:r>
        <w:t xml:space="preserve">agoniste du récepteur de la ghréline (GHS-R1a) ; amplifie les pics de GH existants et élève durablement l’IGF-1 ; augmente l’appétit.</w:t>
      </w:r>
    </w:p>
    <w:p>
      <w:pPr>
        <w:numPr>
          <w:ilvl w:val="0"/>
          <w:numId w:val="1184"/>
        </w:numPr>
        <w:pStyle w:val="Compact"/>
      </w:pPr>
      <w:r>
        <w:rPr>
          <w:bCs/>
          <w:b/>
        </w:rPr>
        <w:t xml:space="preserve">Autorisation UE :</w:t>
      </w:r>
      <w:r>
        <w:t xml:space="preserve"> </w:t>
      </w:r>
      <w:r>
        <w:t xml:space="preserve">non.</w:t>
      </w:r>
      <w:r>
        <w:t xml:space="preserve"> </w:t>
      </w:r>
      <w:r>
        <w:rPr>
          <w:bCs/>
          <w:b/>
        </w:rPr>
        <w:t xml:space="preserve">Autorisation États-Unis :</w:t>
      </w:r>
      <w:r>
        <w:t xml:space="preserve"> </w:t>
      </w:r>
      <w:r>
        <w:t xml:space="preserve">non.</w:t>
      </w:r>
    </w:p>
    <w:p>
      <w:pPr>
        <w:numPr>
          <w:ilvl w:val="0"/>
          <w:numId w:val="1184"/>
        </w:numPr>
        <w:pStyle w:val="Compact"/>
      </w:pPr>
      <w:r>
        <w:rPr>
          <w:bCs/>
          <w:b/>
        </w:rPr>
        <w:t xml:space="preserve">AMA (WADA) :</w:t>
      </w:r>
      <w:r>
        <w:t xml:space="preserve"> </w:t>
      </w:r>
      <w:r>
        <w:t xml:space="preserve">interdit, classe S2 (sécrétagogues de l’hormone de croissance ; l’ibutamorène est expressément nommé).</w:t>
      </w:r>
    </w:p>
    <w:p>
      <w:pPr>
        <w:numPr>
          <w:ilvl w:val="0"/>
          <w:numId w:val="1184"/>
        </w:numPr>
        <w:pStyle w:val="Compact"/>
      </w:pPr>
      <w:r>
        <w:rPr>
          <w:bCs/>
          <w:b/>
        </w:rPr>
        <w:t xml:space="preserve">Niveau de preuve : B</w:t>
      </w:r>
      <w:r>
        <w:t xml:space="preserve"> </w:t>
      </w:r>
      <w:r>
        <w:t xml:space="preserve">– plusieurs études randomisées contrôlées contre placebo portant sur jusqu’à 563 participants, mais aucune autorisation et aucune étude avec un résultat clinique principal positif.</w:t>
      </w:r>
    </w:p>
    <w:bookmarkEnd w:id="1562"/>
    <w:bookmarkStart w:id="1564" w:name="mode-daction-supposé-33"/>
    <w:p>
      <w:pPr>
        <w:pStyle w:val="Heading3"/>
      </w:pPr>
      <w:r>
        <w:t xml:space="preserve">Mode d’action supposé</w:t>
      </w:r>
    </w:p>
    <w:p>
      <w:pPr>
        <w:pStyle w:val="FirstParagraph"/>
      </w:pPr>
      <w:r>
        <w:t xml:space="preserve">L’ibutamorène imite la ghréline. Contrairement aux peptides du groupe, il n’est pas détruit dans l’estomac et agit assez longtemps pour amplifier, avec une prise quotidienne, la sécrétion d’hormone de croissance 24 heures sur 24. Chez des personnes âgées en bonne santé, il a presque doublé dans une étude la concentration moyenne sur 24 heures de l’hormone de croissance ; le nombre de pics de GH est resté le même, leur amplitude a augmenté. Après quatre semaines, l’IGF-1 atteignait des valeurs comparables à celles de jeunes adultes</w:t>
      </w:r>
      <w:r>
        <w:rPr>
          <w:rStyle w:val="FootnoteReference"/>
        </w:rPr>
        <w:footnoteReference w:id="1563"/>
      </w:r>
      <w:r>
        <w:t xml:space="preserve">.</w:t>
      </w:r>
    </w:p>
    <w:p>
      <w:pPr>
        <w:pStyle w:val="BodyText"/>
      </w:pPr>
      <w:r>
        <w:t xml:space="preserve">L’espoir de Merck était de compenser ainsi le déclin de l’axe de l’hormone de croissance avec l’âge, appelé « somatopause » : fonte musculaire (sarcopénie), fragilité, perte osseuse et récupération lente après des blessures.</w:t>
      </w:r>
    </w:p>
    <w:bookmarkEnd w:id="1564"/>
    <w:bookmarkStart w:id="1579" w:name="études-chez-lhumain-33"/>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19</w:t>
      </w:r>
      <w:r>
        <w:t xml:space="preserve"> </w:t>
      </w:r>
      <w:r>
        <w:t xml:space="preserve">études chez l’humain dans PubMed (</w:t>
      </w:r>
      <w:r>
        <w:rPr>
          <w:rStyle w:val="VerbatimChar"/>
        </w:rPr>
        <w:t xml:space="preserve">humanstudien_alle</w:t>
      </w:r>
      <w:r>
        <w:t xml:space="preserve">) et</w:t>
      </w:r>
      <w:r>
        <w:t xml:space="preserve"> </w:t>
      </w:r>
      <w:r>
        <w:rPr>
          <w:bCs/>
          <w:b/>
        </w:rPr>
        <w:t xml:space="preserve">8</w:t>
      </w:r>
      <w:r>
        <w:t xml:space="preserve"> </w:t>
      </w:r>
      <w:r>
        <w:t xml:space="preserve">entrées sur ClinicalTrials.gov.</w:t>
      </w:r>
    </w:p>
    <w:bookmarkStart w:id="1566" w:name="adultes-âgés-en-bonne-santé"/>
    <w:p>
      <w:pPr>
        <w:pStyle w:val="Heading4"/>
      </w:pPr>
      <w:r>
        <w:t xml:space="preserve">Adultes âgés en bonne santé</w:t>
      </w:r>
    </w:p>
    <w:p>
      <w:pPr>
        <w:pStyle w:val="FirstParagraph"/>
      </w:pPr>
      <w:r>
        <w:t xml:space="preserve">L’étude la plus importante a duré deux ans : 65 femmes et hommes en bonne santé âgés de 60 à 81 ans ont reçu chaque jour de l’ibutamorène ou un placebo. L’hormone de croissance et l’IGF-1 ont augmenté jusqu’à des valeurs de jeunes adultes. La masse maigre a augmenté de 1,1 kg sous ibutamorène et diminué de 0,5 kg sous placebo. La graisse abdominale n’a pas changé, le poids corporel a augmenté de 2,7 kg (placebo : 0,8 kg), et la graisse des bras et des jambes a augmenté davantage. L’augmentation de la masse maigre ne s’est</w:t>
      </w:r>
      <w:r>
        <w:t xml:space="preserve"> </w:t>
      </w:r>
      <w:r>
        <w:rPr>
          <w:bCs/>
          <w:b/>
        </w:rPr>
        <w:t xml:space="preserve">pas</w:t>
      </w:r>
      <w:r>
        <w:t xml:space="preserve"> </w:t>
      </w:r>
      <w:r>
        <w:t xml:space="preserve">traduite par plus de force ni par une meilleure fonction ; les auteurs reconnaissent que l’étude était trop petite pour cela. La glycémie à jeun a augmenté en moyenne de 0,3 mmol/l (5 mg/dl), et la sensibilité à l’insuline a diminué. Les effets indésirables les plus fréquents étaient une augmentation initiale de l’appétit, de légers œdèmes des jambes et des douleurs musculaires</w:t>
      </w:r>
      <w:r>
        <w:rPr>
          <w:rStyle w:val="FootnoteReference"/>
        </w:rPr>
        <w:footnoteReference w:id="1565"/>
      </w:r>
      <w:r>
        <w:t xml:space="preserve">.</w:t>
      </w:r>
    </w:p>
    <w:bookmarkEnd w:id="1566"/>
    <w:bookmarkStart w:id="1569" w:name="fracture-de-la-hanche"/>
    <w:p>
      <w:pPr>
        <w:pStyle w:val="Heading4"/>
      </w:pPr>
      <w:r>
        <w:t xml:space="preserve">Fracture de la hanche</w:t>
      </w:r>
    </w:p>
    <w:p>
      <w:pPr>
        <w:pStyle w:val="FirstParagraph"/>
      </w:pPr>
      <w:r>
        <w:t xml:space="preserve">Deux études ont vérifié si l’ibutamorène aide les personnes âgées à se remettre sur pied après une fracture de la hanche :</w:t>
      </w:r>
    </w:p>
    <w:p>
      <w:pPr>
        <w:numPr>
          <w:ilvl w:val="0"/>
          <w:numId w:val="1185"/>
        </w:numPr>
        <w:pStyle w:val="Compact"/>
      </w:pPr>
      <w:r>
        <w:t xml:space="preserve">Dans la première étude, portant sur 161 patientes et patients de 13 centres, l’IGF-1 a augmenté de 84 % (placebo : 17 %). Les tests fonctionnels ont montré en partie des tendances favorables, mais aucune différence statistiquement significative</w:t>
      </w:r>
      <w:r>
        <w:rPr>
          <w:rStyle w:val="FootnoteReference"/>
        </w:rPr>
        <w:footnoteReference w:id="1567"/>
      </w:r>
      <w:r>
        <w:t xml:space="preserve">.</w:t>
      </w:r>
    </w:p>
    <w:p>
      <w:pPr>
        <w:numPr>
          <w:ilvl w:val="0"/>
          <w:numId w:val="1185"/>
        </w:numPr>
        <w:pStyle w:val="Compact"/>
      </w:pPr>
      <w:r>
        <w:t xml:space="preserve">La deuxième étude, portant sur 123 patientes et patients, a été</w:t>
      </w:r>
      <w:r>
        <w:t xml:space="preserve"> </w:t>
      </w:r>
      <w:r>
        <w:rPr>
          <w:bCs/>
          <w:b/>
        </w:rPr>
        <w:t xml:space="preserve">interrompue prématurément parce qu’une insuffisance cardiaque est survenue chez un nombre limité de personnes traitées</w:t>
      </w:r>
      <w:r>
        <w:t xml:space="preserve">. La vitesse de marche s’était légèrement améliorée, la plupart des autres mesures fonctionnelles non ; les auteurs ont jugé le profil de sécurité défavorable dans ce groupe de patients</w:t>
      </w:r>
      <w:r>
        <w:rPr>
          <w:rStyle w:val="FootnoteReference"/>
        </w:rPr>
        <w:footnoteReference w:id="1568"/>
      </w:r>
      <w:r>
        <w:t xml:space="preserve">.</w:t>
      </w:r>
    </w:p>
    <w:p>
      <w:pPr>
        <w:pStyle w:val="FirstParagraph"/>
      </w:pPr>
      <w:r>
        <w:t xml:space="preserve">Une autre entrée de Merck sur la sarcopénie après fracture de la hanche (NCT00128115, 83 personnes) est indiquée comme interrompue, sans mention de motifs ni de résultats.</w:t>
      </w:r>
    </w:p>
    <w:bookmarkEnd w:id="1569"/>
    <w:bookmarkStart w:id="1571" w:name="maladie-dalzheimer"/>
    <w:p>
      <w:pPr>
        <w:pStyle w:val="Heading4"/>
      </w:pPr>
      <w:r>
        <w:t xml:space="preserve">Maladie d’Alzheimer</w:t>
      </w:r>
    </w:p>
    <w:p>
      <w:pPr>
        <w:pStyle w:val="FirstParagraph"/>
      </w:pPr>
      <w:r>
        <w:t xml:space="preserve">Dans une grande étude, 563 personnes atteintes d’une démence d’Alzheimer légère à modérée ont reçu pendant un an de l’ibutamorène ou un placebo. L’IGF-1 a augmenté de 60,1 % après six semaines et de 72,9 % après douze mois. Sur aucune des quatre échelles de performance cognitive, d’autonomie au quotidien et d’impression globale, l’évolution ne différait du placebo</w:t>
      </w:r>
      <w:r>
        <w:rPr>
          <w:rStyle w:val="FootnoteReference"/>
        </w:rPr>
        <w:footnoteReference w:id="1570"/>
      </w:r>
      <w:r>
        <w:t xml:space="preserve">.</w:t>
      </w:r>
    </w:p>
    <w:bookmarkEnd w:id="1571"/>
    <w:bookmarkStart w:id="1578" w:name="autres-études-1"/>
    <w:p>
      <w:pPr>
        <w:pStyle w:val="Heading4"/>
      </w:pPr>
      <w:r>
        <w:t xml:space="preserve">Autres études</w:t>
      </w:r>
    </w:p>
    <w:p>
      <w:pPr>
        <w:numPr>
          <w:ilvl w:val="0"/>
          <w:numId w:val="1186"/>
        </w:numPr>
        <w:pStyle w:val="Compact"/>
      </w:pPr>
      <w:r>
        <w:rPr>
          <w:bCs/>
          <w:b/>
        </w:rPr>
        <w:t xml:space="preserve">Hommes en surpoids :</w:t>
      </w:r>
      <w:r>
        <w:t xml:space="preserve"> </w:t>
      </w:r>
      <w:r>
        <w:t xml:space="preserve">chez 24 hommes, la masse maigre a augmenté sur huit semaines, la graisse totale et abdominale n’a pas changé ; lors de l’épreuve de charge en glucose, la régulation de la glycémie s’est détériorée</w:t>
      </w:r>
      <w:r>
        <w:rPr>
          <w:rStyle w:val="FootnoteReference"/>
        </w:rPr>
        <w:footnoteReference w:id="1572"/>
      </w:r>
      <w:r>
        <w:t xml:space="preserve">.</w:t>
      </w:r>
    </w:p>
    <w:p>
      <w:pPr>
        <w:numPr>
          <w:ilvl w:val="0"/>
          <w:numId w:val="1186"/>
        </w:numPr>
        <w:pStyle w:val="Compact"/>
      </w:pPr>
      <w:r>
        <w:rPr>
          <w:bCs/>
          <w:b/>
        </w:rPr>
        <w:t xml:space="preserve">Ostéoporose :</w:t>
      </w:r>
      <w:r>
        <w:t xml:space="preserve"> </w:t>
      </w:r>
      <w:r>
        <w:t xml:space="preserve">chez 292 femmes ménopausées, l’ibutamorène associé au médicament osseux alendronate n’a augmenté la densité osseuse davantage que l’alendronate seul qu’au col du fémur, pas à la colonne vertébrale ni à la hanche totale</w:t>
      </w:r>
      <w:r>
        <w:rPr>
          <w:rStyle w:val="FootnoteReference"/>
        </w:rPr>
        <w:footnoteReference w:id="1573"/>
      </w:r>
      <w:r>
        <w:t xml:space="preserve">.</w:t>
      </w:r>
    </w:p>
    <w:p>
      <w:pPr>
        <w:numPr>
          <w:ilvl w:val="0"/>
          <w:numId w:val="1186"/>
        </w:numPr>
        <w:pStyle w:val="Compact"/>
      </w:pPr>
      <w:r>
        <w:rPr>
          <w:bCs/>
          <w:b/>
        </w:rPr>
        <w:t xml:space="preserve">Sommeil :</w:t>
      </w:r>
      <w:r>
        <w:t xml:space="preserve"> </w:t>
      </w:r>
      <w:r>
        <w:t xml:space="preserve">dans de petites études portant sur huit personnes jeunes et six personnes âgées, le sommeil profond et le sommeil paradoxal se sont respectivement allongés</w:t>
      </w:r>
      <w:r>
        <w:rPr>
          <w:rStyle w:val="FootnoteReference"/>
        </w:rPr>
        <w:footnoteReference w:id="1574"/>
      </w:r>
      <w:r>
        <w:t xml:space="preserve">.</w:t>
      </w:r>
    </w:p>
    <w:p>
      <w:pPr>
        <w:numPr>
          <w:ilvl w:val="0"/>
          <w:numId w:val="1186"/>
        </w:numPr>
        <w:pStyle w:val="Compact"/>
      </w:pPr>
      <w:r>
        <w:rPr>
          <w:bCs/>
          <w:b/>
        </w:rPr>
        <w:t xml:space="preserve">Dialyse :</w:t>
      </w:r>
      <w:r>
        <w:t xml:space="preserve"> </w:t>
      </w:r>
      <w:r>
        <w:t xml:space="preserve">chez 22 patientes et patients dialysés, l’IGF-1 a augmenté de 65 % de plus que sous placebo, sans effets indésirables graves</w:t>
      </w:r>
      <w:r>
        <w:rPr>
          <w:rStyle w:val="FootnoteReference"/>
        </w:rPr>
        <w:footnoteReference w:id="1575"/>
      </w:r>
      <w:r>
        <w:t xml:space="preserve">.</w:t>
      </w:r>
    </w:p>
    <w:p>
      <w:pPr>
        <w:numPr>
          <w:ilvl w:val="0"/>
          <w:numId w:val="1186"/>
        </w:numPr>
        <w:pStyle w:val="Compact"/>
      </w:pPr>
      <w:r>
        <w:rPr>
          <w:bCs/>
          <w:b/>
        </w:rPr>
        <w:t xml:space="preserve">Enfants présentant un déficit en hormone de croissance :</w:t>
      </w:r>
      <w:r>
        <w:t xml:space="preserve"> </w:t>
      </w:r>
      <w:r>
        <w:t xml:space="preserve">dès 2001, l’ibutamorène a augmenté l’hormone de croissance et l’IGF-1 chez 18 enfants</w:t>
      </w:r>
      <w:r>
        <w:rPr>
          <w:rStyle w:val="FootnoteReference"/>
        </w:rPr>
        <w:footnoteReference w:id="1576"/>
      </w:r>
      <w:r>
        <w:t xml:space="preserve">. Sous le nom de LUM-201, il a déclenché dans une étude portant sur 68 enfants des réponses en GH plus élevées que les tests de stimulation habituels</w:t>
      </w:r>
      <w:r>
        <w:rPr>
          <w:rStyle w:val="FootnoteReference"/>
        </w:rPr>
        <w:footnoteReference w:id="1577"/>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Personnes âgées en bonne santé (Nass 2008), PMID 18981485</w:t>
            </w:r>
          </w:p>
        </w:tc>
        <w:tc>
          <w:tcPr/>
          <w:p>
            <w:pPr>
              <w:pStyle w:val="Compact"/>
              <w:jc w:val="left"/>
            </w:pPr>
            <w:r>
              <w:t xml:space="preserve">65 personnes de 60–81 ans, ECR contre placebo</w:t>
            </w:r>
          </w:p>
        </w:tc>
        <w:tc>
          <w:tcPr/>
          <w:p>
            <w:pPr>
              <w:pStyle w:val="Compact"/>
              <w:jc w:val="left"/>
            </w:pPr>
            <w:r>
              <w:t xml:space="preserve">2 ans</w:t>
            </w:r>
          </w:p>
        </w:tc>
        <w:tc>
          <w:tcPr/>
          <w:p>
            <w:pPr>
              <w:pStyle w:val="Compact"/>
              <w:jc w:val="left"/>
            </w:pPr>
            <w:r>
              <w:t xml:space="preserve">masse maigre +1,1 vs −0,5 kg ; force et fonction inchangées ; glycémie à jeun ↑</w:t>
            </w:r>
          </w:p>
        </w:tc>
      </w:tr>
      <w:tr>
        <w:tc>
          <w:tcPr/>
          <w:p>
            <w:pPr>
              <w:pStyle w:val="Compact"/>
              <w:jc w:val="left"/>
            </w:pPr>
            <w:r>
              <w:t xml:space="preserve">Fracture de la hanche 1 (Bach 2004), PMID 15066065</w:t>
            </w:r>
          </w:p>
        </w:tc>
        <w:tc>
          <w:tcPr/>
          <w:p>
            <w:pPr>
              <w:pStyle w:val="Compact"/>
              <w:jc w:val="left"/>
            </w:pPr>
            <w:r>
              <w:t xml:space="preserve">161 personnes âgées après fracture de la hanche, ECR</w:t>
            </w:r>
          </w:p>
        </w:tc>
        <w:tc>
          <w:tcPr/>
          <w:p>
            <w:pPr>
              <w:pStyle w:val="Compact"/>
              <w:jc w:val="left"/>
            </w:pPr>
            <w:r>
              <w:t xml:space="preserve">6 mois</w:t>
            </w:r>
          </w:p>
        </w:tc>
        <w:tc>
          <w:tcPr/>
          <w:p>
            <w:pPr>
              <w:pStyle w:val="Compact"/>
              <w:jc w:val="left"/>
            </w:pPr>
            <w:r>
              <w:t xml:space="preserve">IGF-1 +84 % ; fonction pas significativement meilleure</w:t>
            </w:r>
          </w:p>
        </w:tc>
      </w:tr>
      <w:tr>
        <w:tc>
          <w:tcPr/>
          <w:p>
            <w:pPr>
              <w:pStyle w:val="Compact"/>
              <w:jc w:val="left"/>
            </w:pPr>
            <w:r>
              <w:t xml:space="preserve">Fracture de la hanche 2 (Adunsky 2011), PMID 21067829</w:t>
            </w:r>
          </w:p>
        </w:tc>
        <w:tc>
          <w:tcPr/>
          <w:p>
            <w:pPr>
              <w:pStyle w:val="Compact"/>
              <w:jc w:val="left"/>
            </w:pPr>
            <w:r>
              <w:t xml:space="preserve">123 personnes âgées après fracture de la hanche, ECR</w:t>
            </w:r>
          </w:p>
        </w:tc>
        <w:tc>
          <w:tcPr/>
          <w:p>
            <w:pPr>
              <w:pStyle w:val="Compact"/>
              <w:jc w:val="left"/>
            </w:pPr>
            <w:r>
              <w:t xml:space="preserve">24 semaines prévues</w:t>
            </w:r>
          </w:p>
        </w:tc>
        <w:tc>
          <w:tcPr/>
          <w:p>
            <w:pPr>
              <w:pStyle w:val="Compact"/>
              <w:jc w:val="left"/>
            </w:pPr>
            <w:r>
              <w:t xml:space="preserve">interruption en raison d’un signal d’insuffisance cardiaque</w:t>
            </w:r>
          </w:p>
        </w:tc>
      </w:tr>
      <w:tr>
        <w:tc>
          <w:tcPr/>
          <w:p>
            <w:pPr>
              <w:pStyle w:val="Compact"/>
              <w:jc w:val="left"/>
            </w:pPr>
            <w:r>
              <w:t xml:space="preserve">Alzheimer (Sevigny 2008), PMID 19015485</w:t>
            </w:r>
          </w:p>
        </w:tc>
        <w:tc>
          <w:tcPr/>
          <w:p>
            <w:pPr>
              <w:pStyle w:val="Compact"/>
              <w:jc w:val="left"/>
            </w:pPr>
            <w:r>
              <w:t xml:space="preserve">563 personnes atteintes d’Alzheimer, ECR</w:t>
            </w:r>
          </w:p>
        </w:tc>
        <w:tc>
          <w:tcPr/>
          <w:p>
            <w:pPr>
              <w:pStyle w:val="Compact"/>
              <w:jc w:val="left"/>
            </w:pPr>
            <w:r>
              <w:t xml:space="preserve">12 mois</w:t>
            </w:r>
          </w:p>
        </w:tc>
        <w:tc>
          <w:tcPr/>
          <w:p>
            <w:pPr>
              <w:pStyle w:val="Compact"/>
              <w:jc w:val="left"/>
            </w:pPr>
            <w:r>
              <w:t xml:space="preserve">IGF-1 +72,9 % ; aucun effet sur l’évolution de la maladie</w:t>
            </w:r>
          </w:p>
        </w:tc>
      </w:tr>
      <w:tr>
        <w:tc>
          <w:tcPr/>
          <w:p>
            <w:pPr>
              <w:pStyle w:val="Compact"/>
              <w:jc w:val="left"/>
            </w:pPr>
            <w:r>
              <w:t xml:space="preserve">Ostéoporose (Murphy 2001), PMID 11238495</w:t>
            </w:r>
          </w:p>
        </w:tc>
        <w:tc>
          <w:tcPr/>
          <w:p>
            <w:pPr>
              <w:pStyle w:val="Compact"/>
              <w:jc w:val="left"/>
            </w:pPr>
            <w:r>
              <w:t xml:space="preserve">292 femmes, ECR avec alendronate</w:t>
            </w:r>
          </w:p>
        </w:tc>
        <w:tc>
          <w:tcPr/>
          <w:p>
            <w:pPr>
              <w:pStyle w:val="Compact"/>
              <w:jc w:val="left"/>
            </w:pPr>
            <w:r>
              <w:t xml:space="preserve">12–18 mois</w:t>
            </w:r>
          </w:p>
        </w:tc>
        <w:tc>
          <w:tcPr/>
          <w:p>
            <w:pPr>
              <w:pStyle w:val="Compact"/>
              <w:jc w:val="left"/>
            </w:pPr>
            <w:r>
              <w:t xml:space="preserve">seule la densité osseuse du col du fémur un peu plus élevée</w:t>
            </w:r>
          </w:p>
        </w:tc>
      </w:tr>
    </w:tbl>
    <w:bookmarkEnd w:id="1578"/>
    <w:bookmarkEnd w:id="1579"/>
    <w:bookmarkStart w:id="1582" w:name="études-animales-et-de-laboratoire-33"/>
    <w:p>
      <w:pPr>
        <w:pStyle w:val="Heading3"/>
      </w:pPr>
      <w:r>
        <w:t xml:space="preserve">Études animales et de laboratoire</w:t>
      </w:r>
    </w:p>
    <w:p>
      <w:pPr>
        <w:pStyle w:val="FirstParagraph"/>
      </w:pPr>
      <w:r>
        <w:t xml:space="preserve">Chez des souris d’un modèle de la maladie d’Alzheimer, l’ibutamorène a réduit les dépôts amyloïdes et les pertes de neurones dans le cerveau</w:t>
      </w:r>
      <w:r>
        <w:rPr>
          <w:rStyle w:val="FootnoteReference"/>
        </w:rPr>
        <w:footnoteReference w:id="1580"/>
      </w:r>
      <w:r>
        <w:t xml:space="preserve"> </w:t>
      </w:r>
      <w:r>
        <w:t xml:space="preserve">– un résultat qui ne s’est pas traduit par un bénéfice clinique dans la grande étude sur Alzheimer chez l’humain. La structure du récepteur de la ghréline lié à l’ibutamorène a été élucidée en 2021</w:t>
      </w:r>
      <w:r>
        <w:rPr>
          <w:rStyle w:val="FootnoteReference"/>
        </w:rPr>
        <w:footnoteReference w:id="1581"/>
      </w:r>
      <w:r>
        <w:t xml:space="preserve">.</w:t>
      </w:r>
    </w:p>
    <w:bookmarkEnd w:id="1582"/>
    <w:bookmarkStart w:id="1593" w:name="risques-et-effets-indésirables-33"/>
    <w:p>
      <w:pPr>
        <w:pStyle w:val="Heading3"/>
      </w:pPr>
      <w:r>
        <w:t xml:space="preserve">Risques et effets indésirables</w:t>
      </w:r>
    </w:p>
    <w:p>
      <w:pPr>
        <w:pStyle w:val="FirstParagraph"/>
      </w:pPr>
      <w:r>
        <w:rPr>
          <w:bCs/>
          <w:b/>
        </w:rPr>
        <w:t xml:space="preserve">Établi par des études randomisées :</w:t>
      </w:r>
    </w:p>
    <w:p>
      <w:pPr>
        <w:numPr>
          <w:ilvl w:val="0"/>
          <w:numId w:val="1187"/>
        </w:numPr>
        <w:pStyle w:val="Compact"/>
      </w:pPr>
      <w:r>
        <w:rPr>
          <w:bCs/>
          <w:b/>
        </w:rPr>
        <w:t xml:space="preserve">Signal d’insuffisance cardiaque :</w:t>
      </w:r>
      <w:r>
        <w:t xml:space="preserve"> </w:t>
      </w:r>
      <w:r>
        <w:t xml:space="preserve">interruption d’une étude chez des personnes âgées après fracture de la hanche en raison de cas d’insuffisance cardiaque</w:t>
      </w:r>
      <w:r>
        <w:rPr>
          <w:rStyle w:val="FootnoteReference"/>
        </w:rPr>
        <w:footnoteReference w:id="1583"/>
      </w:r>
      <w:r>
        <w:t xml:space="preserve">. Le résumé ne précise pas le nombre de cas. La rétention d’eau fait partie des effets connus de taux élevés d’hormone de croissance et sollicite un cœur déjà fragilisé.</w:t>
      </w:r>
    </w:p>
    <w:p>
      <w:pPr>
        <w:numPr>
          <w:ilvl w:val="0"/>
          <w:numId w:val="1187"/>
        </w:numPr>
        <w:pStyle w:val="Compact"/>
      </w:pPr>
      <w:r>
        <w:rPr>
          <w:bCs/>
          <w:b/>
        </w:rPr>
        <w:t xml:space="preserve">Glycémie :</w:t>
      </w:r>
      <w:r>
        <w:t xml:space="preserve"> </w:t>
      </w:r>
      <w:r>
        <w:t xml:space="preserve">hausse de la glycémie à jeun et diminution de la sensibilité à l’insuline</w:t>
      </w:r>
      <w:r>
        <w:rPr>
          <w:rStyle w:val="FootnoteReference"/>
        </w:rPr>
        <w:footnoteReference w:id="1584"/>
      </w:r>
      <w:r>
        <w:t xml:space="preserve"> </w:t>
      </w:r>
      <w:r>
        <w:t xml:space="preserve">; détérioration de la tolérance au glucose chez des hommes en surpoids</w:t>
      </w:r>
      <w:r>
        <w:rPr>
          <w:rStyle w:val="FootnoteReference"/>
        </w:rPr>
        <w:footnoteReference w:id="1585"/>
      </w:r>
      <w:r>
        <w:t xml:space="preserve">.</w:t>
      </w:r>
    </w:p>
    <w:p>
      <w:pPr>
        <w:numPr>
          <w:ilvl w:val="0"/>
          <w:numId w:val="1187"/>
        </w:numPr>
        <w:pStyle w:val="Compact"/>
      </w:pPr>
      <w:r>
        <w:rPr>
          <w:bCs/>
          <w:b/>
        </w:rPr>
        <w:t xml:space="preserve">Prise de poids et appétit :</w:t>
      </w:r>
      <w:r>
        <w:t xml:space="preserve"> </w:t>
      </w:r>
      <w:r>
        <w:t xml:space="preserve">davantage de poids corporel, davantage de graisse aux bras et aux jambes, faim accrue</w:t>
      </w:r>
      <w:r>
        <w:rPr>
          <w:rStyle w:val="FootnoteReference"/>
        </w:rPr>
        <w:footnoteReference w:id="1586"/>
      </w:r>
      <w:r>
        <w:t xml:space="preserve">.</w:t>
      </w:r>
    </w:p>
    <w:p>
      <w:pPr>
        <w:numPr>
          <w:ilvl w:val="0"/>
          <w:numId w:val="1187"/>
        </w:numPr>
        <w:pStyle w:val="Compact"/>
      </w:pPr>
      <w:r>
        <w:rPr>
          <w:bCs/>
          <w:b/>
        </w:rPr>
        <w:t xml:space="preserve">Rétention d’eau et douleurs musculaires</w:t>
      </w:r>
      <w:r>
        <w:rPr>
          <w:rStyle w:val="FootnoteReference"/>
        </w:rPr>
        <w:footnoteReference w:id="1587"/>
      </w:r>
      <w:r>
        <w:t xml:space="preserve">.</w:t>
      </w:r>
    </w:p>
    <w:p>
      <w:pPr>
        <w:pStyle w:val="FirstParagraph"/>
      </w:pPr>
      <w:r>
        <w:rPr>
          <w:bCs/>
          <w:b/>
        </w:rPr>
        <w:t xml:space="preserve">Rapports de cas issus de l’usage du marché gris :</w:t>
      </w:r>
      <w:r>
        <w:t xml:space="preserve"> </w:t>
      </w:r>
      <w:r>
        <w:t xml:space="preserve">un homme au début de la trentaine a présenté, après deux mois de prise de MK-677, des enzymes hépatiques élevées, qui se sont normalisées après l’arrêt</w:t>
      </w:r>
      <w:r>
        <w:rPr>
          <w:rStyle w:val="FootnoteReference"/>
        </w:rPr>
        <w:footnoteReference w:id="1588"/>
      </w:r>
      <w:r>
        <w:t xml:space="preserve">. Un homme de 40 ans a développé une gynécomastie et un déficit en testostérone ; ses compléments de fitness contenaient, outre le MK-677, un SARM, du cardarine ainsi que des hormones non déclarées</w:t>
      </w:r>
      <w:r>
        <w:rPr>
          <w:rStyle w:val="FootnoteReference"/>
        </w:rPr>
        <w:footnoteReference w:id="1589"/>
      </w:r>
      <w:r>
        <w:t xml:space="preserve">.</w:t>
      </w:r>
    </w:p>
    <w:p>
      <w:pPr>
        <w:pStyle w:val="BodyText"/>
      </w:pPr>
      <w:r>
        <w:rPr>
          <w:bCs/>
          <w:b/>
        </w:rPr>
        <w:t xml:space="preserve">Cancer :</w:t>
      </w:r>
      <w:r>
        <w:t xml:space="preserve"> </w:t>
      </w:r>
      <w:r>
        <w:t xml:space="preserve">l’ibutamorène élève l’IGF-1 pendant des mois, voire des années, au niveau de jeunes adultes. Aucun signal de cancer n’a été rapporté dans les études, mais elles n’étaient ni assez vastes ni assez longues pour cela. Une revue des sécrétagogues de GH réclame expressément des données à long terme sur le cancer et la mortalité</w:t>
      </w:r>
      <w:r>
        <w:rPr>
          <w:rStyle w:val="FootnoteReference"/>
        </w:rPr>
        <w:footnoteReference w:id="1590"/>
      </w:r>
      <w:r>
        <w:t xml:space="preserve">. Pour l’état général des données, voir l’introduction de ce groupe et la partie IV.</w:t>
      </w:r>
    </w:p>
    <w:p>
      <w:pPr>
        <w:pStyle w:val="BodyText"/>
      </w:pPr>
      <w:r>
        <w:rPr>
          <w:bCs/>
          <w:b/>
        </w:rPr>
        <w:t xml:space="preserve">Qualité du marché gris :</w:t>
      </w:r>
      <w:r>
        <w:t xml:space="preserve"> </w:t>
      </w:r>
      <w:r>
        <w:t xml:space="preserve">dans une analyse américaine de 44 produits vendus sur Internet comme SARM, 39 % contenaient à la place ou en plus d’autres substances non autorisées, dont l’ibutamorène ; seuls 41 % contenaient la quantité indiquée de substance active</w:t>
      </w:r>
      <w:r>
        <w:rPr>
          <w:rStyle w:val="FootnoteReference"/>
        </w:rPr>
        <w:footnoteReference w:id="1591"/>
      </w:r>
      <w:r>
        <w:t xml:space="preserve">. Une surveillance européenne du marché portant sur 324 échantillons de 13 pays a trouvé l’ibutamorène comme substance la plus fréquente parmi les préparations de développement musculaire examinées ; 24 % des produits étaient présentés comme compléments alimentaires</w:t>
      </w:r>
      <w:r>
        <w:rPr>
          <w:rStyle w:val="FootnoteReference"/>
        </w:rPr>
        <w:footnoteReference w:id="1592"/>
      </w:r>
      <w:r>
        <w:t xml:space="preserve">.</w:t>
      </w:r>
    </w:p>
    <w:bookmarkEnd w:id="1593"/>
    <w:bookmarkStart w:id="1595" w:name="statut-juridique-33"/>
    <w:p>
      <w:pPr>
        <w:pStyle w:val="Heading3"/>
      </w:pPr>
      <w:r>
        <w:t xml:space="preserve">Statut juridique</w:t>
      </w:r>
    </w:p>
    <w:p>
      <w:pPr>
        <w:pStyle w:val="FirstParagraph"/>
      </w:pPr>
      <w:r>
        <w:rPr>
          <w:iCs/>
          <w:i/>
        </w:rPr>
        <w:t xml:space="preserve">État 2026, à vérifier.</w:t>
      </w:r>
    </w:p>
    <w:p>
      <w:pPr>
        <w:numPr>
          <w:ilvl w:val="0"/>
          <w:numId w:val="1188"/>
        </w:numPr>
        <w:pStyle w:val="Compact"/>
      </w:pPr>
      <w:r>
        <w:rPr>
          <w:bCs/>
          <w:b/>
        </w:rPr>
        <w:t xml:space="preserve">UE, Allemagne, Autriche :</w:t>
      </w:r>
      <w:r>
        <w:t xml:space="preserve"> </w:t>
      </w:r>
      <w:r>
        <w:t xml:space="preserve">aucune autorisation. L’ibutamorène est une substance médicamenteuse non autorisée ; il ne peut pas être commercialisé comme complément alimentaire. Quiconque le propose en vue d’un usage humain enfreint le droit du médicament.</w:t>
      </w:r>
    </w:p>
    <w:p>
      <w:pPr>
        <w:numPr>
          <w:ilvl w:val="0"/>
          <w:numId w:val="1188"/>
        </w:numPr>
        <w:pStyle w:val="Compact"/>
      </w:pPr>
      <w:r>
        <w:rPr>
          <w:bCs/>
          <w:b/>
        </w:rPr>
        <w:t xml:space="preserve">États-Unis :</w:t>
      </w:r>
      <w:r>
        <w:t xml:space="preserve"> </w:t>
      </w:r>
      <w:r>
        <w:t xml:space="preserve">aucune autorisation ; il est néanmoins vendu comme « Research Chemical » ou dans des compléments.</w:t>
      </w:r>
    </w:p>
    <w:p>
      <w:pPr>
        <w:numPr>
          <w:ilvl w:val="0"/>
          <w:numId w:val="1188"/>
        </w:numPr>
        <w:pStyle w:val="Compact"/>
      </w:pPr>
      <w:r>
        <w:rPr>
          <w:bCs/>
          <w:b/>
        </w:rPr>
        <w:t xml:space="preserve">AMA (WADA) :</w:t>
      </w:r>
      <w:r>
        <w:t xml:space="preserve"> </w:t>
      </w:r>
      <w:r>
        <w:t xml:space="preserve">interdit (S2). Il est également contrôlé dans les sports équestres, par exemple par analyse des poils</w:t>
      </w:r>
      <w:r>
        <w:rPr>
          <w:rStyle w:val="FootnoteReference"/>
        </w:rPr>
        <w:footnoteReference w:id="1594"/>
      </w:r>
      <w:r>
        <w:t xml:space="preserve">.</w:t>
      </w:r>
    </w:p>
    <w:bookmarkEnd w:id="1595"/>
    <w:bookmarkStart w:id="1600" w:name="études-en-cours-et-perspectives-33"/>
    <w:p>
      <w:pPr>
        <w:pStyle w:val="Heading3"/>
      </w:pPr>
      <w:r>
        <w:t xml:space="preserve">Études en cours et perspectives</w:t>
      </w:r>
    </w:p>
    <w:p>
      <w:pPr>
        <w:pStyle w:val="FirstParagraph"/>
      </w:pPr>
      <w:r>
        <w:rPr>
          <w:iCs/>
          <w:i/>
        </w:rPr>
        <w:t xml:space="preserve">Établi :</w:t>
      </w:r>
      <w:r>
        <w:t xml:space="preserve"> </w:t>
      </w:r>
      <w:r>
        <w:t xml:space="preserve">sous le nom de LUM-201, l’ibutamorène est développé sous forme de comprimé pour les enfants présentant un déficit en hormone de croissance. Une étude de phase 2 portant sur 104 enfants</w:t>
      </w:r>
      <w:r>
        <w:rPr>
          <w:rStyle w:val="FootnoteReference"/>
        </w:rPr>
        <w:footnoteReference w:id="1596"/>
      </w:r>
      <w:r>
        <w:t xml:space="preserve"> </w:t>
      </w:r>
      <w:r>
        <w:t xml:space="preserve">est terminée ; une étude de phase 3 prévoyant 150 enfants recrute depuis 2026</w:t>
      </w:r>
      <w:r>
        <w:rPr>
          <w:rStyle w:val="FootnoteReference"/>
        </w:rPr>
        <w:footnoteReference w:id="1597"/>
      </w:r>
      <w:r>
        <w:t xml:space="preserve">, et une étude de sécurité à long terme est prévue</w:t>
      </w:r>
      <w:r>
        <w:rPr>
          <w:rStyle w:val="FootnoteReference"/>
        </w:rPr>
        <w:footnoteReference w:id="1598"/>
      </w:r>
      <w:r>
        <w:t xml:space="preserve">. Une autre étude de phase 2 doit examiner à partir de 2027 le LUM-201 en complément du sémaglutide chez des personnes âgées obèses, afin de limiter la perte musculaire lors de l’amaigrissement</w:t>
      </w:r>
      <w:r>
        <w:rPr>
          <w:rStyle w:val="FootnoteReference"/>
        </w:rPr>
        <w:footnoteReference w:id="1599"/>
      </w:r>
      <w:r>
        <w:t xml:space="preserve">.</w:t>
      </w:r>
    </w:p>
    <w:p>
      <w:pPr>
        <w:pStyle w:val="BodyText"/>
      </w:pPr>
      <w:r>
        <w:rPr>
          <w:iCs/>
          <w:i/>
        </w:rPr>
        <w:t xml:space="preserve">Appréciation de l’auteur :</w:t>
      </w:r>
      <w:r>
        <w:t xml:space="preserve"> </w:t>
      </w:r>
      <w:r>
        <w:t xml:space="preserve">une autorisation pour les enfants n’est envisageable qu’après la fin de l’étude de phase 3, donc pas avant la fin des années 2020. Une autorisation pour les adultes âgés n’est pas en vue après le signal d’insuffisance cardiaque et l’absence d’amélioration fonctionnelle.</w:t>
      </w:r>
    </w:p>
    <w:bookmarkEnd w:id="1600"/>
    <w:bookmarkStart w:id="1601" w:name="conclusion-33"/>
    <w:p>
      <w:pPr>
        <w:pStyle w:val="Heading3"/>
      </w:pPr>
      <w:r>
        <w:t xml:space="preserve">Conclusion</w:t>
      </w:r>
    </w:p>
    <w:p>
      <w:pPr>
        <w:pStyle w:val="FirstParagraph"/>
      </w:pPr>
      <w:r>
        <w:t xml:space="preserve">L’ibutamorène est le produit actif par voie orale le plus minutieusement étudié qui stimule durablement l’axe de l’hormone de croissance. Les études montrent le schéma de base de tout le groupe : l’IGF-1 et la masse maigre augmentent, mais la force, la fonction et l’évolution des maladies – dans le vieillissement, la fracture de la hanche et la maladie d’Alzheimer – ne se sont pas améliorées. En revanche, la glycémie et le poids ont augmenté, et une étude chez des personnes âgées a été interrompue en raison d’insuffisances cardiaques. Les produits du marché gris contenant du « MK-677 » sont souvent mal étiquetés.</w:t>
      </w:r>
    </w:p>
    <w:bookmarkEnd w:id="1601"/>
    <w:bookmarkEnd w:id="1602"/>
    <w:bookmarkEnd w:id="1603"/>
    <w:bookmarkStart w:id="1958" w:name="partie-ii-d-cerveau-sommeil-et-longévité"/>
    <w:p>
      <w:pPr>
        <w:pStyle w:val="Heading1"/>
      </w:pPr>
      <w:r>
        <w:t xml:space="preserve">Partie II · D – Cerveau, sommeil et longévité</w:t>
      </w:r>
    </w:p>
    <w:p>
      <w:pPr>
        <w:pStyle w:val="FirstParagraph"/>
      </w:pPr>
      <w:r>
        <w:t xml:space="preserve">Peu de groupes de peptides sont présentés sur Internet de manière aussi prometteuse que celui-ci : des produits pour plus de concentration et de mémoire (« nootropiques »), pour un sommeil plus profond, pour des télomères plus longs et des « mitochondries plus jeunes ». Les douze substances de cette section ont en commun de cibler le cerveau, le vieillissement cellulaire ou le métabolisme énergétique – et le fossé entre les promesses et l’état des preuves y est particulièrement grand.</w:t>
      </w:r>
    </w:p>
    <w:bookmarkStart w:id="1604" w:name="ce-qui-relie-ces-peptides-1"/>
    <w:p>
      <w:pPr>
        <w:pStyle w:val="Heading3"/>
      </w:pPr>
      <w:r>
        <w:t xml:space="preserve">Ce qui relie ces peptides</w:t>
      </w:r>
    </w:p>
    <w:p>
      <w:pPr>
        <w:pStyle w:val="FirstParagraph"/>
      </w:pPr>
      <w:r>
        <w:t xml:space="preserve">Le groupe peut être divisé grossièrement en trois familles :</w:t>
      </w:r>
    </w:p>
    <w:p>
      <w:pPr>
        <w:numPr>
          <w:ilvl w:val="0"/>
          <w:numId w:val="1189"/>
        </w:numPr>
        <w:pStyle w:val="Compact"/>
      </w:pPr>
      <w:r>
        <w:rPr>
          <w:bCs/>
          <w:b/>
        </w:rPr>
        <w:t xml:space="preserve">Neuropeptides et « biorégulateurs » russes :</w:t>
      </w:r>
      <w:r>
        <w:t xml:space="preserve"> </w:t>
      </w:r>
      <w:r>
        <w:t xml:space="preserve">le Semax, le Selank, le DSIP, l’Epitalon et le Pinealon sont issus de la recherche soviétique et russe. La Cerebrolysin, un mélange de peptides issu de cerveau de porc, vient d’Autriche, mais est surtout utilisée en Europe de l’Est et en Asie.</w:t>
      </w:r>
    </w:p>
    <w:p>
      <w:pPr>
        <w:numPr>
          <w:ilvl w:val="0"/>
          <w:numId w:val="1189"/>
        </w:numPr>
        <w:pStyle w:val="Compact"/>
      </w:pPr>
      <w:r>
        <w:rPr>
          <w:bCs/>
          <w:b/>
        </w:rPr>
        <w:t xml:space="preserve">Peptides mitochondriaux :</w:t>
      </w:r>
      <w:r>
        <w:t xml:space="preserve"> </w:t>
      </w:r>
      <w:r>
        <w:t xml:space="preserve">le MOTS-c et l’humanine sont des molécules de signalisation endogènes codées dans le génome des mitochondries. Le SS-31 (élamipretide) est un peptide artificiel qui se lie de manière ciblée à la membrane mitochondriale.</w:t>
      </w:r>
    </w:p>
    <w:p>
      <w:pPr>
        <w:numPr>
          <w:ilvl w:val="0"/>
          <w:numId w:val="1189"/>
        </w:numPr>
        <w:pStyle w:val="Compact"/>
      </w:pPr>
      <w:r>
        <w:rPr>
          <w:bCs/>
          <w:b/>
        </w:rPr>
        <w:t xml:space="preserve">Molécules « anti-âge » expérimentales :</w:t>
      </w:r>
      <w:r>
        <w:t xml:space="preserve"> </w:t>
      </w:r>
      <w:r>
        <w:t xml:space="preserve">la Dihexa (un dérivé de l’angiotensine IV) et le FOXO4-DRI (un sénolytique censé éliminer les cellules vieillies) n’ont jamais été étudiés chez l’humain. Le glutathion, enfin, est un tripeptide endogène vendu comme complément alimentaire et en perfusion.</w:t>
      </w:r>
    </w:p>
    <w:bookmarkEnd w:id="1604"/>
    <w:bookmarkStart w:id="1605" w:name="X126753772e9520dfd58308913235e737e5b98e4"/>
    <w:p>
      <w:pPr>
        <w:pStyle w:val="Heading3"/>
      </w:pPr>
      <w:r>
        <w:t xml:space="preserve">La scène des nootropiques et de la longévité</w:t>
      </w:r>
    </w:p>
    <w:p>
      <w:pPr>
        <w:pStyle w:val="FirstParagraph"/>
      </w:pPr>
      <w:r>
        <w:t xml:space="preserve">Quiconque recherche ces substances sur Internet atterrit vite dans des forums, chez des influenceurs et dans des « cliniques de longévité ». Trois erreurs de raisonnement y sont typiques, et tu les rencontreras sans cesse dans les chapitres suivants :</w:t>
      </w:r>
    </w:p>
    <w:p>
      <w:pPr>
        <w:numPr>
          <w:ilvl w:val="0"/>
          <w:numId w:val="1190"/>
        </w:numPr>
        <w:pStyle w:val="Compact"/>
      </w:pPr>
      <w:r>
        <w:rPr>
          <w:bCs/>
          <w:b/>
        </w:rPr>
        <w:t xml:space="preserve">De l’animal à l’humain :</w:t>
      </w:r>
      <w:r>
        <w:t xml:space="preserve"> </w:t>
      </w:r>
      <w:r>
        <w:t xml:space="preserve">qu’un peptide améliore la mémoire ou la durée de vie chez la souris dit peu de chose sur son efficacité chez l’humain. Dans la recherche sur l’AVC et la maladie d’Alzheimer, des centaines de substances efficaces chez l’animal ont échoué chez l’humain.</w:t>
      </w:r>
    </w:p>
    <w:p>
      <w:pPr>
        <w:numPr>
          <w:ilvl w:val="0"/>
          <w:numId w:val="1190"/>
        </w:numPr>
        <w:pStyle w:val="Compact"/>
      </w:pPr>
      <w:r>
        <w:rPr>
          <w:bCs/>
          <w:b/>
        </w:rPr>
        <w:t xml:space="preserve">Du taux sanguin à l’injection :</w:t>
      </w:r>
      <w:r>
        <w:t xml:space="preserve"> </w:t>
      </w:r>
      <w:r>
        <w:t xml:space="preserve">que les personnes ayant de faibles taux de MOTS-c ou d’humanine soient plus souvent malades ne prouve pas qu’un apport rende en bonne santé.</w:t>
      </w:r>
    </w:p>
    <w:p>
      <w:pPr>
        <w:numPr>
          <w:ilvl w:val="0"/>
          <w:numId w:val="1190"/>
        </w:numPr>
        <w:pStyle w:val="Compact"/>
      </w:pPr>
      <w:r>
        <w:rPr>
          <w:bCs/>
          <w:b/>
        </w:rPr>
        <w:t xml:space="preserve">Du mécanisme au bénéfice :</w:t>
      </w:r>
      <w:r>
        <w:t xml:space="preserve"> </w:t>
      </w:r>
      <w:r>
        <w:t xml:space="preserve">un mécanisme cohérent – « protège les mitochondries », « allonge les télomères » – n’est pas une efficacité. Le SS-31 en est le meilleur exemple : il a été testé dans plusieurs grandes études et a manqué les objectifs principaux dans l’infarctus du myocarde, l’insuffisance cardiaque et la myopathie mitochondriale.</w:t>
      </w:r>
    </w:p>
    <w:p>
      <w:pPr>
        <w:pStyle w:val="FirstParagraph"/>
      </w:pPr>
      <w:r>
        <w:t xml:space="preserve">S’y ajoute le fait que presque toutes ces substances sont vendues sur le marché gris comme « Research Peptides » – sans contrôle de qualité (voir la partie I et la partie IV).</w:t>
      </w:r>
    </w:p>
    <w:bookmarkEnd w:id="1605"/>
    <w:bookmarkStart w:id="1606" w:name="X8b1288ef80fd6ece01369e531aa61c11d910dc4"/>
    <w:p>
      <w:pPr>
        <w:pStyle w:val="Heading3"/>
      </w:pPr>
      <w:r>
        <w:t xml:space="preserve">La recherche russe sur les peptides et l’état de ses publications</w:t>
      </w:r>
    </w:p>
    <w:p>
      <w:pPr>
        <w:pStyle w:val="FirstParagraph"/>
      </w:pPr>
      <w:r>
        <w:t xml:space="preserve">Une grande partie de la littérature sur le Semax, le Selank, le DSIP, l’Epitalon et le Pinealon provient de quelques instituts de Moscou et de Saint-Pétersbourg. Ce n’est pas une raison pour rejeter en bloc cette recherche – mais c’est une raison d’être prudent :</w:t>
      </w:r>
    </w:p>
    <w:p>
      <w:pPr>
        <w:numPr>
          <w:ilvl w:val="0"/>
          <w:numId w:val="1191"/>
        </w:numPr>
        <w:pStyle w:val="Compact"/>
      </w:pPr>
      <w:r>
        <w:rPr>
          <w:bCs/>
          <w:b/>
        </w:rPr>
        <w:t xml:space="preserve">Autorisation sans normes internationales :</w:t>
      </w:r>
      <w:r>
        <w:t xml:space="preserve"> </w:t>
      </w:r>
      <w:r>
        <w:t xml:space="preserve">certains peptides sont enregistrés comme médicaments en Russie, sans que de grandes études en aveugle, enregistrées au préalable, telles que l’exigent l’UE ou les États-Unis, aient été publiées.</w:t>
      </w:r>
    </w:p>
    <w:p>
      <w:pPr>
        <w:numPr>
          <w:ilvl w:val="0"/>
          <w:numId w:val="1191"/>
        </w:numPr>
        <w:pStyle w:val="Compact"/>
      </w:pPr>
      <w:r>
        <w:rPr>
          <w:bCs/>
          <w:b/>
        </w:rPr>
        <w:t xml:space="preserve">Petites études non contrôlées :</w:t>
      </w:r>
      <w:r>
        <w:t xml:space="preserve"> </w:t>
      </w:r>
      <w:r>
        <w:t xml:space="preserve">de nombreux travaux cliniques n’ont pas de groupe placebo, pas de répartition aléatoire, ou ne donnent pas de chiffres dans le résumé.</w:t>
      </w:r>
    </w:p>
    <w:p>
      <w:pPr>
        <w:numPr>
          <w:ilvl w:val="0"/>
          <w:numId w:val="1191"/>
        </w:numPr>
        <w:pStyle w:val="Compact"/>
      </w:pPr>
      <w:r>
        <w:rPr>
          <w:bCs/>
          <w:b/>
        </w:rPr>
        <w:t xml:space="preserve">Langue et accès :</w:t>
      </w:r>
      <w:r>
        <w:t xml:space="preserve"> </w:t>
      </w:r>
      <w:r>
        <w:t xml:space="preserve">de nombreux travaux ne paraissent qu’en russe, souvent dans des revues où les groupes d’auteurs eux-mêmes publient fréquemment.</w:t>
      </w:r>
    </w:p>
    <w:p>
      <w:pPr>
        <w:numPr>
          <w:ilvl w:val="0"/>
          <w:numId w:val="1191"/>
        </w:numPr>
        <w:pStyle w:val="Compact"/>
      </w:pPr>
      <w:r>
        <w:rPr>
          <w:bCs/>
          <w:b/>
        </w:rPr>
        <w:t xml:space="preserve">Absence de réplication :</w:t>
      </w:r>
      <w:r>
        <w:t xml:space="preserve"> </w:t>
      </w:r>
      <w:r>
        <w:t xml:space="preserve">des groupes indépendants hors de Russie ont rarement vérifié les résultats – et lorsqu’ils l’ont fait, souvent avec un résultat décevant, comme pour le DSIP.</w:t>
      </w:r>
    </w:p>
    <w:p>
      <w:pPr>
        <w:numPr>
          <w:ilvl w:val="0"/>
          <w:numId w:val="1191"/>
        </w:numPr>
        <w:pStyle w:val="Compact"/>
      </w:pPr>
      <w:r>
        <w:rPr>
          <w:bCs/>
          <w:b/>
        </w:rPr>
        <w:t xml:space="preserve">Pas d’enregistrement :</w:t>
      </w:r>
      <w:r>
        <w:t xml:space="preserve"> </w:t>
      </w:r>
      <w:r>
        <w:t xml:space="preserve">pour le Semax, le Selank, le DSIP et le Pinealon, on ne trouve pas une seule étude sur ClinicalTrials.gov.</w:t>
      </w:r>
    </w:p>
    <w:bookmarkEnd w:id="1606"/>
    <w:bookmarkStart w:id="1607" w:name="vue-densemble-2"/>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Russie uniquement</w:t>
            </w:r>
          </w:p>
        </w:tc>
        <w:tc>
          <w:tcPr/>
          <w:p>
            <w:pPr>
              <w:pStyle w:val="Compact"/>
              <w:jc w:val="left"/>
            </w:pPr>
            <w:r>
              <w:t xml:space="preserve">fragment d’ACTH ; petites études sur l’AVC</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Russie uniquement</w:t>
            </w:r>
          </w:p>
        </w:tc>
        <w:tc>
          <w:tcPr/>
          <w:p>
            <w:pPr>
              <w:pStyle w:val="Compact"/>
              <w:jc w:val="left"/>
            </w:pPr>
            <w:r>
              <w:t xml:space="preserve">anxiolytique ; pas d’études contre placebo</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nationale, notamment Autriche</w:t>
            </w:r>
          </w:p>
        </w:tc>
        <w:tc>
          <w:tcPr/>
          <w:p>
            <w:pPr>
              <w:pStyle w:val="Compact"/>
              <w:jc w:val="left"/>
            </w:pPr>
            <w:r>
              <w:t xml:space="preserve">nombreux ECR, Cochrane réservée</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non</w:t>
            </w:r>
          </w:p>
        </w:tc>
        <w:tc>
          <w:tcPr/>
          <w:p>
            <w:pPr>
              <w:pStyle w:val="Compact"/>
              <w:jc w:val="left"/>
            </w:pPr>
            <w:r>
              <w:t xml:space="preserve">données animales uniquement ; question du cancer ouverte</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non</w:t>
            </w:r>
          </w:p>
        </w:tc>
        <w:tc>
          <w:tcPr/>
          <w:p>
            <w:pPr>
              <w:pStyle w:val="Compact"/>
              <w:jc w:val="left"/>
            </w:pPr>
            <w:r>
              <w:t xml:space="preserve">« peptide du sommeil » sans bénéfice confirmé</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non</w:t>
            </w:r>
          </w:p>
        </w:tc>
        <w:tc>
          <w:tcPr/>
          <w:p>
            <w:pPr>
              <w:pStyle w:val="Compact"/>
              <w:jc w:val="left"/>
            </w:pPr>
            <w:r>
              <w:t xml:space="preserve">promesse sur les télomères seulement en laboratoire</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non</w:t>
            </w:r>
          </w:p>
        </w:tc>
        <w:tc>
          <w:tcPr/>
          <w:p>
            <w:pPr>
              <w:pStyle w:val="Compact"/>
              <w:jc w:val="left"/>
            </w:pPr>
            <w:r>
              <w:t xml:space="preserve">petites observations russes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non</w:t>
            </w:r>
          </w:p>
        </w:tc>
        <w:tc>
          <w:tcPr/>
          <w:p>
            <w:pPr>
              <w:pStyle w:val="Compact"/>
              <w:jc w:val="left"/>
            </w:pPr>
            <w:r>
              <w:t xml:space="preserve">souris oui, humains seulement des taux sanguins</w:t>
            </w:r>
          </w:p>
        </w:tc>
      </w:tr>
      <w:tr>
        <w:tc>
          <w:tcPr/>
          <w:p>
            <w:pPr>
              <w:pStyle w:val="Compact"/>
              <w:jc w:val="left"/>
            </w:pPr>
            <w:r>
              <w:t xml:space="preserve">Humanine</w:t>
            </w:r>
          </w:p>
        </w:tc>
        <w:tc>
          <w:tcPr/>
          <w:p>
            <w:pPr>
              <w:pStyle w:val="Compact"/>
              <w:jc w:val="left"/>
            </w:pPr>
            <w:r>
              <w:t xml:space="preserve">D</w:t>
            </w:r>
          </w:p>
        </w:tc>
        <w:tc>
          <w:tcPr/>
          <w:p>
            <w:pPr>
              <w:pStyle w:val="Compact"/>
              <w:jc w:val="left"/>
            </w:pPr>
            <w:r>
              <w:t xml:space="preserve">non</w:t>
            </w:r>
          </w:p>
        </w:tc>
        <w:tc>
          <w:tcPr/>
          <w:p>
            <w:pPr>
              <w:pStyle w:val="Compact"/>
              <w:jc w:val="left"/>
            </w:pPr>
            <w:r>
              <w:t xml:space="preserve">biomarqueur ; favorise les tumeurs chez l’animal</w:t>
            </w:r>
          </w:p>
        </w:tc>
      </w:tr>
      <w:tr>
        <w:tc>
          <w:tcPr/>
          <w:p>
            <w:pPr>
              <w:pStyle w:val="Compact"/>
              <w:jc w:val="left"/>
            </w:pPr>
            <w:r>
              <w:t xml:space="preserve">SS-31 (élamipretide)</w:t>
            </w:r>
          </w:p>
        </w:tc>
        <w:tc>
          <w:tcPr/>
          <w:p>
            <w:pPr>
              <w:pStyle w:val="Compact"/>
              <w:jc w:val="left"/>
            </w:pPr>
            <w:r>
              <w:t xml:space="preserve">B</w:t>
            </w:r>
          </w:p>
        </w:tc>
        <w:tc>
          <w:tcPr/>
          <w:p>
            <w:pPr>
              <w:pStyle w:val="Compact"/>
              <w:jc w:val="left"/>
            </w:pPr>
            <w:r>
              <w:t xml:space="preserve">États-Unis (syndrome de Barth)</w:t>
            </w:r>
          </w:p>
        </w:tc>
        <w:tc>
          <w:tcPr/>
          <w:p>
            <w:pPr>
              <w:pStyle w:val="Compact"/>
              <w:jc w:val="left"/>
            </w:pPr>
            <w:r>
              <w:t xml:space="preserve">grandes études majoritairement négatives</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non</w:t>
            </w:r>
          </w:p>
        </w:tc>
        <w:tc>
          <w:tcPr/>
          <w:p>
            <w:pPr>
              <w:pStyle w:val="Compact"/>
              <w:jc w:val="left"/>
            </w:pPr>
            <w:r>
              <w:t xml:space="preserve">sénolytique, données animales uniquement</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complément alimentaire</w:t>
            </w:r>
          </w:p>
        </w:tc>
        <w:tc>
          <w:tcPr/>
          <w:p>
            <w:pPr>
              <w:pStyle w:val="Compact"/>
              <w:jc w:val="left"/>
            </w:pPr>
            <w:r>
              <w:t xml:space="preserve">perfusions pour éclaircir la peau risquées</w:t>
            </w:r>
          </w:p>
        </w:tc>
      </w:tr>
    </w:tbl>
    <w:bookmarkEnd w:id="1607"/>
    <w:bookmarkStart w:id="1608" w:name="conseils-de-lecture-2"/>
    <w:p>
      <w:pPr>
        <w:pStyle w:val="Heading3"/>
      </w:pPr>
      <w:r>
        <w:t xml:space="preserve">Conseils de lecture</w:t>
      </w:r>
    </w:p>
    <w:p>
      <w:pPr>
        <w:pStyle w:val="FirstParagraph"/>
      </w:pPr>
      <w:r>
        <w:t xml:space="preserve">Les chapitres suivent la structure uniforme de ce livre. Dans chaque chapitre, sois particulièrement attentif à la section « Études chez l’humain » et, en son sein, à l’ampleur des données : pour neuf des douze peptides, il n’existe soit aucune étude dans laquelle des personnes ont reçu la substance, soit seulement des travaux très petits et méthodologiquement faibles. Le statut juridique et le statut auprès de la FDA ont changé à plusieurs reprises en 2026 ; les indications correspondent à l’état d’octobre 2026 et devraient être vérifiées.</w:t>
      </w:r>
    </w:p>
    <w:bookmarkEnd w:id="1608"/>
    <w:bookmarkStart w:id="1637" w:name="semax"/>
    <w:p>
      <w:pPr>
        <w:pStyle w:val="Heading2"/>
      </w:pPr>
      <w:r>
        <w:t xml:space="preserve">Semax</w:t>
      </w:r>
    </w:p>
    <w:bookmarkStart w:id="1609" w:name="fiche-signalétique-34"/>
    <w:p>
      <w:pPr>
        <w:pStyle w:val="Heading3"/>
      </w:pPr>
      <w:r>
        <w:t xml:space="preserve">Fiche signalétique</w:t>
      </w:r>
    </w:p>
    <w:p>
      <w:pPr>
        <w:numPr>
          <w:ilvl w:val="0"/>
          <w:numId w:val="1192"/>
        </w:numPr>
        <w:pStyle w:val="Compact"/>
      </w:pPr>
      <w:r>
        <w:rPr>
          <w:bCs/>
          <w:b/>
        </w:rPr>
        <w:t xml:space="preserve">Nature et structure :</w:t>
      </w:r>
      <w:r>
        <w:t xml:space="preserve"> </w:t>
      </w:r>
      <w:r>
        <w:t xml:space="preserve">heptapeptide de synthèse (sept acides aminés : Met-Glu-His-Phe-Pro-Gly-Pro). Les quatre premiers éléments correspondent à un fragment de l’hormone du stress ACTH (hormone adrénocorticotrope, segment 4–7), auquel est accroché le tripeptide Pro-Gly-Pro, censé ralentir la dégradation.</w:t>
      </w:r>
    </w:p>
    <w:p>
      <w:pPr>
        <w:numPr>
          <w:ilvl w:val="0"/>
          <w:numId w:val="1192"/>
        </w:numPr>
        <w:pStyle w:val="Compact"/>
      </w:pPr>
      <w:r>
        <w:rPr>
          <w:bCs/>
          <w:b/>
        </w:rPr>
        <w:t xml:space="preserve">Origine :</w:t>
      </w:r>
      <w:r>
        <w:t xml:space="preserve"> </w:t>
      </w:r>
      <w:r>
        <w:t xml:space="preserve">développé à partir des années 1980 à l’Institut de génétique moléculaire de l’Académie des sciences de Russie, à Moscou.</w:t>
      </w:r>
    </w:p>
    <w:p>
      <w:pPr>
        <w:numPr>
          <w:ilvl w:val="0"/>
          <w:numId w:val="1192"/>
        </w:numPr>
        <w:pStyle w:val="Compact"/>
      </w:pPr>
      <w:r>
        <w:rPr>
          <w:bCs/>
          <w:b/>
        </w:rPr>
        <w:t xml:space="preserve">Principe d’action :</w:t>
      </w:r>
      <w:r>
        <w:t xml:space="preserve"> </w:t>
      </w:r>
      <w:r>
        <w:t xml:space="preserve">stimulerait la production de facteurs de croissance nerveuse (surtout le BDNF) et protégerait les neurones en cas de manque d’oxygène ; contrairement à l’ACTH, il ne stimule pas la sécrétion de cortisol par la glande surrénale. Il est administré en gouttes nasales.</w:t>
      </w:r>
    </w:p>
    <w:p>
      <w:pPr>
        <w:numPr>
          <w:ilvl w:val="0"/>
          <w:numId w:val="1192"/>
        </w:numPr>
        <w:pStyle w:val="Compact"/>
      </w:pPr>
      <w:r>
        <w:rPr>
          <w:bCs/>
          <w:b/>
        </w:rPr>
        <w:t xml:space="preserve">Autorisation UE :</w:t>
      </w:r>
      <w:r>
        <w:t xml:space="preserve"> </w:t>
      </w:r>
      <w:r>
        <w:t xml:space="preserve">non.</w:t>
      </w:r>
    </w:p>
    <w:p>
      <w:pPr>
        <w:numPr>
          <w:ilvl w:val="0"/>
          <w:numId w:val="1192"/>
        </w:numPr>
        <w:pStyle w:val="Compact"/>
      </w:pPr>
      <w:r>
        <w:rPr>
          <w:bCs/>
          <w:b/>
        </w:rPr>
        <w:t xml:space="preserve">Autorisation États-Unis :</w:t>
      </w:r>
      <w:r>
        <w:t xml:space="preserve"> </w:t>
      </w:r>
      <w:r>
        <w:t xml:space="preserve">non. Le Semax figurait à partir de 2023 sur la liste de la FDA des substances présentant des risques potentiels pour la sécurité dans les préparations pharmaceutiques (« catégorie 2 »), en a été retiré en avril 2026 et a été recommandé de justesse en juillet 2026 par le comité consultatif PCAC pour inscription sur la liste des substances autorisées en préparation magistrale. Il ne s’agit pas d’une autorisation comme médicament.</w:t>
      </w:r>
    </w:p>
    <w:p>
      <w:pPr>
        <w:numPr>
          <w:ilvl w:val="0"/>
          <w:numId w:val="1192"/>
        </w:numPr>
        <w:pStyle w:val="Compact"/>
      </w:pPr>
      <w:r>
        <w:rPr>
          <w:bCs/>
          <w:b/>
        </w:rPr>
        <w:t xml:space="preserve">Russie et certains pays voisins :</w:t>
      </w:r>
      <w:r>
        <w:t xml:space="preserve"> </w:t>
      </w:r>
      <w:r>
        <w:t xml:space="preserve">enregistré comme médicament (gouttes nasales ; solution à 0,1 % comme nootropique, solution à 1 % pour l’AVC).</w:t>
      </w:r>
    </w:p>
    <w:p>
      <w:pPr>
        <w:numPr>
          <w:ilvl w:val="0"/>
          <w:numId w:val="1192"/>
        </w:numPr>
        <w:pStyle w:val="Compact"/>
      </w:pPr>
      <w:r>
        <w:rPr>
          <w:bCs/>
          <w:b/>
        </w:rPr>
        <w:t xml:space="preserve">AMA (WADA) :</w:t>
      </w:r>
      <w:r>
        <w:t xml:space="preserve"> </w:t>
      </w:r>
      <w:r>
        <w:t xml:space="preserve">pas nommément listé. Comme le Semax est autorisé en Russie, il ne relève pas clairement de la catégorie générale S0 des substances non approuvées.</w:t>
      </w:r>
    </w:p>
    <w:p>
      <w:pPr>
        <w:numPr>
          <w:ilvl w:val="0"/>
          <w:numId w:val="1192"/>
        </w:numPr>
        <w:pStyle w:val="Compact"/>
      </w:pPr>
      <w:r>
        <w:rPr>
          <w:bCs/>
          <w:b/>
        </w:rPr>
        <w:t xml:space="preserve">Niveau de preuve :</w:t>
      </w:r>
      <w:r>
        <w:t xml:space="preserve"> </w:t>
      </w:r>
      <w:r>
        <w:rPr>
          <w:bCs/>
          <w:b/>
        </w:rPr>
        <w:t xml:space="preserve">C</w:t>
      </w:r>
      <w:r>
        <w:t xml:space="preserve"> </w:t>
      </w:r>
      <w:r>
        <w:t xml:space="preserve">– quelques petites études, majoritairement non randomisées, provenant de centres russes.</w:t>
      </w:r>
    </w:p>
    <w:bookmarkEnd w:id="1609"/>
    <w:bookmarkStart w:id="1612" w:name="mode-daction-supposé-34"/>
    <w:p>
      <w:pPr>
        <w:pStyle w:val="Heading3"/>
      </w:pPr>
      <w:r>
        <w:t xml:space="preserve">Mode d’action supposé</w:t>
      </w:r>
    </w:p>
    <w:p>
      <w:pPr>
        <w:pStyle w:val="FirstParagraph"/>
      </w:pPr>
      <w:r>
        <w:t xml:space="preserve">L’ACTH est une hormone de l’hypophyse qui stimule la production de cortisol par la glande surrénale. Dès les années 1970, on a remarqué que de courts fragments de cette hormone – sans l’effet sur la surrénale – influençaient l’attention et l’apprentissage chez l’animal. Mais ces fragments sont dégradés en quelques minutes dans l’organisme. Les concepteurs du Semax ont donc prolongé le fragment ACTH(4–7) de la séquence Pro-Gly-Pro, plus stable face aux enzymes qui scindent les protéines.</w:t>
      </w:r>
    </w:p>
    <w:p>
      <w:pPr>
        <w:pStyle w:val="BodyText"/>
      </w:pPr>
      <w:r>
        <w:t xml:space="preserve">Pour le mécanisme d’action, les concepteurs s’appuient surtout sur des données animales :</w:t>
      </w:r>
    </w:p>
    <w:p>
      <w:pPr>
        <w:numPr>
          <w:ilvl w:val="0"/>
          <w:numId w:val="1193"/>
        </w:numPr>
        <w:pStyle w:val="Compact"/>
      </w:pPr>
      <w:r>
        <w:rPr>
          <w:bCs/>
          <w:b/>
        </w:rPr>
        <w:t xml:space="preserve">Facteurs de croissance nerveuse :</w:t>
      </w:r>
      <w:r>
        <w:t xml:space="preserve"> </w:t>
      </w:r>
      <w:r>
        <w:t xml:space="preserve">chez le rat, on a trouvé des sites de liaison spécifiques pour du Semax marqué dans le cerveau antérieur basal ; après administration nasale, la teneur en BDNF (Brain-Derived Neurotrophic Factor), une protéine qui favorise la plasticité des connexions nerveuses, y augmentait en trois heures. Ce n’était pas le cas dans le cervelet</w:t>
      </w:r>
      <w:r>
        <w:rPr>
          <w:rStyle w:val="FootnoteReference"/>
        </w:rPr>
        <w:footnoteReference w:id="1610"/>
      </w:r>
      <w:r>
        <w:t xml:space="preserve">.</w:t>
      </w:r>
    </w:p>
    <w:p>
      <w:pPr>
        <w:numPr>
          <w:ilvl w:val="0"/>
          <w:numId w:val="1193"/>
        </w:numPr>
        <w:pStyle w:val="Compact"/>
      </w:pPr>
      <w:r>
        <w:rPr>
          <w:bCs/>
          <w:b/>
        </w:rPr>
        <w:t xml:space="preserve">Activité génique après un AVC :</w:t>
      </w:r>
      <w:r>
        <w:t xml:space="preserve"> </w:t>
      </w:r>
      <w:r>
        <w:t xml:space="preserve">dans un modèle d’AVC chez le rat, le Semax a modifié l’activité de nombreux gènes, surtout ceux du système immunitaire et de la formation des vaisseaux sanguins</w:t>
      </w:r>
      <w:r>
        <w:rPr>
          <w:rStyle w:val="FootnoteReference"/>
        </w:rPr>
        <w:footnoteReference w:id="1611"/>
      </w:r>
      <w:r>
        <w:t xml:space="preserve">.</w:t>
      </w:r>
    </w:p>
    <w:p>
      <w:pPr>
        <w:pStyle w:val="FirstParagraph"/>
      </w:pPr>
      <w:r>
        <w:t xml:space="preserve">Aucun récepteur propre au Semax n’a été identifié. On ignore si les hausses de BDNF mesurées chez le rat se produisent sous une forme comparable chez l’humain et si elles suffisent à un bénéfice.</w:t>
      </w:r>
    </w:p>
    <w:bookmarkEnd w:id="1612"/>
    <w:bookmarkStart w:id="1624" w:name="études-chez-lhumain-34"/>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donné que 4 publications classées comme études chez l’humain ; au total, PubMed recense environ 210 travaux comportant « Semax » dans le titre ou le résumé, en très grande majorité des études animales et de laboratoire. Pas une seule étude n’est enregistrée sur ClinicalTrials.gov. Une recherche complémentaire ciblée a mis au jour quelques autres petits travaux cliniques. Pratiquement tous proviennent d’institutions russes, beaucoup de l’entourage des concepteurs, et n’ont paru qu’en russe avec un résumé en anglais.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Gusev 1997, PMID 11517472</w:t>
            </w:r>
          </w:p>
        </w:tc>
        <w:tc>
          <w:tcPr/>
          <w:p>
            <w:pPr>
              <w:pStyle w:val="Compact"/>
              <w:jc w:val="left"/>
            </w:pPr>
            <w:r>
              <w:t xml:space="preserve">30 personnes avec AVC ischémique aigu, comparaison avec 80 personnes sous traitement standard, non randomisée</w:t>
            </w:r>
          </w:p>
        </w:tc>
        <w:tc>
          <w:tcPr/>
          <w:p>
            <w:pPr>
              <w:pStyle w:val="Compact"/>
              <w:jc w:val="left"/>
            </w:pPr>
            <w:r>
              <w:t xml:space="preserve">5–10 jours de traitement</w:t>
            </w:r>
          </w:p>
        </w:tc>
        <w:tc>
          <w:tcPr/>
          <w:p>
            <w:pPr>
              <w:pStyle w:val="Compact"/>
              <w:jc w:val="left"/>
            </w:pPr>
            <w:r>
              <w:t xml:space="preserve">« une certaine influence » sur la vitesse de récupération des déficits neurologiques, pas de tailles d’effet dans le résumé</w:t>
            </w:r>
          </w:p>
        </w:tc>
      </w:tr>
      <w:tr>
        <w:tc>
          <w:tcPr/>
          <w:p>
            <w:pPr>
              <w:pStyle w:val="Compact"/>
              <w:jc w:val="left"/>
            </w:pPr>
            <w:r>
              <w:t xml:space="preserve">Gusev 2005, PMID 15792140</w:t>
            </w:r>
          </w:p>
        </w:tc>
        <w:tc>
          <w:tcPr/>
          <w:p>
            <w:pPr>
              <w:pStyle w:val="Compact"/>
              <w:jc w:val="left"/>
            </w:pPr>
            <w:r>
              <w:t xml:space="preserve">187 personnes avec trouble circulatoire cérébral chronique</w:t>
            </w:r>
          </w:p>
        </w:tc>
        <w:tc>
          <w:tcPr/>
          <w:p>
            <w:pPr>
              <w:pStyle w:val="Compact"/>
              <w:jc w:val="left"/>
            </w:pPr>
            <w:r>
              <w:t xml:space="preserve">non précisée</w:t>
            </w:r>
          </w:p>
        </w:tc>
        <w:tc>
          <w:tcPr/>
          <w:p>
            <w:pPr>
              <w:pStyle w:val="Compact"/>
              <w:jc w:val="left"/>
            </w:pPr>
            <w:r>
              <w:t xml:space="preserve">selon les auteurs, amélioration clinique et moins d’AVC ; plan et chiffres absents du résumé</w:t>
            </w:r>
          </w:p>
        </w:tc>
      </w:tr>
      <w:tr>
        <w:tc>
          <w:tcPr/>
          <w:p>
            <w:pPr>
              <w:pStyle w:val="Compact"/>
              <w:jc w:val="left"/>
            </w:pPr>
            <w:r>
              <w:t xml:space="preserve">Gusev 2018, PMID 29798983</w:t>
            </w:r>
          </w:p>
        </w:tc>
        <w:tc>
          <w:tcPr/>
          <w:p>
            <w:pPr>
              <w:pStyle w:val="Compact"/>
              <w:jc w:val="left"/>
            </w:pPr>
            <w:r>
              <w:t xml:space="preserve">110 personnes après AVC, rééducation précoce ou tardive, chacune avec ou sans Semax</w:t>
            </w:r>
          </w:p>
        </w:tc>
        <w:tc>
          <w:tcPr/>
          <w:p>
            <w:pPr>
              <w:pStyle w:val="Compact"/>
              <w:jc w:val="left"/>
            </w:pPr>
            <w:r>
              <w:t xml:space="preserve">environ 5 mois</w:t>
            </w:r>
          </w:p>
        </w:tc>
        <w:tc>
          <w:tcPr/>
          <w:p>
            <w:pPr>
              <w:pStyle w:val="Compact"/>
              <w:jc w:val="left"/>
            </w:pPr>
            <w:r>
              <w:t xml:space="preserve">taux sanguin de BDNF plus élevé, amélioration plus rapide de l’indice de Barthel</w:t>
            </w:r>
          </w:p>
        </w:tc>
      </w:tr>
      <w:tr>
        <w:tc>
          <w:tcPr/>
          <w:p>
            <w:pPr>
              <w:pStyle w:val="Compact"/>
              <w:jc w:val="left"/>
            </w:pPr>
            <w:r>
              <w:t xml:space="preserve">Serdiuk 2007, PMID 18379501</w:t>
            </w:r>
          </w:p>
        </w:tc>
        <w:tc>
          <w:tcPr/>
          <w:p>
            <w:pPr>
              <w:pStyle w:val="Compact"/>
              <w:jc w:val="left"/>
            </w:pPr>
            <w:r>
              <w:t xml:space="preserve">27 personnes atteintes d’une maladie du motoneurone (p. ex. SLA), en ouvert</w:t>
            </w:r>
          </w:p>
        </w:tc>
        <w:tc>
          <w:tcPr/>
          <w:p>
            <w:pPr>
              <w:pStyle w:val="Compact"/>
              <w:jc w:val="left"/>
            </w:pPr>
            <w:r>
              <w:t xml:space="preserve">48 jours</w:t>
            </w:r>
          </w:p>
        </w:tc>
        <w:tc>
          <w:tcPr/>
          <w:p>
            <w:pPr>
              <w:pStyle w:val="Compact"/>
              <w:jc w:val="left"/>
            </w:pPr>
            <w:r>
              <w:t xml:space="preserve">aucune influence sur l’évolution de la maladie et les signes musculaires ; meilleurs scores de qualité de vie</w:t>
            </w:r>
          </w:p>
        </w:tc>
      </w:tr>
      <w:tr>
        <w:tc>
          <w:tcPr/>
          <w:p>
            <w:pPr>
              <w:pStyle w:val="Compact"/>
              <w:jc w:val="left"/>
            </w:pPr>
            <w:r>
              <w:t xml:space="preserve">Polunin 2000, PMID 10741256</w:t>
            </w:r>
          </w:p>
        </w:tc>
        <w:tc>
          <w:tcPr/>
          <w:p>
            <w:pPr>
              <w:pStyle w:val="Compact"/>
              <w:jc w:val="left"/>
            </w:pPr>
            <w:r>
              <w:t xml:space="preserve">personnes atteintes de maladies du nerf optique, trois groupes dont un témoin</w:t>
            </w:r>
          </w:p>
        </w:tc>
        <w:tc>
          <w:tcPr/>
          <w:p>
            <w:pPr>
              <w:pStyle w:val="Compact"/>
              <w:jc w:val="left"/>
            </w:pPr>
            <w:r>
              <w:t xml:space="preserve">non précisée</w:t>
            </w:r>
          </w:p>
        </w:tc>
        <w:tc>
          <w:tcPr/>
          <w:p>
            <w:pPr>
              <w:pStyle w:val="Compact"/>
              <w:jc w:val="left"/>
            </w:pPr>
            <w:r>
              <w:t xml:space="preserve">selon les auteurs, meilleure acuité visuelle et meilleur champ visuel ; pas de chiffres dans le résumé</w:t>
            </w:r>
          </w:p>
        </w:tc>
      </w:tr>
      <w:tr>
        <w:tc>
          <w:tcPr/>
          <w:p>
            <w:pPr>
              <w:pStyle w:val="Compact"/>
              <w:jc w:val="left"/>
            </w:pPr>
            <w:r>
              <w:t xml:space="preserve">Lebedeva 2018, PMID 30225715</w:t>
            </w:r>
          </w:p>
        </w:tc>
        <w:tc>
          <w:tcPr/>
          <w:p>
            <w:pPr>
              <w:pStyle w:val="Compact"/>
              <w:jc w:val="left"/>
            </w:pPr>
            <w:r>
              <w:t xml:space="preserve">24 personnes en bonne santé, Semax (14) ou placebo (10)</w:t>
            </w:r>
          </w:p>
        </w:tc>
        <w:tc>
          <w:tcPr/>
          <w:p>
            <w:pPr>
              <w:pStyle w:val="Compact"/>
              <w:jc w:val="left"/>
            </w:pPr>
            <w:r>
              <w:t xml:space="preserve">administration unique, mesure après 20 minutes</w:t>
            </w:r>
          </w:p>
        </w:tc>
        <w:tc>
          <w:tcPr/>
          <w:p>
            <w:pPr>
              <w:pStyle w:val="Compact"/>
              <w:jc w:val="left"/>
            </w:pPr>
            <w:r>
              <w:t xml:space="preserve">activité des réseaux au repos modifiée en IRM fonctionnelle</w:t>
            </w:r>
          </w:p>
        </w:tc>
      </w:tr>
    </w:tbl>
    <w:bookmarkStart w:id="1616" w:name="accident-vasculaire-cérébral"/>
    <w:p>
      <w:pPr>
        <w:pStyle w:val="Heading4"/>
      </w:pPr>
      <w:r>
        <w:t xml:space="preserve">Accident vasculaire cérébral</w:t>
      </w:r>
    </w:p>
    <w:p>
      <w:pPr>
        <w:pStyle w:val="FirstParagraph"/>
      </w:pPr>
      <w:r>
        <w:t xml:space="preserve">L’AVC est le principal domaine d’application pour lequel le Semax est enregistré en Russie. La base en est mince. Dans la première étude clinique, 30 personnes ayant subi un AVC aigu ont reçu du Semax en plus du traitement standard ; 80 personnes ne recevant que le traitement standard servaient de comparaison. Les groupes n’ont pas été répartis par tirage au sort. Les auteurs font état d’« une certaine influence » sur la régression des déficits, surtout des paralysies</w:t>
      </w:r>
      <w:r>
        <w:rPr>
          <w:rStyle w:val="FootnoteReference"/>
        </w:rPr>
        <w:footnoteReference w:id="1613"/>
      </w:r>
      <w:r>
        <w:t xml:space="preserve">. Un travail ultérieur du même groupe a examiné des messagers inflammatoires dans le sang et était expressément une analyse rétrospective</w:t>
      </w:r>
      <w:r>
        <w:rPr>
          <w:rStyle w:val="FootnoteReference"/>
        </w:rPr>
        <w:footnoteReference w:id="1614"/>
      </w:r>
      <w:r>
        <w:t xml:space="preserve">.</w:t>
      </w:r>
    </w:p>
    <w:p>
      <w:pPr>
        <w:pStyle w:val="BodyText"/>
      </w:pPr>
      <w:r>
        <w:t xml:space="preserve">La plus grande étude à ce jour, portant sur 110 personnes après un AVC, a comparé une rééducation précoce et tardive, chacune avec ou sans Semax. Sous Semax, le taux de BDNF dans le plasma a augmenté et est resté élevé pendant l’observation ; l’indice de Barthel, une mesure de l’autonomie au quotidien, s’est amélioré plus vite</w:t>
      </w:r>
      <w:r>
        <w:rPr>
          <w:rStyle w:val="FootnoteReference"/>
        </w:rPr>
        <w:footnoteReference w:id="1615"/>
      </w:r>
      <w:r>
        <w:t xml:space="preserve">. Le résumé ne mentionne ni répartition aléatoire ni aveugle, et les différences entre les groupes ne sont pas exprimées en taille d’effet. Cela ne suffit pas à démontrer un bénéfice.</w:t>
      </w:r>
    </w:p>
    <w:p>
      <w:pPr>
        <w:pStyle w:val="BodyText"/>
      </w:pPr>
      <w:r>
        <w:t xml:space="preserve">À titre de comparaison : pour d’autres substances censées « protéger les neurones », presque toutes ont jusqu’ici échoué dans l’AVC lors de grandes études internationales en aveugle. Une telle étude n’existe pas pour le Semax.</w:t>
      </w:r>
    </w:p>
    <w:bookmarkEnd w:id="1616"/>
    <w:bookmarkStart w:id="1621" w:name="autres-applications-2"/>
    <w:p>
      <w:pPr>
        <w:pStyle w:val="Heading4"/>
      </w:pPr>
      <w:r>
        <w:t xml:space="preserve">Autres applications</w:t>
      </w:r>
    </w:p>
    <w:p>
      <w:pPr>
        <w:numPr>
          <w:ilvl w:val="0"/>
          <w:numId w:val="1194"/>
        </w:numPr>
        <w:pStyle w:val="Compact"/>
      </w:pPr>
      <w:r>
        <w:rPr>
          <w:bCs/>
          <w:b/>
        </w:rPr>
        <w:t xml:space="preserve">Maladies du motoneurone :</w:t>
      </w:r>
      <w:r>
        <w:t xml:space="preserve"> </w:t>
      </w:r>
      <w:r>
        <w:t xml:space="preserve">dans une étude ouverte portant sur 27 personnes, le Semax n’a modifié ni l’évolution de l’atteinte nerveuse à l’électromyogramme ni les échelles d’évaluation clinique. Les scores de qualité de vie se sont améliorés, surtout l’humeur et la motivation, le plus nettement au dixième jour</w:t>
      </w:r>
      <w:r>
        <w:rPr>
          <w:rStyle w:val="FootnoteReference"/>
        </w:rPr>
        <w:footnoteReference w:id="1617"/>
      </w:r>
      <w:r>
        <w:t xml:space="preserve">. Sans groupe placebo, un effet d’attente ne peut être exclu.</w:t>
      </w:r>
    </w:p>
    <w:p>
      <w:pPr>
        <w:numPr>
          <w:ilvl w:val="0"/>
          <w:numId w:val="1194"/>
        </w:numPr>
        <w:pStyle w:val="Compact"/>
      </w:pPr>
      <w:r>
        <w:rPr>
          <w:bCs/>
          <w:b/>
        </w:rPr>
        <w:t xml:space="preserve">Maladies du nerf optique :</w:t>
      </w:r>
      <w:r>
        <w:t xml:space="preserve"> </w:t>
      </w:r>
      <w:r>
        <w:t xml:space="preserve">une étude contrôlée rapporte de meilleures fonctions visuelles avec un traitement complémentaire par Semax, sans chiffres dans le résumé</w:t>
      </w:r>
      <w:r>
        <w:rPr>
          <w:rStyle w:val="FootnoteReference"/>
        </w:rPr>
        <w:footnoteReference w:id="1618"/>
      </w:r>
      <w:r>
        <w:t xml:space="preserve">.</w:t>
      </w:r>
    </w:p>
    <w:p>
      <w:pPr>
        <w:numPr>
          <w:ilvl w:val="0"/>
          <w:numId w:val="1194"/>
        </w:numPr>
        <w:pStyle w:val="Compact"/>
      </w:pPr>
      <w:r>
        <w:rPr>
          <w:bCs/>
          <w:b/>
        </w:rPr>
        <w:t xml:space="preserve">Séquelles d’un manque d’oxygène :</w:t>
      </w:r>
      <w:r>
        <w:t xml:space="preserve"> </w:t>
      </w:r>
      <w:r>
        <w:t xml:space="preserve">chez 73 personnes présentant une lésion cérébrale après un manque d’oxygène, les auteurs décrivent un effet sur les troubles de la mémoire. Chez certaines, des épisodes d’activité de type crise sont apparus à l’EEG après l’administration ; les auteurs recommandent donc d’effectuer la première administration sous contrôle EEG</w:t>
      </w:r>
      <w:r>
        <w:rPr>
          <w:rStyle w:val="FootnoteReference"/>
        </w:rPr>
        <w:footnoteReference w:id="1619"/>
      </w:r>
      <w:r>
        <w:t xml:space="preserve">.</w:t>
      </w:r>
    </w:p>
    <w:p>
      <w:pPr>
        <w:numPr>
          <w:ilvl w:val="0"/>
          <w:numId w:val="1194"/>
        </w:numPr>
        <w:pStyle w:val="Compact"/>
      </w:pPr>
      <w:r>
        <w:rPr>
          <w:bCs/>
          <w:b/>
        </w:rPr>
        <w:t xml:space="preserve">Ulcère gastrique :</w:t>
      </w:r>
      <w:r>
        <w:t xml:space="preserve"> </w:t>
      </w:r>
      <w:r>
        <w:t xml:space="preserve">dans un travail sur les ulcères gastriques réfractaires, 89,5 % des ulcères étaient cicatrisés après 14 jours sous Semax en complément du traitement standard, contre 30,8 % dans le groupe témoin</w:t>
      </w:r>
      <w:r>
        <w:rPr>
          <w:rStyle w:val="FootnoteReference"/>
        </w:rPr>
        <w:footnoteReference w:id="1620"/>
      </w:r>
      <w:r>
        <w:t xml:space="preserve">. Le résumé ne précise ni la taille des groupes ni la répartition ; les auteurs eux-mêmes réclament d’autres études.</w:t>
      </w:r>
    </w:p>
    <w:bookmarkEnd w:id="1621"/>
    <w:bookmarkStart w:id="1623" w:name="personnes-en-bonne-santé-et-nootropique"/>
    <w:p>
      <w:pPr>
        <w:pStyle w:val="Heading4"/>
      </w:pPr>
      <w:r>
        <w:t xml:space="preserve">Personnes en bonne santé et « nootropique »</w:t>
      </w:r>
    </w:p>
    <w:p>
      <w:pPr>
        <w:pStyle w:val="FirstParagraph"/>
      </w:pPr>
      <w:r>
        <w:t xml:space="preserve">Sur Internet, le Semax est surtout proposé comme moyen d’améliorer la concentration et la mémoire chez les personnes en bonne santé. Des études solides à ce sujet font défaut. Une revue des concepteurs datant des années 1990 rapporte que le Semax améliorerait la mémoire et l’attention d’hommes en bonne santé « dans des conditions extrêmes », mais ne donne aucune donnée d’étude dans le résumé</w:t>
      </w:r>
      <w:r>
        <w:rPr>
          <w:rStyle w:val="FootnoteReference"/>
        </w:rPr>
        <w:footnoteReference w:id="1622"/>
      </w:r>
      <w:r>
        <w:t xml:space="preserve">. Deux petites études d’imagerie chez des personnes en bonne santé ont montré, après une administration unique, des schémas d’activité modifiés en IRM fonctionnelle (Lebedeva 2018, PMID 30225715 ; Panikratova 2020, PMID 32342318, 52 personnes en bonne santé avec Semax, Selank ou placebo). Une activité cérébrale modifiée dans le scanner n’est toutefois pas une preuve de meilleures performances au quotidien.</w:t>
      </w:r>
    </w:p>
    <w:bookmarkEnd w:id="1623"/>
    <w:bookmarkEnd w:id="1624"/>
    <w:bookmarkStart w:id="1629" w:name="études-animales-et-de-laboratoire-34"/>
    <w:p>
      <w:pPr>
        <w:pStyle w:val="Heading3"/>
      </w:pPr>
      <w:r>
        <w:t xml:space="preserve">Études animales et de laboratoire</w:t>
      </w:r>
    </w:p>
    <w:p>
      <w:pPr>
        <w:pStyle w:val="FirstParagraph"/>
      </w:pPr>
      <w:r>
        <w:t xml:space="preserve">La littérature préclinique est abondante et provient elle aussi majoritairement de Moscou :</w:t>
      </w:r>
    </w:p>
    <w:p>
      <w:pPr>
        <w:numPr>
          <w:ilvl w:val="0"/>
          <w:numId w:val="1195"/>
        </w:numPr>
        <w:pStyle w:val="Compact"/>
      </w:pPr>
      <w:r>
        <w:t xml:space="preserve">Chez des rats ayant subi un AVC provoqué artificiellement, le Semax a modifié l’activité de gènes du système immunitaire et vasculaire</w:t>
      </w:r>
      <w:r>
        <w:rPr>
          <w:rStyle w:val="FootnoteReference"/>
        </w:rPr>
        <w:footnoteReference w:id="1625"/>
      </w:r>
      <w:r>
        <w:t xml:space="preserve">.</w:t>
      </w:r>
    </w:p>
    <w:p>
      <w:pPr>
        <w:numPr>
          <w:ilvl w:val="0"/>
          <w:numId w:val="1195"/>
        </w:numPr>
        <w:pStyle w:val="Compact"/>
      </w:pPr>
      <w:r>
        <w:t xml:space="preserve">Chez des rats dont le système dopaminergique avait été endommagé par la neurotoxine MPTP, le Semax a réduit les troubles moteurs et anxieux</w:t>
      </w:r>
      <w:r>
        <w:rPr>
          <w:rStyle w:val="FootnoteReference"/>
        </w:rPr>
        <w:footnoteReference w:id="1626"/>
      </w:r>
      <w:r>
        <w:t xml:space="preserve">.</w:t>
      </w:r>
    </w:p>
    <w:p>
      <w:pPr>
        <w:numPr>
          <w:ilvl w:val="0"/>
          <w:numId w:val="1195"/>
        </w:numPr>
        <w:pStyle w:val="Compact"/>
      </w:pPr>
      <w:r>
        <w:t xml:space="preserve">Chez des souris génétiquement modifiées présentant des dépôts de type Alzheimer, le Semax et un dérivé ont amélioré le comportement dans des tests de mémoire et réduit le nombre de dépôts amyloïdes</w:t>
      </w:r>
      <w:r>
        <w:rPr>
          <w:rStyle w:val="FootnoteReference"/>
        </w:rPr>
        <w:footnoteReference w:id="1627"/>
      </w:r>
      <w:r>
        <w:t xml:space="preserve">.</w:t>
      </w:r>
    </w:p>
    <w:p>
      <w:pPr>
        <w:numPr>
          <w:ilvl w:val="0"/>
          <w:numId w:val="1195"/>
        </w:numPr>
        <w:pStyle w:val="Compact"/>
      </w:pPr>
      <w:r>
        <w:t xml:space="preserve">Dans des expériences de laboratoire, le Semax lie les ions cuivre, ce qui atténuait la formation de radicaux oxygénés nocifs par des complexes amyloïde-cuivre</w:t>
      </w:r>
      <w:r>
        <w:rPr>
          <w:rStyle w:val="FootnoteReference"/>
        </w:rPr>
        <w:footnoteReference w:id="1628"/>
      </w:r>
      <w:r>
        <w:t xml:space="preserve">.</w:t>
      </w:r>
    </w:p>
    <w:p>
      <w:pPr>
        <w:pStyle w:val="FirstParagraph"/>
      </w:pPr>
      <w:r>
        <w:t xml:space="preserve">Ces résultats sont des résultats animaux et de laboratoire. De nombreuses substances qui protégeaient dans de tels modèles ont ensuite échoué chez l’humain.</w:t>
      </w:r>
    </w:p>
    <w:bookmarkEnd w:id="1629"/>
    <w:bookmarkStart w:id="1633" w:name="risques-et-effets-indésirables-34"/>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recueillies systématiquement dans des études plus vastes. Les travaux russes décrivent le Semax comme bien toléré, parfois expressément aussi chez les personnes âgées</w:t>
      </w:r>
      <w:r>
        <w:rPr>
          <w:rStyle w:val="FootnoteReference"/>
        </w:rPr>
        <w:footnoteReference w:id="1630"/>
      </w:r>
      <w:r>
        <w:t xml:space="preserve">. Un signal à prendre au sérieux est l’observation de modifications EEG de type crise après administration chez quelques personnes au cerveau déjà lésé</w:t>
      </w:r>
      <w:r>
        <w:rPr>
          <w:rStyle w:val="FootnoteReference"/>
        </w:rPr>
        <w:footnoteReference w:id="1631"/>
      </w:r>
      <w:r>
        <w:t xml:space="preserve">.</w:t>
      </w:r>
    </w:p>
    <w:p>
      <w:pPr>
        <w:pStyle w:val="BodyText"/>
      </w:pPr>
      <w:r>
        <w:rPr>
          <w:bCs/>
          <w:b/>
        </w:rPr>
        <w:t xml:space="preserve">Théorique :</w:t>
      </w:r>
      <w:r>
        <w:t xml:space="preserve"> </w:t>
      </w:r>
      <w:r>
        <w:t xml:space="preserve">le Semax influencerait des facteurs de croissance et des gènes immunitaires ; les conséquences à long terme de telles interventions n’ont pas été étudiées. Les données manquent pour la grossesse, l’allaitement, les enfants, l’épilepsie et les maladies psychiques.</w:t>
      </w:r>
    </w:p>
    <w:p>
      <w:pPr>
        <w:pStyle w:val="BodyText"/>
      </w:pPr>
      <w:r>
        <w:rPr>
          <w:bCs/>
          <w:b/>
        </w:rPr>
        <w:t xml:space="preserve">Marché gris :</w:t>
      </w:r>
      <w:r>
        <w:t xml:space="preserve"> </w:t>
      </w:r>
      <w:r>
        <w:t xml:space="preserve">en dehors de la Russie, le Semax est le plus souvent vendu comme « Research Peptide » ou comme solution nasale préparée soi-même. La teneur, la pureté et la stérilité de ces produits ne sont pas contrôlées. Un laboratoire de contrôle des médicaments a identifié en 2017 et 2018 du Semax et du Selank dans des préparations inconnues saisies et a constaté, lors d’une recherche en ligne, que ces « peptides nootropiques » sont proposés librement sous forme de poudre pour injection ou de spray nasal</w:t>
      </w:r>
      <w:r>
        <w:rPr>
          <w:rStyle w:val="FootnoteReference"/>
        </w:rPr>
        <w:footnoteReference w:id="1632"/>
      </w:r>
      <w:r>
        <w:t xml:space="preserve">. Plus de détails dans la partie I et la partie IV.</w:t>
      </w:r>
    </w:p>
    <w:bookmarkEnd w:id="1633"/>
    <w:bookmarkStart w:id="1634" w:name="statut-juridique-34"/>
    <w:p>
      <w:pPr>
        <w:pStyle w:val="Heading3"/>
      </w:pPr>
      <w:r>
        <w:t xml:space="preserve">Statut juridique</w:t>
      </w:r>
    </w:p>
    <w:p>
      <w:pPr>
        <w:numPr>
          <w:ilvl w:val="0"/>
          <w:numId w:val="1196"/>
        </w:numPr>
        <w:pStyle w:val="Compact"/>
      </w:pPr>
      <w:r>
        <w:rPr>
          <w:bCs/>
          <w:b/>
        </w:rPr>
        <w:t xml:space="preserve">UE / Autriche / Allemagne :</w:t>
      </w:r>
      <w:r>
        <w:t xml:space="preserve"> </w:t>
      </w:r>
      <w:r>
        <w:t xml:space="preserve">le Semax n’est pas autorisé. En tant que substance destinée à agir sur les fonctions de l’organisme, il est considéré comme un médicament ; sa vente et sa publicité sans autorisation ne sont pas permises. L’importation depuis la Russie en tant que médicament est soumise aux règles applicables aux importations individuelles.</w:t>
      </w:r>
    </w:p>
    <w:p>
      <w:pPr>
        <w:numPr>
          <w:ilvl w:val="0"/>
          <w:numId w:val="1196"/>
        </w:numPr>
        <w:pStyle w:val="Compact"/>
      </w:pPr>
      <w:r>
        <w:rPr>
          <w:bCs/>
          <w:b/>
        </w:rPr>
        <w:t xml:space="preserve">États-Unis :</w:t>
      </w:r>
      <w:r>
        <w:t xml:space="preserve"> </w:t>
      </w:r>
      <w:r>
        <w:t xml:space="preserve">non autorisé. La FDA a retiré le Semax de sa liste « catégorie 2 » en avril 2026 ; le comité consultatif PCAC a voté en juillet 2026, par 8 voix contre 5, pour l’inscription du Semax sur la liste des substances que les pharmacies peuvent utiliser pour des préparations magistrales. Les experts de la FDA l’avaient déconseillé ; la décision de l’autorité était en attente au moment de la clôture de la rédaction (état octobre 2026, à vérifier).</w:t>
      </w:r>
    </w:p>
    <w:p>
      <w:pPr>
        <w:numPr>
          <w:ilvl w:val="0"/>
          <w:numId w:val="1196"/>
        </w:numPr>
        <w:pStyle w:val="Compact"/>
      </w:pPr>
      <w:r>
        <w:rPr>
          <w:bCs/>
          <w:b/>
        </w:rPr>
        <w:t xml:space="preserve">Russie :</w:t>
      </w:r>
      <w:r>
        <w:t xml:space="preserve"> </w:t>
      </w:r>
      <w:r>
        <w:t xml:space="preserve">enregistré comme médicament et disponible en pharmacie.</w:t>
      </w:r>
    </w:p>
    <w:p>
      <w:pPr>
        <w:numPr>
          <w:ilvl w:val="0"/>
          <w:numId w:val="1196"/>
        </w:numPr>
        <w:pStyle w:val="Compact"/>
      </w:pPr>
      <w:r>
        <w:rPr>
          <w:bCs/>
          <w:b/>
        </w:rPr>
        <w:t xml:space="preserve">Sport :</w:t>
      </w:r>
      <w:r>
        <w:t xml:space="preserve"> </w:t>
      </w:r>
      <w:r>
        <w:t xml:space="preserve">pas nommément sur la liste de l’AMA (état 2026, à vérifier).</w:t>
      </w:r>
    </w:p>
    <w:bookmarkEnd w:id="1634"/>
    <w:bookmarkStart w:id="1635" w:name="études-en-cours-et-perspectives-34"/>
    <w:p>
      <w:pPr>
        <w:pStyle w:val="Heading3"/>
      </w:pPr>
      <w:r>
        <w:t xml:space="preserve">Études en cours et perspectives</w:t>
      </w:r>
    </w:p>
    <w:p>
      <w:pPr>
        <w:pStyle w:val="FirstParagraph"/>
      </w:pPr>
      <w:r>
        <w:rPr>
          <w:bCs/>
          <w:b/>
        </w:rPr>
        <w:t xml:space="preserve">Établi :</w:t>
      </w:r>
      <w:r>
        <w:t xml:space="preserve"> </w:t>
      </w:r>
      <w:r>
        <w:t xml:space="preserve">aucune étude avec le Semax n’est enregistrée sur ClinicalTrials.gov (requête d’octobre 2026). La recherche en Russie reste concentrée sur des modèles animaux, par exemple sur l’activité génique après un AVC et sur des modèles de la maladie d’Alzheimer.</w:t>
      </w:r>
    </w:p>
    <w:p>
      <w:pPr>
        <w:pStyle w:val="BodyText"/>
      </w:pPr>
      <w:r>
        <w:rPr>
          <w:bCs/>
          <w:b/>
        </w:rPr>
        <w:t xml:space="preserve">Appréciation :</w:t>
      </w:r>
      <w:r>
        <w:t xml:space="preserve"> </w:t>
      </w:r>
      <w:r>
        <w:t xml:space="preserve">sans une étude suffisamment vaste, en aveugle et enregistrée au niveau international, le Semax n’obtiendra guère d’autorisation hors de Russie. Le débat aux États-Unis porte sur les préparations magistrales des pharmacies, non sur une preuve d’efficacité.</w:t>
      </w:r>
    </w:p>
    <w:bookmarkEnd w:id="1635"/>
    <w:bookmarkStart w:id="1636" w:name="conclusion-34"/>
    <w:p>
      <w:pPr>
        <w:pStyle w:val="Heading3"/>
      </w:pPr>
      <w:r>
        <w:t xml:space="preserve">Conclusion</w:t>
      </w:r>
    </w:p>
    <w:p>
      <w:pPr>
        <w:pStyle w:val="FirstParagraph"/>
      </w:pPr>
      <w:r>
        <w:t xml:space="preserve">Le Semax est un peptide utilisé en Russie depuis des décennies, dérivé d’un fragment d’ACTH, qui a augmenté les facteurs de croissance nerveuse chez le rat. Les études chez l’humain sont petites, le plus souvent non randomisées, et proviennent presque exclusivement de l’entourage des concepteurs ; dans l’AVC, elles rapportent une récupération plus rapide et des taux de BDNF plus élevés, sans tailles d’effet au niveau international. Pour l’amélioration des performances chez les personnes en bonne santé, il n’existe pas de données probantes. Les données ne suffisent pas pour juger d’un bénéfice ou de la sécurité à long terme.</w:t>
      </w:r>
    </w:p>
    <w:bookmarkEnd w:id="1636"/>
    <w:bookmarkEnd w:id="1637"/>
    <w:bookmarkStart w:id="1660" w:name="selank"/>
    <w:p>
      <w:pPr>
        <w:pStyle w:val="Heading2"/>
      </w:pPr>
      <w:r>
        <w:t xml:space="preserve">Selank</w:t>
      </w:r>
    </w:p>
    <w:bookmarkStart w:id="1638" w:name="fiche-signalétique-35"/>
    <w:p>
      <w:pPr>
        <w:pStyle w:val="Heading3"/>
      </w:pPr>
      <w:r>
        <w:t xml:space="preserve">Fiche signalétique</w:t>
      </w:r>
    </w:p>
    <w:p>
      <w:pPr>
        <w:numPr>
          <w:ilvl w:val="0"/>
          <w:numId w:val="1197"/>
        </w:numPr>
        <w:pStyle w:val="Compact"/>
      </w:pPr>
      <w:r>
        <w:rPr>
          <w:bCs/>
          <w:b/>
        </w:rPr>
        <w:t xml:space="preserve">Nature et structure :</w:t>
      </w:r>
      <w:r>
        <w:t xml:space="preserve"> </w:t>
      </w:r>
      <w:r>
        <w:t xml:space="preserve">heptapeptide de synthèse (Thr-Lys-Pro-Arg-Pro-Gly-Pro). Les quatre premiers acides aminés correspondent à la tuftsine, un peptide endogène clivé d’un fragment d’anticorps et qui stimule les cellules immunitaires ; y est accrochée – comme pour le Semax – la séquence stabilisatrice Pro-Gly-Pro.</w:t>
      </w:r>
    </w:p>
    <w:p>
      <w:pPr>
        <w:numPr>
          <w:ilvl w:val="0"/>
          <w:numId w:val="1197"/>
        </w:numPr>
        <w:pStyle w:val="Compact"/>
      </w:pPr>
      <w:r>
        <w:rPr>
          <w:bCs/>
          <w:b/>
        </w:rPr>
        <w:t xml:space="preserve">Origine :</w:t>
      </w:r>
      <w:r>
        <w:t xml:space="preserve"> </w:t>
      </w:r>
      <w:r>
        <w:t xml:space="preserve">développé à Moscou à l’Institut de génétique moléculaire et à l’Institut de pharmacologie Zakoussov.</w:t>
      </w:r>
    </w:p>
    <w:p>
      <w:pPr>
        <w:numPr>
          <w:ilvl w:val="0"/>
          <w:numId w:val="1197"/>
        </w:numPr>
        <w:pStyle w:val="Compact"/>
      </w:pPr>
      <w:r>
        <w:rPr>
          <w:bCs/>
          <w:b/>
        </w:rPr>
        <w:t xml:space="preserve">Principe d’action :</w:t>
      </w:r>
      <w:r>
        <w:t xml:space="preserve"> </w:t>
      </w:r>
      <w:r>
        <w:t xml:space="preserve">aurait un effet anxiolytique sans provoquer de somnolence ni de dépendance comme les benzodiazépines. Sont évoqués une inhibition de la dégradation des enképhalines endogènes (messagers qui atténuent la douleur et le stress), des influences sur le système GABA et sur des messagers immunitaires. Il est administré en gouttes nasales.</w:t>
      </w:r>
    </w:p>
    <w:p>
      <w:pPr>
        <w:numPr>
          <w:ilvl w:val="0"/>
          <w:numId w:val="1197"/>
        </w:numPr>
        <w:pStyle w:val="Compact"/>
      </w:pPr>
      <w:r>
        <w:rPr>
          <w:bCs/>
          <w:b/>
        </w:rPr>
        <w:t xml:space="preserve">Autorisation UE :</w:t>
      </w:r>
      <w:r>
        <w:t xml:space="preserve"> </w:t>
      </w:r>
      <w:r>
        <w:t xml:space="preserve">non.</w:t>
      </w:r>
    </w:p>
    <w:p>
      <w:pPr>
        <w:numPr>
          <w:ilvl w:val="0"/>
          <w:numId w:val="1197"/>
        </w:numPr>
        <w:pStyle w:val="Compact"/>
      </w:pPr>
      <w:r>
        <w:rPr>
          <w:bCs/>
          <w:b/>
        </w:rPr>
        <w:t xml:space="preserve">Autorisation États-Unis :</w:t>
      </w:r>
      <w:r>
        <w:t xml:space="preserve"> </w:t>
      </w:r>
      <w:r>
        <w:t xml:space="preserve">non. Le Selank figurait en 2023 sur la liste « catégorie 2 » de la FDA pour les préparations magistrales ; le statut actuel est documenté de manière contradictoire (état octobre 2026, à vérifier).</w:t>
      </w:r>
    </w:p>
    <w:p>
      <w:pPr>
        <w:numPr>
          <w:ilvl w:val="0"/>
          <w:numId w:val="1197"/>
        </w:numPr>
        <w:pStyle w:val="Compact"/>
      </w:pPr>
      <w:r>
        <w:rPr>
          <w:bCs/>
          <w:b/>
        </w:rPr>
        <w:t xml:space="preserve">Russie :</w:t>
      </w:r>
      <w:r>
        <w:t xml:space="preserve"> </w:t>
      </w:r>
      <w:r>
        <w:t xml:space="preserve">enregistré comme médicament (anxiolytique).</w:t>
      </w:r>
    </w:p>
    <w:p>
      <w:pPr>
        <w:numPr>
          <w:ilvl w:val="0"/>
          <w:numId w:val="1197"/>
        </w:numPr>
        <w:pStyle w:val="Compact"/>
      </w:pPr>
      <w:r>
        <w:rPr>
          <w:bCs/>
          <w:b/>
        </w:rPr>
        <w:t xml:space="preserve">AMA (WADA) :</w:t>
      </w:r>
      <w:r>
        <w:t xml:space="preserve"> </w:t>
      </w:r>
      <w:r>
        <w:t xml:space="preserve">pas nommément listé.</w:t>
      </w:r>
    </w:p>
    <w:p>
      <w:pPr>
        <w:numPr>
          <w:ilvl w:val="0"/>
          <w:numId w:val="1197"/>
        </w:numPr>
        <w:pStyle w:val="Compact"/>
      </w:pPr>
      <w:r>
        <w:rPr>
          <w:bCs/>
          <w:b/>
        </w:rPr>
        <w:t xml:space="preserve">Niveau de preuve :</w:t>
      </w:r>
      <w:r>
        <w:t xml:space="preserve"> </w:t>
      </w:r>
      <w:r>
        <w:rPr>
          <w:bCs/>
          <w:b/>
        </w:rPr>
        <w:t xml:space="preserve">C</w:t>
      </w:r>
      <w:r>
        <w:t xml:space="preserve"> </w:t>
      </w:r>
      <w:r>
        <w:t xml:space="preserve">– trois petites études comparatives russes, sans contrôle placebo et sans enregistrement.</w:t>
      </w:r>
    </w:p>
    <w:bookmarkEnd w:id="1638"/>
    <w:bookmarkStart w:id="1642" w:name="mode-daction-supposé-35"/>
    <w:p>
      <w:pPr>
        <w:pStyle w:val="Heading3"/>
      </w:pPr>
      <w:r>
        <w:t xml:space="preserve">Mode d’action supposé</w:t>
      </w:r>
    </w:p>
    <w:p>
      <w:pPr>
        <w:pStyle w:val="FirstParagraph"/>
      </w:pPr>
      <w:r>
        <w:t xml:space="preserve">La tuftsine est un peptide court qui active les cellules phagocytaires du système immunitaire. Des expérimentations animales ont montré que des variantes de celle-ci influencent aussi le comportement. Le Selank est une telle variante, censée rester plus longtemps dans l’organisme grâce au Pro-Gly-Pro ajouté.</w:t>
      </w:r>
    </w:p>
    <w:p>
      <w:pPr>
        <w:pStyle w:val="BodyText"/>
      </w:pPr>
      <w:r>
        <w:t xml:space="preserve">Il existe plusieurs hypothèses sur le mécanisme, fondées sur des données de laboratoire et animales :</w:t>
      </w:r>
    </w:p>
    <w:p>
      <w:pPr>
        <w:numPr>
          <w:ilvl w:val="0"/>
          <w:numId w:val="1198"/>
        </w:numPr>
        <w:pStyle w:val="Compact"/>
      </w:pPr>
      <w:r>
        <w:rPr>
          <w:bCs/>
          <w:b/>
        </w:rPr>
        <w:t xml:space="preserve">Enképhalines :</w:t>
      </w:r>
      <w:r>
        <w:t xml:space="preserve"> </w:t>
      </w:r>
      <w:r>
        <w:t xml:space="preserve">dans du sérum sanguin, le Selank a inhibé in vitro des enzymes qui dégradent les enképhalines. Les chercheurs ont en outre constaté chez des personnes atteintes de trouble anxieux généralisé une demi-vie raccourcie des enképhalines dans le sang et en ont conclu que le Selank pourrait agir par cette voie</w:t>
      </w:r>
      <w:r>
        <w:rPr>
          <w:rStyle w:val="FootnoteReference"/>
        </w:rPr>
        <w:footnoteReference w:id="1639"/>
      </w:r>
      <w:r>
        <w:t xml:space="preserve">.</w:t>
      </w:r>
    </w:p>
    <w:p>
      <w:pPr>
        <w:numPr>
          <w:ilvl w:val="0"/>
          <w:numId w:val="1198"/>
        </w:numPr>
        <w:pStyle w:val="Compact"/>
      </w:pPr>
      <w:r>
        <w:rPr>
          <w:bCs/>
          <w:b/>
        </w:rPr>
        <w:t xml:space="preserve">Système GABA :</w:t>
      </w:r>
      <w:r>
        <w:t xml:space="preserve"> </w:t>
      </w:r>
      <w:r>
        <w:t xml:space="preserve">chez le rat, le Selank a modifié, une heure après l’administration, l’activité de 45 des 84 gènes de la neurotransmission étudiés dans le cortex cérébral, de manière semblable au messager GABA lui-même. Les auteurs supposent une influence sur le système GABA, sur lequel agissent aussi les benzodiazépines</w:t>
      </w:r>
      <w:r>
        <w:rPr>
          <w:rStyle w:val="FootnoteReference"/>
        </w:rPr>
        <w:footnoteReference w:id="1640"/>
      </w:r>
      <w:r>
        <w:t xml:space="preserve">.</w:t>
      </w:r>
    </w:p>
    <w:p>
      <w:pPr>
        <w:numPr>
          <w:ilvl w:val="0"/>
          <w:numId w:val="1198"/>
        </w:numPr>
        <w:pStyle w:val="Compact"/>
      </w:pPr>
      <w:r>
        <w:rPr>
          <w:bCs/>
          <w:b/>
        </w:rPr>
        <w:t xml:space="preserve">Système immunitaire :</w:t>
      </w:r>
      <w:r>
        <w:t xml:space="preserve"> </w:t>
      </w:r>
      <w:r>
        <w:t xml:space="preserve">chez le rat et la souris, le Selank a influencé des gènes de l’inflammation ; dans des cultures cellulaires et chez la souris, il a montré des effets contre les virus de la grippe</w:t>
      </w:r>
      <w:r>
        <w:rPr>
          <w:rStyle w:val="FootnoteReference"/>
        </w:rPr>
        <w:footnoteReference w:id="1641"/>
      </w:r>
      <w:r>
        <w:t xml:space="preserve">.</w:t>
      </w:r>
    </w:p>
    <w:p>
      <w:pPr>
        <w:pStyle w:val="FirstParagraph"/>
      </w:pPr>
      <w:r>
        <w:t xml:space="preserve">La quantité de Selank qui atteint réellement le cerveau chez l’humain après administration nasale n’a pas été publiée.</w:t>
      </w:r>
    </w:p>
    <w:bookmarkEnd w:id="1642"/>
    <w:bookmarkStart w:id="1650" w:name="études-chez-lhumain-35"/>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3 publications classées comme études chez l’humain ; au total, PubMed recense environ 70 travaux comportant « Selank » dans le titre ou le résumé, presque tous des expérimentations animales. La recherche sur ClinicalTrials.gov a donné 2 résultats – qui, à l’examen, concernent tous deux d’autres procédés (stimulation cérébrale) et non une étude sur le Selank. Il n’existe donc aucune étude clinique enregistrée avec le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Zozulia 2008, PMID 18454096</w:t>
            </w:r>
          </w:p>
        </w:tc>
        <w:tc>
          <w:tcPr/>
          <w:p>
            <w:pPr>
              <w:pStyle w:val="Compact"/>
              <w:jc w:val="left"/>
            </w:pPr>
            <w:r>
              <w:t xml:space="preserve">62 personnes atteintes de trouble anxieux généralisé ou de neurasthénie ; Selank (30) contre médazépam (32)</w:t>
            </w:r>
          </w:p>
        </w:tc>
        <w:tc>
          <w:tcPr/>
          <w:p>
            <w:pPr>
              <w:pStyle w:val="Compact"/>
              <w:jc w:val="left"/>
            </w:pPr>
            <w:r>
              <w:t xml:space="preserve">absente du résumé</w:t>
            </w:r>
          </w:p>
        </w:tc>
        <w:tc>
          <w:tcPr/>
          <w:p>
            <w:pPr>
              <w:pStyle w:val="Compact"/>
              <w:jc w:val="left"/>
            </w:pPr>
            <w:r>
              <w:t xml:space="preserve">effet anxiolytique similaire des deux produits ; sous Selank, en plus, effet « stimulant »</w:t>
            </w:r>
          </w:p>
        </w:tc>
      </w:tr>
      <w:tr>
        <w:tc>
          <w:tcPr/>
          <w:p>
            <w:pPr>
              <w:pStyle w:val="Compact"/>
              <w:jc w:val="left"/>
            </w:pPr>
            <w:r>
              <w:t xml:space="preserve">Medvedev 2014, PMID 25176261</w:t>
            </w:r>
          </w:p>
        </w:tc>
        <w:tc>
          <w:tcPr/>
          <w:p>
            <w:pPr>
              <w:pStyle w:val="Compact"/>
              <w:jc w:val="left"/>
            </w:pPr>
            <w:r>
              <w:t xml:space="preserve">60 personnes atteintes de troubles anxieux et somatoformes ; Selank contre phénazépam</w:t>
            </w:r>
          </w:p>
        </w:tc>
        <w:tc>
          <w:tcPr/>
          <w:p>
            <w:pPr>
              <w:pStyle w:val="Compact"/>
              <w:jc w:val="left"/>
            </w:pPr>
            <w:r>
              <w:t xml:space="preserve">absente du résumé</w:t>
            </w:r>
          </w:p>
        </w:tc>
        <w:tc>
          <w:tcPr/>
          <w:p>
            <w:pPr>
              <w:pStyle w:val="Compact"/>
              <w:jc w:val="left"/>
            </w:pPr>
            <w:r>
              <w:t xml:space="preserve">selon les auteurs, net effet anxiolytique, persistant une semaine après l’arrêt</w:t>
            </w:r>
          </w:p>
        </w:tc>
      </w:tr>
      <w:tr>
        <w:tc>
          <w:tcPr/>
          <w:p>
            <w:pPr>
              <w:pStyle w:val="Compact"/>
              <w:jc w:val="left"/>
            </w:pPr>
            <w:r>
              <w:t xml:space="preserve">Medvedev 2015, PMID 26356395</w:t>
            </w:r>
          </w:p>
        </w:tc>
        <w:tc>
          <w:tcPr/>
          <w:p>
            <w:pPr>
              <w:pStyle w:val="Compact"/>
              <w:jc w:val="left"/>
            </w:pPr>
            <w:r>
              <w:t xml:space="preserve">70 personnes ; phénazépam seul (30) contre phénazépam plus Selank (40)</w:t>
            </w:r>
          </w:p>
        </w:tc>
        <w:tc>
          <w:tcPr/>
          <w:p>
            <w:pPr>
              <w:pStyle w:val="Compact"/>
              <w:jc w:val="left"/>
            </w:pPr>
            <w:r>
              <w:t xml:space="preserve">absente du résumé</w:t>
            </w:r>
          </w:p>
        </w:tc>
        <w:tc>
          <w:tcPr/>
          <w:p>
            <w:pPr>
              <w:pStyle w:val="Compact"/>
              <w:jc w:val="left"/>
            </w:pPr>
            <w:r>
              <w:t xml:space="preserve">début d’action plus rapide et moins d’effets indésirables du phénazépam dans le groupe association</w:t>
            </w:r>
          </w:p>
        </w:tc>
      </w:tr>
      <w:tr>
        <w:tc>
          <w:tcPr/>
          <w:p>
            <w:pPr>
              <w:pStyle w:val="Compact"/>
              <w:jc w:val="left"/>
            </w:pPr>
            <w:r>
              <w:t xml:space="preserve">Uchakina 2008, PMID 18577961</w:t>
            </w:r>
          </w:p>
        </w:tc>
        <w:tc>
          <w:tcPr/>
          <w:p>
            <w:pPr>
              <w:pStyle w:val="Compact"/>
              <w:jc w:val="left"/>
            </w:pPr>
            <w:r>
              <w:t xml:space="preserve">personnes atteintes de trouble anxieux ou de neurasthénie</w:t>
            </w:r>
          </w:p>
        </w:tc>
        <w:tc>
          <w:tcPr/>
          <w:p>
            <w:pPr>
              <w:pStyle w:val="Compact"/>
              <w:jc w:val="left"/>
            </w:pPr>
            <w:r>
              <w:t xml:space="preserve">14 jours</w:t>
            </w:r>
          </w:p>
        </w:tc>
        <w:tc>
          <w:tcPr/>
          <w:p>
            <w:pPr>
              <w:pStyle w:val="Compact"/>
              <w:jc w:val="left"/>
            </w:pPr>
            <w:r>
              <w:t xml:space="preserve">déplacements de l’équilibre des messagers immunitaires dans le sang</w:t>
            </w:r>
          </w:p>
        </w:tc>
      </w:tr>
      <w:tr>
        <w:tc>
          <w:tcPr/>
          <w:p>
            <w:pPr>
              <w:pStyle w:val="Compact"/>
              <w:jc w:val="left"/>
            </w:pPr>
            <w:r>
              <w:t xml:space="preserve">Panikratova 2020, PMID 32342318</w:t>
            </w:r>
          </w:p>
        </w:tc>
        <w:tc>
          <w:tcPr/>
          <w:p>
            <w:pPr>
              <w:pStyle w:val="Compact"/>
              <w:jc w:val="left"/>
            </w:pPr>
            <w:r>
              <w:t xml:space="preserve">52 personnes en bonne santé ; Selank, Semax ou placebo, administration unique</w:t>
            </w:r>
          </w:p>
        </w:tc>
        <w:tc>
          <w:tcPr/>
          <w:p>
            <w:pPr>
              <w:pStyle w:val="Compact"/>
              <w:jc w:val="left"/>
            </w:pPr>
            <w:r>
              <w:t xml:space="preserve">20 minutes</w:t>
            </w:r>
          </w:p>
        </w:tc>
        <w:tc>
          <w:tcPr/>
          <w:p>
            <w:pPr>
              <w:pStyle w:val="Compact"/>
              <w:jc w:val="left"/>
            </w:pPr>
            <w:r>
              <w:t xml:space="preserve">connexions fonctionnelles de l’amygdale modifiées à l’IRM</w:t>
            </w:r>
          </w:p>
        </w:tc>
      </w:tr>
    </w:tbl>
    <w:bookmarkStart w:id="1646" w:name="troubles-anxieux"/>
    <w:p>
      <w:pPr>
        <w:pStyle w:val="Heading4"/>
      </w:pPr>
      <w:r>
        <w:t xml:space="preserve">Troubles anxieux</w:t>
      </w:r>
    </w:p>
    <w:p>
      <w:pPr>
        <w:pStyle w:val="FirstParagraph"/>
      </w:pPr>
      <w:r>
        <w:t xml:space="preserve">Les trois études cliniques ont comparé le Selank à des benzodiazépines – le médazépam ou le phénazépam, répandu en Russie. Dans la première étude, portant sur 62 personnes, l’effet anxiolytique du Selank et du médazépam était similaire sur des échelles de questionnaire (Hamilton, Zung, CGI) ; le Selank aurait en outre agi contre l’épuisement. Les chercheurs ont aussi mesuré la demi-vie du messager Leu-enképhaline dans le sang, qui augmentait sous Selank</w:t>
      </w:r>
      <w:r>
        <w:rPr>
          <w:rStyle w:val="FootnoteReference"/>
        </w:rPr>
        <w:footnoteReference w:id="1643"/>
      </w:r>
      <w:r>
        <w:t xml:space="preserve">. Une deuxième étude, portant sur 60 personnes, décrit un effet anxiolytique marqué et un léger effet favorable sur la mémoire, qui persistait une semaine au-delà de la fin du traitement</w:t>
      </w:r>
      <w:r>
        <w:rPr>
          <w:rStyle w:val="FootnoteReference"/>
        </w:rPr>
        <w:footnoteReference w:id="1644"/>
      </w:r>
      <w:r>
        <w:t xml:space="preserve">.</w:t>
      </w:r>
    </w:p>
    <w:p>
      <w:pPr>
        <w:pStyle w:val="BodyText"/>
      </w:pPr>
      <w:r>
        <w:t xml:space="preserve">La troisième étude a testé le Selank en complément : 40 personnes ont reçu du phénazépam plus du Selank, 30 seulement du phénazépam. Dans le groupe association, l’effet est apparu plus tôt selon les auteurs, et les effets indésirables typiques des benzodiazépines, comme les troubles de l’attention et de la mémoire, la fatigue et les troubles sexuels, étaient plus rares – y compris après l’arrêt du tranquillisant</w:t>
      </w:r>
      <w:r>
        <w:rPr>
          <w:rStyle w:val="FootnoteReference"/>
        </w:rPr>
        <w:footnoteReference w:id="1645"/>
      </w:r>
      <w:r>
        <w:t xml:space="preserve">.</w:t>
      </w:r>
    </w:p>
    <w:p>
      <w:pPr>
        <w:pStyle w:val="BodyText"/>
      </w:pPr>
      <w:r>
        <w:t xml:space="preserve">Ces résultats semblent encourageants, mais ont des limites nettes :</w:t>
      </w:r>
    </w:p>
    <w:p>
      <w:pPr>
        <w:numPr>
          <w:ilvl w:val="0"/>
          <w:numId w:val="1199"/>
        </w:numPr>
        <w:pStyle w:val="Compact"/>
      </w:pPr>
      <w:r>
        <w:rPr>
          <w:bCs/>
          <w:b/>
        </w:rPr>
        <w:t xml:space="preserve">Pas de placebo :</w:t>
      </w:r>
      <w:r>
        <w:t xml:space="preserve"> </w:t>
      </w:r>
      <w:r>
        <w:t xml:space="preserve">dans les troubles anxieux, les symptômes s’améliorent souvent considérablement même sous médicament factice. Sans groupe placebo, on ne peut pas dire quelle part revient au Selank.</w:t>
      </w:r>
    </w:p>
    <w:p>
      <w:pPr>
        <w:numPr>
          <w:ilvl w:val="0"/>
          <w:numId w:val="1199"/>
        </w:numPr>
        <w:pStyle w:val="Compact"/>
      </w:pPr>
      <w:r>
        <w:rPr>
          <w:bCs/>
          <w:b/>
        </w:rPr>
        <w:t xml:space="preserve">« Efficacité similaire » n’est pas une preuve :</w:t>
      </w:r>
      <w:r>
        <w:t xml:space="preserve"> </w:t>
      </w:r>
      <w:r>
        <w:t xml:space="preserve">une démonstration d’équivalence nécessite des marges fixées à l’avance et un nombre suffisant de participants. Ni l’un ni l’autre n’apparaît dans les résumés.</w:t>
      </w:r>
    </w:p>
    <w:p>
      <w:pPr>
        <w:numPr>
          <w:ilvl w:val="0"/>
          <w:numId w:val="1199"/>
        </w:numPr>
        <w:pStyle w:val="Compact"/>
      </w:pPr>
      <w:r>
        <w:rPr>
          <w:bCs/>
          <w:b/>
        </w:rPr>
        <w:t xml:space="preserve">Observation courte, petits groupes, pas d’enregistrement :</w:t>
      </w:r>
      <w:r>
        <w:t xml:space="preserve"> </w:t>
      </w:r>
      <w:r>
        <w:t xml:space="preserve">toutes les études proviennent de centres russes, n’ont pas été déclarées au préalable dans un registre public et ont été publiées dans des revues spécialisées russophones.</w:t>
      </w:r>
    </w:p>
    <w:bookmarkEnd w:id="1646"/>
    <w:bookmarkStart w:id="1649" w:name="X122b6794622728836f123cbdc31739d5cb60baa"/>
    <w:p>
      <w:pPr>
        <w:pStyle w:val="Heading4"/>
      </w:pPr>
      <w:r>
        <w:t xml:space="preserve">Système immunitaire et personnes en bonne santé</w:t>
      </w:r>
    </w:p>
    <w:p>
      <w:pPr>
        <w:pStyle w:val="FirstParagraph"/>
      </w:pPr>
      <w:r>
        <w:t xml:space="preserve">Un travail décrit, chez des personnes présentant des états d’anxiété et d’épuisement, des modifications des messagers immunitaires (équilibre Th1/Th2) dans le sang après 14 jours de Selank ; in vitro, le Selank a supprimé la production du messager inflammatoire IL-6 dans des cellules sanguines de personnes dépressives</w:t>
      </w:r>
      <w:r>
        <w:rPr>
          <w:rStyle w:val="FootnoteReference"/>
        </w:rPr>
        <w:footnoteReference w:id="1647"/>
      </w:r>
      <w:r>
        <w:t xml:space="preserve">. On n’a pas étudié si cela a une portée clinique. Chez des personnes en bonne santé, une petite étude d’imagerie a montré, après administration unique, des connexions modifiées entre l’amygdale, une région cérébrale importante pour la peur, et des parties du lobe temporal</w:t>
      </w:r>
      <w:r>
        <w:rPr>
          <w:rStyle w:val="FootnoteReference"/>
        </w:rPr>
        <w:footnoteReference w:id="1648"/>
      </w:r>
      <w:r>
        <w:t xml:space="preserve">. Il n’existe aucune étude sur la concentration ou les performances chez les personnes en bonne santé – la principale promesse sur Internet.</w:t>
      </w:r>
    </w:p>
    <w:bookmarkEnd w:id="1649"/>
    <w:bookmarkEnd w:id="1650"/>
    <w:bookmarkStart w:id="1654" w:name="études-animales-et-de-laboratoire-35"/>
    <w:p>
      <w:pPr>
        <w:pStyle w:val="Heading3"/>
      </w:pPr>
      <w:r>
        <w:t xml:space="preserve">Études animales et de laboratoire</w:t>
      </w:r>
    </w:p>
    <w:p>
      <w:pPr>
        <w:numPr>
          <w:ilvl w:val="0"/>
          <w:numId w:val="1200"/>
        </w:numPr>
        <w:pStyle w:val="Compact"/>
      </w:pPr>
      <w:r>
        <w:t xml:space="preserve">Chez des rats ayant consommé de l’alcool pendant 30 semaines, le Selank a empêché les troubles de la mémoire et de l’attention lors du sevrage et a influencé la teneur en BDNF de l’hippocampe et du cortex frontal</w:t>
      </w:r>
      <w:r>
        <w:rPr>
          <w:rStyle w:val="FootnoteReference"/>
        </w:rPr>
        <w:footnoteReference w:id="1651"/>
      </w:r>
      <w:r>
        <w:t xml:space="preserve">.</w:t>
      </w:r>
    </w:p>
    <w:p>
      <w:pPr>
        <w:numPr>
          <w:ilvl w:val="0"/>
          <w:numId w:val="1200"/>
        </w:numPr>
        <w:pStyle w:val="Compact"/>
      </w:pPr>
      <w:r>
        <w:t xml:space="preserve">Chez le rat, le Selank a modifié l’activité de nombreux gènes du système GABA</w:t>
      </w:r>
      <w:r>
        <w:rPr>
          <w:rStyle w:val="FootnoteReference"/>
        </w:rPr>
        <w:footnoteReference w:id="1652"/>
      </w:r>
      <w:r>
        <w:t xml:space="preserve">.</w:t>
      </w:r>
    </w:p>
    <w:p>
      <w:pPr>
        <w:numPr>
          <w:ilvl w:val="0"/>
          <w:numId w:val="1200"/>
        </w:numPr>
        <w:pStyle w:val="Compact"/>
      </w:pPr>
      <w:r>
        <w:t xml:space="preserve">Dans des cultures cellulaires et chez la souris, le Selank a inhibé les virus de la grippe, le plus fortement lorsqu’il était administré avant l’infection</w:t>
      </w:r>
      <w:r>
        <w:rPr>
          <w:rStyle w:val="FootnoteReference"/>
        </w:rPr>
        <w:footnoteReference w:id="1653"/>
      </w:r>
      <w:r>
        <w:t xml:space="preserve">.</w:t>
      </w:r>
    </w:p>
    <w:p>
      <w:pPr>
        <w:numPr>
          <w:ilvl w:val="0"/>
          <w:numId w:val="1200"/>
        </w:numPr>
        <w:pStyle w:val="Compact"/>
      </w:pPr>
      <w:r>
        <w:t xml:space="preserve">D’autres travaux des mêmes groupes de recherche décrivent des effets chez les rongeurs en cas de stress, de sevrage de la morphine et de l’alcool et dans des modèles de la maladie de Parkinson.</w:t>
      </w:r>
    </w:p>
    <w:p>
      <w:pPr>
        <w:pStyle w:val="FirstParagraph"/>
      </w:pPr>
      <w:r>
        <w:t xml:space="preserve">Ces résultats sont des résultats animaux et de laboratoire et proviennent en grande partie d’un petit cercle de groupes de recherche.</w:t>
      </w:r>
    </w:p>
    <w:bookmarkEnd w:id="1654"/>
    <w:bookmarkStart w:id="1656" w:name="risques-et-effets-indésirables-35"/>
    <w:p>
      <w:pPr>
        <w:pStyle w:val="Heading3"/>
      </w:pPr>
      <w:r>
        <w:t xml:space="preserve">Risques et effets indésirables</w:t>
      </w:r>
    </w:p>
    <w:p>
      <w:pPr>
        <w:pStyle w:val="FirstParagraph"/>
      </w:pPr>
      <w:r>
        <w:rPr>
          <w:bCs/>
          <w:b/>
        </w:rPr>
        <w:t xml:space="preserve">Établi :</w:t>
      </w:r>
      <w:r>
        <w:t xml:space="preserve"> </w:t>
      </w:r>
      <w:r>
        <w:t xml:space="preserve">dans les petites études russes, le Selank est décrit comme bien toléré ; les résumés ne donnent pas de taux d’effets indésirables recueillis systématiquement. Les données à long terme et sur la dépendance ou les symptômes de sevrage font défaut.</w:t>
      </w:r>
    </w:p>
    <w:p>
      <w:pPr>
        <w:pStyle w:val="BodyText"/>
      </w:pPr>
      <w:r>
        <w:rPr>
          <w:bCs/>
          <w:b/>
        </w:rPr>
        <w:t xml:space="preserve">Théorique :</w:t>
      </w:r>
      <w:r>
        <w:t xml:space="preserve"> </w:t>
      </w:r>
      <w:r>
        <w:t xml:space="preserve">le Selank agirait sur les systèmes immunitaire, enképhalinergique et GABA. Les interactions avec les tranquillisants, l’alcool ou les antidépresseurs n’ont pas été étudiées ; l’étude russe d’association montre au moins que le Selank est utilisé conjointement avec des benzodiazépines. Il n’existe pas de données pour la grossesse, l’allaitement et les enfants.</w:t>
      </w:r>
    </w:p>
    <w:p>
      <w:pPr>
        <w:pStyle w:val="BodyText"/>
      </w:pPr>
      <w:r>
        <w:rPr>
          <w:bCs/>
          <w:b/>
        </w:rPr>
        <w:t xml:space="preserve">Marché gris :</w:t>
      </w:r>
      <w:r>
        <w:t xml:space="preserve"> </w:t>
      </w:r>
      <w:r>
        <w:t xml:space="preserve">en dehors de la Russie, le Selank est vendu comme « Research Peptide » sous forme de poudre pour injection ou de spray nasal. Un laboratoire de contrôle belge a trouvé du Selank dans des préparations inconnues saisies</w:t>
      </w:r>
      <w:r>
        <w:rPr>
          <w:rStyle w:val="FootnoteReference"/>
        </w:rPr>
        <w:footnoteReference w:id="1655"/>
      </w:r>
      <w:r>
        <w:t xml:space="preserve">. L’injection n’est pas une voie d’administration testée dans des études ; la pureté et la teneur de ces produits ne sont pas contrôlées.</w:t>
      </w:r>
    </w:p>
    <w:p>
      <w:pPr>
        <w:pStyle w:val="BodyText"/>
      </w:pPr>
      <w:r>
        <w:rPr>
          <w:bCs/>
          <w:b/>
        </w:rPr>
        <w:t xml:space="preserve">Important :</w:t>
      </w:r>
      <w:r>
        <w:t xml:space="preserve"> </w:t>
      </w:r>
      <w:r>
        <w:t xml:space="preserve">les troubles anxieux se traitent bien – par psychothérapie et par des médicaments autorisés dont l’efficacité est démontrée dans de grandes études contrôlées contre placebo. Un peptide du marché gris ne les remplace pas.</w:t>
      </w:r>
    </w:p>
    <w:bookmarkEnd w:id="1656"/>
    <w:bookmarkStart w:id="1657" w:name="statut-juridique-35"/>
    <w:p>
      <w:pPr>
        <w:pStyle w:val="Heading3"/>
      </w:pPr>
      <w:r>
        <w:t xml:space="preserve">Statut juridique</w:t>
      </w:r>
    </w:p>
    <w:p>
      <w:pPr>
        <w:numPr>
          <w:ilvl w:val="0"/>
          <w:numId w:val="1201"/>
        </w:numPr>
        <w:pStyle w:val="Compact"/>
      </w:pPr>
      <w:r>
        <w:rPr>
          <w:bCs/>
          <w:b/>
        </w:rPr>
        <w:t xml:space="preserve">UE / Autriche / Allemagne :</w:t>
      </w:r>
      <w:r>
        <w:t xml:space="preserve"> </w:t>
      </w:r>
      <w:r>
        <w:t xml:space="preserve">non autorisé ; en tant que substance à effet pharmacologique, le Selank est considéré comme un médicament, et sa mise sur le marché sans autorisation n’est pas permise.</w:t>
      </w:r>
    </w:p>
    <w:p>
      <w:pPr>
        <w:numPr>
          <w:ilvl w:val="0"/>
          <w:numId w:val="1201"/>
        </w:numPr>
        <w:pStyle w:val="Compact"/>
      </w:pPr>
      <w:r>
        <w:rPr>
          <w:bCs/>
          <w:b/>
        </w:rPr>
        <w:t xml:space="preserve">États-Unis :</w:t>
      </w:r>
      <w:r>
        <w:t xml:space="preserve"> </w:t>
      </w:r>
      <w:r>
        <w:t xml:space="preserve">non autorisé. Le Selank a été inscrit en 2023 dans la « catégorie 2 » de la FDA pour les substances de préparation magistrale présentant des problèmes de sécurité ; selon certaines informations, la nomination a ensuite été retirée. Le Selank ne faisait pas partie des peptides évalués par le comité consultatif PCAC en juillet 2026. À l’état actuel des connaissances, il n’existe pas d’autorisation pour les préparations magistrales en pharmacie (état octobre 2026, à vérifier).</w:t>
      </w:r>
    </w:p>
    <w:p>
      <w:pPr>
        <w:numPr>
          <w:ilvl w:val="0"/>
          <w:numId w:val="1201"/>
        </w:numPr>
        <w:pStyle w:val="Compact"/>
      </w:pPr>
      <w:r>
        <w:rPr>
          <w:bCs/>
          <w:b/>
        </w:rPr>
        <w:t xml:space="preserve">Russie :</w:t>
      </w:r>
      <w:r>
        <w:t xml:space="preserve"> </w:t>
      </w:r>
      <w:r>
        <w:t xml:space="preserve">enregistré comme médicament.</w:t>
      </w:r>
    </w:p>
    <w:p>
      <w:pPr>
        <w:numPr>
          <w:ilvl w:val="0"/>
          <w:numId w:val="1201"/>
        </w:numPr>
        <w:pStyle w:val="Compact"/>
      </w:pPr>
      <w:r>
        <w:rPr>
          <w:bCs/>
          <w:b/>
        </w:rPr>
        <w:t xml:space="preserve">Sport :</w:t>
      </w:r>
      <w:r>
        <w:t xml:space="preserve"> </w:t>
      </w:r>
      <w:r>
        <w:t xml:space="preserve">pas nommément sur la liste de l’AMA (état 2026, à vérifier).</w:t>
      </w:r>
    </w:p>
    <w:bookmarkEnd w:id="1657"/>
    <w:bookmarkStart w:id="1658" w:name="études-en-cours-et-perspectives-35"/>
    <w:p>
      <w:pPr>
        <w:pStyle w:val="Heading3"/>
      </w:pPr>
      <w:r>
        <w:t xml:space="preserve">Études en cours et perspectives</w:t>
      </w:r>
    </w:p>
    <w:p>
      <w:pPr>
        <w:pStyle w:val="FirstParagraph"/>
      </w:pPr>
      <w:r>
        <w:rPr>
          <w:bCs/>
          <w:b/>
        </w:rPr>
        <w:t xml:space="preserve">Établi :</w:t>
      </w:r>
      <w:r>
        <w:t xml:space="preserve"> </w:t>
      </w:r>
      <w:r>
        <w:t xml:space="preserve">aucune étude avec le Selank n’est enregistrée sur ClinicalTrials.gov (requête d’octobre 2026).</w:t>
      </w:r>
    </w:p>
    <w:p>
      <w:pPr>
        <w:pStyle w:val="BodyText"/>
      </w:pPr>
      <w:r>
        <w:rPr>
          <w:bCs/>
          <w:b/>
        </w:rPr>
        <w:t xml:space="preserve">Appréciation :</w:t>
      </w:r>
      <w:r>
        <w:t xml:space="preserve"> </w:t>
      </w:r>
      <w:r>
        <w:t xml:space="preserve">le Selank est l’exemple d’un peptide entré dans les soins en Russie sans satisfaire aux exigences d’études en vigueur dans l’UE ou aux États-Unis. Une autorisation hors de Russie supposerait au minimum une étude plus vaste contrôlée contre placebo dans les troubles anxieux ; rien ne l’indique.</w:t>
      </w:r>
    </w:p>
    <w:bookmarkEnd w:id="1658"/>
    <w:bookmarkStart w:id="1659" w:name="conclusion-35"/>
    <w:p>
      <w:pPr>
        <w:pStyle w:val="Heading3"/>
      </w:pPr>
      <w:r>
        <w:t xml:space="preserve">Conclusion</w:t>
      </w:r>
    </w:p>
    <w:p>
      <w:pPr>
        <w:pStyle w:val="FirstParagraph"/>
      </w:pPr>
      <w:r>
        <w:t xml:space="preserve">Le Selank est un peptide dérivé de la tuftsine, enregistré en Russie comme anxiolytique. Trois petites études russes décrivent un effet anxiolytique semblable à celui des benzodiazépines, mais aucune n’avait de groupe placebo ni n’avait été enregistrée au préalable. Les hypothèses de mécanisme concernant les enképhalines, le GABA et le système immunitaire reposent sur des données de laboratoire et animales. Les données ne suffisent pas pour juger de l’efficacité et de la sécurité selon les critères actuels.</w:t>
      </w:r>
    </w:p>
    <w:bookmarkEnd w:id="1659"/>
    <w:bookmarkEnd w:id="1660"/>
    <w:bookmarkStart w:id="1713" w:name="cerebrolysin"/>
    <w:p>
      <w:pPr>
        <w:pStyle w:val="Heading2"/>
      </w:pPr>
      <w:r>
        <w:t xml:space="preserve">Cerebrolysin</w:t>
      </w:r>
    </w:p>
    <w:bookmarkStart w:id="1661" w:name="fiche-signalétique-36"/>
    <w:p>
      <w:pPr>
        <w:pStyle w:val="Heading3"/>
      </w:pPr>
      <w:r>
        <w:t xml:space="preserve">Fiche signalétique</w:t>
      </w:r>
    </w:p>
    <w:p>
      <w:pPr>
        <w:numPr>
          <w:ilvl w:val="0"/>
          <w:numId w:val="1202"/>
        </w:numPr>
        <w:pStyle w:val="Compact"/>
      </w:pPr>
      <w:r>
        <w:rPr>
          <w:bCs/>
          <w:b/>
        </w:rPr>
        <w:t xml:space="preserve">Nature et structure :</w:t>
      </w:r>
      <w:r>
        <w:t xml:space="preserve"> </w:t>
      </w:r>
      <w:r>
        <w:t xml:space="preserve">pas un peptide unique, mais un mélange de peptides courts et d’acides aminés libres. Il est obtenu par clivage enzymatique de protéines purifiées issues de cerveau de porc. La composition exacte n’est pas entièrement décrite ; le fabricant standardise la préparation par son procédé de fabrication et par des tests biologiques.</w:t>
      </w:r>
    </w:p>
    <w:p>
      <w:pPr>
        <w:numPr>
          <w:ilvl w:val="0"/>
          <w:numId w:val="1202"/>
        </w:numPr>
        <w:pStyle w:val="Compact"/>
      </w:pPr>
      <w:r>
        <w:rPr>
          <w:bCs/>
          <w:b/>
        </w:rPr>
        <w:t xml:space="preserve">Origine :</w:t>
      </w:r>
      <w:r>
        <w:t xml:space="preserve"> </w:t>
      </w:r>
      <w:r>
        <w:t xml:space="preserve">fabriquée depuis des décennies par une entreprise autrichienne (aujourd’hui EVER Neuro Pharma, Unterach am Attersee).</w:t>
      </w:r>
    </w:p>
    <w:p>
      <w:pPr>
        <w:numPr>
          <w:ilvl w:val="0"/>
          <w:numId w:val="1202"/>
        </w:numPr>
        <w:pStyle w:val="Compact"/>
      </w:pPr>
      <w:r>
        <w:rPr>
          <w:bCs/>
          <w:b/>
        </w:rPr>
        <w:t xml:space="preserve">Principe d’action :</w:t>
      </w:r>
      <w:r>
        <w:t xml:space="preserve"> </w:t>
      </w:r>
      <w:r>
        <w:t xml:space="preserve">imiterait les effets des facteurs de croissance nerveuse endogènes – protéger les neurones (neuroprotection) et favoriser les processus de réparation et de remodelage (neurorégénération). Elle est administrée en perfusion ou en injection intraveineuse, le plus souvent en cures de 10 à 21 jours.</w:t>
      </w:r>
    </w:p>
    <w:p>
      <w:pPr>
        <w:numPr>
          <w:ilvl w:val="0"/>
          <w:numId w:val="1202"/>
        </w:numPr>
        <w:pStyle w:val="Compact"/>
      </w:pPr>
      <w:r>
        <w:rPr>
          <w:bCs/>
          <w:b/>
        </w:rPr>
        <w:t xml:space="preserve">Autorisation UE :</w:t>
      </w:r>
      <w:r>
        <w:t xml:space="preserve"> </w:t>
      </w:r>
      <w:r>
        <w:t xml:space="preserve">pas d’autorisation centralisée de l’UE. Autorisée au niveau national en Autriche et dans un certain nombre d’autres États, surtout d’Europe centrale et orientale (selon le pays pour l’AVC, le traumatisme crânien et la démence). En Allemagne, elle n’est pas commercialisée à notre connaissance.</w:t>
      </w:r>
    </w:p>
    <w:p>
      <w:pPr>
        <w:numPr>
          <w:ilvl w:val="0"/>
          <w:numId w:val="1202"/>
        </w:numPr>
        <w:pStyle w:val="Compact"/>
      </w:pPr>
      <w:r>
        <w:rPr>
          <w:bCs/>
          <w:b/>
        </w:rPr>
        <w:t xml:space="preserve">Autorisation États-Unis :</w:t>
      </w:r>
      <w:r>
        <w:t xml:space="preserve"> </w:t>
      </w:r>
      <w:r>
        <w:t xml:space="preserve">non.</w:t>
      </w:r>
    </w:p>
    <w:p>
      <w:pPr>
        <w:numPr>
          <w:ilvl w:val="0"/>
          <w:numId w:val="1202"/>
        </w:numPr>
        <w:pStyle w:val="Compact"/>
      </w:pPr>
      <w:r>
        <w:rPr>
          <w:bCs/>
          <w:b/>
        </w:rPr>
        <w:t xml:space="preserve">Autres pays :</w:t>
      </w:r>
      <w:r>
        <w:t xml:space="preserve"> </w:t>
      </w:r>
      <w:r>
        <w:t xml:space="preserve">largement utilisée en Russie, dans d’autres États successeurs de l’Union soviétique, en Chine et dans d’autres pays asiatiques.</w:t>
      </w:r>
    </w:p>
    <w:p>
      <w:pPr>
        <w:numPr>
          <w:ilvl w:val="0"/>
          <w:numId w:val="1202"/>
        </w:numPr>
        <w:pStyle w:val="Compact"/>
      </w:pPr>
      <w:r>
        <w:rPr>
          <w:bCs/>
          <w:b/>
        </w:rPr>
        <w:t xml:space="preserve">AMA (WADA) :</w:t>
      </w:r>
      <w:r>
        <w:t xml:space="preserve"> </w:t>
      </w:r>
      <w:r>
        <w:t xml:space="preserve">non listée.</w:t>
      </w:r>
    </w:p>
    <w:p>
      <w:pPr>
        <w:numPr>
          <w:ilvl w:val="0"/>
          <w:numId w:val="1202"/>
        </w:numPr>
        <w:pStyle w:val="Compact"/>
      </w:pPr>
      <w:r>
        <w:rPr>
          <w:bCs/>
          <w:b/>
        </w:rPr>
        <w:t xml:space="preserve">Niveau de preuve :</w:t>
      </w:r>
      <w:r>
        <w:t xml:space="preserve"> </w:t>
      </w:r>
      <w:r>
        <w:rPr>
          <w:bCs/>
          <w:b/>
        </w:rPr>
        <w:t xml:space="preserve">B</w:t>
      </w:r>
      <w:r>
        <w:t xml:space="preserve"> </w:t>
      </w:r>
      <w:r>
        <w:t xml:space="preserve">– de nombreuses études randomisées contrôlées contre placebo, dont une grande portant sur plus de 1 000 participants ; les résultats sont toutefois hétérogènes, et les deux grandes revues Cochrane indépendantes aboutissent à des évaluations réservées.</w:t>
      </w:r>
    </w:p>
    <w:bookmarkEnd w:id="1661"/>
    <w:bookmarkStart w:id="1662" w:name="mode-daction-supposé-36"/>
    <w:p>
      <w:pPr>
        <w:pStyle w:val="Heading3"/>
      </w:pPr>
      <w:r>
        <w:t xml:space="preserve">Mode d’action supposé</w:t>
      </w:r>
    </w:p>
    <w:p>
      <w:pPr>
        <w:pStyle w:val="FirstParagraph"/>
      </w:pPr>
      <w:r>
        <w:t xml:space="preserve">Les facteurs de croissance nerveuse comme le BDNF, le NGF ou le CNTF sont des protéines qui maintiennent les neurones en vie, stimulent la formation de nouvelles connexions et favorisent la formation de nouveaux neurones dans certaines régions cérébrales. En tant que médicaments, ils posent problème : ils sont volumineux, franchissent à peine la barrière hémato-encéphalique et agissent à de nombreux endroits à la fois.</w:t>
      </w:r>
    </w:p>
    <w:p>
      <w:pPr>
        <w:pStyle w:val="BodyText"/>
      </w:pPr>
      <w:r>
        <w:t xml:space="preserve">La Cerebrolysin suit une autre approche. À partir de protéines de cerveau de porc, un clivage contrôlé produit un mélange de petits fragments. Le fabricant et les chercheurs qui lui sont liés partent du principe que certains de ces fragments déclenchent des signaux semblables à ceux des facteurs de croissance endogènes. On parle donc d’une substance « multimodale » – c’est-à-dire censée influencer de nombreuses voies à la fois.</w:t>
      </w:r>
    </w:p>
    <w:p>
      <w:pPr>
        <w:pStyle w:val="BodyText"/>
      </w:pPr>
      <w:r>
        <w:t xml:space="preserve">Pour les lectrices et lecteurs, cela signifie deux choses : premièrement, le mécanisme est surtout déduit d’expériences animales et cellulaires. Deuxièmement, avec un mélange, il est difficile de dire quel composant est responsable de quoi et quelle quantité atteint réellement le cerveau.</w:t>
      </w:r>
    </w:p>
    <w:bookmarkEnd w:id="1662"/>
    <w:bookmarkStart w:id="1698" w:name="études-chez-lhumain-36"/>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88 publications classées comme études chez l’humain, ainsi que 15 méta-analyses et revues systématiques (dont huit versions de revues Cochrane). Sur ClinicalTrials.gov, 43 études étaient enregistrées, la plupart sur l’AVC, quelques-unes sur le traumatisme crânien, la démence, l’hémorragie cérébrale, le délire et – pendant la pandémie – la perte de l’odorat après la COVID-19. Une grande partie des études a été financée ou soutenue par le fabricant ; de nombreux travaux plus petits proviennent de Russie, de Roumanie, de Chine et d’Iran.</w:t>
      </w:r>
    </w:p>
    <w:p>
      <w:pPr>
        <w:pStyle w:val="BodyText"/>
      </w:pPr>
      <w:r>
        <w:t xml:space="preserve">Un mot sur la statistique utilisée dans de nombreuses études sur la Cerebrolysin : au lieu d’un critère principal unique, elles examinent souvent une combinaison de plusieurs échelles avec un estimateur dit de Mann-Whitney (MW). Celui-ci indique la probabilité qu’une personne choisie au hasard dans le groupe Cerebrolysin obtienne un meilleur résultat qu’une personne du groupe placebo. Un MW de 0,50 signifie aucune différence ; des valeurs autour de 0,56 sont considérées comme un petit avantage, autour de 0,64 comme un avantage moyen et à partir de 0,71 comme un grand avantage. Cette méthode est admissible, mais rend les résultats plus difficiles à comparer avec d’autres études sur l’AVC, qui indiquent le plus souvent la proportion de personnes sans handicap persistant.</w:t>
      </w:r>
    </w:p>
    <w:bookmarkStart w:id="1669" w:name="avc-ischémique-aigu"/>
    <w:p>
      <w:pPr>
        <w:pStyle w:val="Heading4"/>
      </w:pPr>
      <w:r>
        <w:t xml:space="preserve">AVC ischémique aigu</w:t>
      </w:r>
    </w:p>
    <w:p>
      <w:pPr>
        <w:pStyle w:val="FirstParagraph"/>
      </w:pPr>
      <w:r>
        <w:t xml:space="preserve">Dans l’AVC ischémique, un caillot obstrue un vaisseau cérébral. Les traitements établis sont la dissolution du caillot par des médicaments (thrombolyse) et son retrait au moyen d’un cathéter (thrombectomie). Les produits d’appoint « neuroprotecteurs » doivent protéger le tissu environnant – une approche sur laquelle des dizaines de substances ont échoué dans de grandes études à travers le monde.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Ladurner 2005, PMID 15583955</w:t>
            </w:r>
          </w:p>
        </w:tc>
        <w:tc>
          <w:tcPr/>
          <w:p>
            <w:pPr>
              <w:pStyle w:val="Compact"/>
              <w:jc w:val="left"/>
            </w:pPr>
            <w:r>
              <w:t xml:space="preserve">146 personnes, ECR contre placebo, début dans les 24 h</w:t>
            </w:r>
          </w:p>
        </w:tc>
        <w:tc>
          <w:tcPr/>
          <w:p>
            <w:pPr>
              <w:pStyle w:val="Compact"/>
              <w:jc w:val="left"/>
            </w:pPr>
            <w:r>
              <w:t xml:space="preserve">90 jours</w:t>
            </w:r>
          </w:p>
        </w:tc>
        <w:tc>
          <w:tcPr/>
          <w:p>
            <w:pPr>
              <w:pStyle w:val="Compact"/>
              <w:jc w:val="left"/>
            </w:pPr>
            <w:r>
              <w:t xml:space="preserve">pas d’amélioration sur l’échelle neurologique, l’indice de Barthel et l’impression globale ; un test cognitif meilleur</w:t>
            </w:r>
          </w:p>
        </w:tc>
      </w:tr>
      <w:tr>
        <w:tc>
          <w:tcPr/>
          <w:p>
            <w:pPr>
              <w:pStyle w:val="Compact"/>
              <w:jc w:val="left"/>
            </w:pPr>
            <w:r>
              <w:t xml:space="preserve">CASTA (Heiss 2012), PMID 22282884</w:t>
            </w:r>
          </w:p>
        </w:tc>
        <w:tc>
          <w:tcPr/>
          <w:p>
            <w:pPr>
              <w:pStyle w:val="Compact"/>
              <w:jc w:val="left"/>
            </w:pPr>
            <w:r>
              <w:t xml:space="preserve">1 070 personnes en Asie, double aveugle contre placebo, début dans les 12 h</w:t>
            </w:r>
          </w:p>
        </w:tc>
        <w:tc>
          <w:tcPr/>
          <w:p>
            <w:pPr>
              <w:pStyle w:val="Compact"/>
              <w:jc w:val="left"/>
            </w:pPr>
            <w:r>
              <w:t xml:space="preserve">90 jours</w:t>
            </w:r>
          </w:p>
        </w:tc>
        <w:tc>
          <w:tcPr/>
          <w:p>
            <w:pPr>
              <w:pStyle w:val="Compact"/>
              <w:jc w:val="left"/>
            </w:pPr>
            <w:r>
              <w:t xml:space="preserve">critère principal neutre ; sous-groupe a posteriori de patients sévèrement atteints avec tendance en faveur de la Cerebrolysin</w:t>
            </w:r>
          </w:p>
        </w:tc>
      </w:tr>
      <w:tr>
        <w:tc>
          <w:tcPr/>
          <w:p>
            <w:pPr>
              <w:pStyle w:val="Compact"/>
              <w:jc w:val="left"/>
            </w:pPr>
            <w:r>
              <w:t xml:space="preserve">Lang 2013, PMID 23009193</w:t>
            </w:r>
          </w:p>
        </w:tc>
        <w:tc>
          <w:tcPr/>
          <w:p>
            <w:pPr>
              <w:pStyle w:val="Compact"/>
              <w:jc w:val="left"/>
            </w:pPr>
            <w:r>
              <w:t xml:space="preserve">119 personnes, en complément de la thrombolyse, double aveugle</w:t>
            </w:r>
          </w:p>
        </w:tc>
        <w:tc>
          <w:tcPr/>
          <w:p>
            <w:pPr>
              <w:pStyle w:val="Compact"/>
              <w:jc w:val="left"/>
            </w:pPr>
            <w:r>
              <w:t xml:space="preserve">90 jours</w:t>
            </w:r>
          </w:p>
        </w:tc>
        <w:tc>
          <w:tcPr/>
          <w:p>
            <w:pPr>
              <w:pStyle w:val="Compact"/>
              <w:jc w:val="left"/>
            </w:pPr>
            <w:r>
              <w:t xml:space="preserve">interrompue après analyse intermédiaire sans bénéfice sur le critère principal ; amélioration précoce sur la NIHSS plus fréquente</w:t>
            </w:r>
          </w:p>
        </w:tc>
      </w:tr>
      <w:tr>
        <w:tc>
          <w:tcPr/>
          <w:p>
            <w:pPr>
              <w:pStyle w:val="Compact"/>
              <w:jc w:val="left"/>
            </w:pPr>
            <w:r>
              <w:t xml:space="preserve">CARS (Muresanu 2016), PMID 26564102</w:t>
            </w:r>
          </w:p>
        </w:tc>
        <w:tc>
          <w:tcPr/>
          <w:p>
            <w:pPr>
              <w:pStyle w:val="Compact"/>
              <w:jc w:val="left"/>
            </w:pPr>
            <w:r>
              <w:t xml:space="preserve">personnes en rééducation précoce, double aveugle contre placebo</w:t>
            </w:r>
          </w:p>
        </w:tc>
        <w:tc>
          <w:tcPr/>
          <w:p>
            <w:pPr>
              <w:pStyle w:val="Compact"/>
              <w:jc w:val="left"/>
            </w:pPr>
            <w:r>
              <w:t xml:space="preserve">90 jours</w:t>
            </w:r>
          </w:p>
        </w:tc>
        <w:tc>
          <w:tcPr/>
          <w:p>
            <w:pPr>
              <w:pStyle w:val="Compact"/>
              <w:jc w:val="left"/>
            </w:pPr>
            <w:r>
              <w:t xml:space="preserve">fonction du bras (ARAT) nettement meilleure : MW 0,71</w:t>
            </w:r>
          </w:p>
        </w:tc>
      </w:tr>
      <w:tr>
        <w:tc>
          <w:tcPr/>
          <w:p>
            <w:pPr>
              <w:pStyle w:val="Compact"/>
              <w:jc w:val="left"/>
            </w:pPr>
            <w:r>
              <w:t xml:space="preserve">Gharagozli 2017, PMID 29075343</w:t>
            </w:r>
          </w:p>
        </w:tc>
        <w:tc>
          <w:tcPr/>
          <w:p>
            <w:pPr>
              <w:pStyle w:val="Compact"/>
              <w:jc w:val="left"/>
            </w:pPr>
            <w:r>
              <w:t xml:space="preserve">100 personnes, double aveugle contre placebo</w:t>
            </w:r>
          </w:p>
        </w:tc>
        <w:tc>
          <w:tcPr/>
          <w:p>
            <w:pPr>
              <w:pStyle w:val="Compact"/>
              <w:jc w:val="left"/>
            </w:pPr>
            <w:r>
              <w:t xml:space="preserve">30 jours</w:t>
            </w:r>
          </w:p>
        </w:tc>
        <w:tc>
          <w:tcPr/>
          <w:p>
            <w:pPr>
              <w:pStyle w:val="Compact"/>
              <w:jc w:val="left"/>
            </w:pPr>
            <w:r>
              <w:t xml:space="preserve">NIHSS meilleure : MW 0,66</w:t>
            </w:r>
          </w:p>
        </w:tc>
      </w:tr>
      <w:tr>
        <w:tc>
          <w:tcPr/>
          <w:p>
            <w:pPr>
              <w:pStyle w:val="Compact"/>
              <w:jc w:val="left"/>
            </w:pPr>
            <w:r>
              <w:t xml:space="preserve">CEREHETIS (Khasanova 2023), PMID 36973684</w:t>
            </w:r>
          </w:p>
        </w:tc>
        <w:tc>
          <w:tcPr/>
          <w:p>
            <w:pPr>
              <w:pStyle w:val="Compact"/>
              <w:jc w:val="left"/>
            </w:pPr>
            <w:r>
              <w:t xml:space="preserve">341 personnes avec thrombolyse, randomisée en ouvert</w:t>
            </w:r>
          </w:p>
        </w:tc>
        <w:tc>
          <w:tcPr/>
          <w:p>
            <w:pPr>
              <w:pStyle w:val="Compact"/>
              <w:jc w:val="left"/>
            </w:pPr>
            <w:r>
              <w:t xml:space="preserve">90 jours</w:t>
            </w:r>
          </w:p>
        </w:tc>
        <w:tc>
          <w:tcPr/>
          <w:p>
            <w:pPr>
              <w:pStyle w:val="Compact"/>
              <w:jc w:val="left"/>
            </w:pPr>
            <w:r>
              <w:t xml:space="preserve">moins d’hémorragies symptomatiques (OR 0,248) ; pas de différence de mRS à 90 jours</w:t>
            </w:r>
          </w:p>
        </w:tc>
      </w:tr>
    </w:tbl>
    <w:p>
      <w:pPr>
        <w:pStyle w:val="BodyText"/>
      </w:pPr>
      <w:r>
        <w:rPr>
          <w:bCs/>
          <w:b/>
        </w:rPr>
        <w:t xml:space="preserve">CASTA – la plus grande étude.</w:t>
      </w:r>
      <w:r>
        <w:t xml:space="preserve"> </w:t>
      </w:r>
      <w:r>
        <w:t xml:space="preserve">L’étude</w:t>
      </w:r>
      <w:r>
        <w:t xml:space="preserve"> </w:t>
      </w:r>
      <w:r>
        <w:rPr>
          <w:iCs/>
          <w:i/>
        </w:rPr>
        <w:t xml:space="preserve">Cerebrolysin Acute Stroke Treatment in Asia</w:t>
      </w:r>
      <w:r>
        <w:t xml:space="preserve"> </w:t>
      </w:r>
      <w:r>
        <w:t xml:space="preserve">a été publiée au préalable avec son protocole</w:t>
      </w:r>
      <w:r>
        <w:rPr>
          <w:rStyle w:val="FootnoteReference"/>
        </w:rPr>
        <w:footnoteReference w:id="1663"/>
      </w:r>
      <w:r>
        <w:t xml:space="preserve"> </w:t>
      </w:r>
      <w:r>
        <w:t xml:space="preserve">et est enregistrée sur ClinicalTrials.gov</w:t>
      </w:r>
      <w:r>
        <w:rPr>
          <w:rStyle w:val="FootnoteReference"/>
        </w:rPr>
        <w:footnoteReference w:id="1664"/>
      </w:r>
      <w:r>
        <w:t xml:space="preserve">. 1 070 personnes ayant subi un AVC aigu ont reçu dans les douze heures, pendant dix jours, de la Cerebrolysin ou une solution saline, chaque fois en complément de l’aspirine. Le critère principal fixé à l’avance – une combinaison de l’échelle de Rankin modifiée (mRS, degré de handicap), de l’indice de Barthel (autonomie au quotidien) et de la NIHSS (sévérité des déficits neurologiques) à 90 jours – n’a montré</w:t>
      </w:r>
      <w:r>
        <w:t xml:space="preserve"> </w:t>
      </w:r>
      <w:r>
        <w:rPr>
          <w:bCs/>
          <w:b/>
        </w:rPr>
        <w:t xml:space="preserve">aucune différence</w:t>
      </w:r>
      <w:r>
        <w:t xml:space="preserve">. Dans une analyse a posteriori des patients plus sévèrement atteints (NIHSS supérieure à 12), la mortalité à 90 jours était de 10,5 % sous Cerebrolysin contre 20,2 % sous placebo</w:t>
      </w:r>
      <w:r>
        <w:rPr>
          <w:rStyle w:val="FootnoteReference"/>
        </w:rPr>
        <w:footnoteReference w:id="1665"/>
      </w:r>
      <w:r>
        <w:t xml:space="preserve">. Les auteurs écrivent eux-mêmes que ce résultat devrait être confirmé par une autre étude. Une telle grande étude de confirmation, menée spécifiquement dans les AVC sévères, n’a toujours pas été publiée.</w:t>
      </w:r>
    </w:p>
    <w:p>
      <w:pPr>
        <w:pStyle w:val="BodyText"/>
      </w:pPr>
      <w:r>
        <w:rPr>
          <w:bCs/>
          <w:b/>
        </w:rPr>
        <w:t xml:space="preserve">En association avec la thrombolyse.</w:t>
      </w:r>
      <w:r>
        <w:t xml:space="preserve"> </w:t>
      </w:r>
      <w:r>
        <w:t xml:space="preserve">Dans une étude portant sur 119 personnes, la Cerebrolysin a été débutée une heure après la thrombolyse. Après la troisième analyse intermédiaire, aucun avantage n’est apparu sur le critère principal (mRS à 90 jours), et l’étude a été arrêtée. Au cours des 30 premiers jours, davantage de personnes se sont nettement améliorées sur la NIHSS sous Cerebrolysin</w:t>
      </w:r>
      <w:r>
        <w:rPr>
          <w:rStyle w:val="FootnoteReference"/>
        </w:rPr>
        <w:footnoteReference w:id="1666"/>
      </w:r>
      <w:r>
        <w:t xml:space="preserve">. Ce schéma – des améliorations précoces sur des échelles neurologiques, mais pas de différence nette de handicap après trois mois – se retrouve dans plusieurs études. L’étude CEREHETIS a constaté chez 341 personnes moins d’hémorragies symptomatiques après thrombolyse, mais pas non plus de différence de mRS à 90 jours ; elle était ouverte, c’est-à-dire non menée en aveugle</w:t>
      </w:r>
      <w:r>
        <w:rPr>
          <w:rStyle w:val="FootnoteReference"/>
        </w:rPr>
        <w:footnoteReference w:id="1667"/>
      </w:r>
      <w:r>
        <w:t xml:space="preserve">.</w:t>
      </w:r>
    </w:p>
    <w:p>
      <w:pPr>
        <w:pStyle w:val="BodyText"/>
      </w:pPr>
      <w:r>
        <w:rPr>
          <w:bCs/>
          <w:b/>
        </w:rPr>
        <w:t xml:space="preserve">Thrombectomie.</w:t>
      </w:r>
      <w:r>
        <w:t xml:space="preserve"> </w:t>
      </w:r>
      <w:r>
        <w:t xml:space="preserve">Une étude a comparé 50 personnes ayant reçu de la Cerebrolysin après un traitement par cathéter à 50 personnes traitées auparavant (témoins historiques). À 90 jours, 68 % contre 44 % étaient fonctionnellement indépendants (mRS 0–2), et les hémorragies cérébrales secondaires étaient plus rares</w:t>
      </w:r>
      <w:r>
        <w:rPr>
          <w:rStyle w:val="FootnoteReference"/>
        </w:rPr>
        <w:footnoteReference w:id="1668"/>
      </w:r>
      <w:r>
        <w:t xml:space="preserve">. Sans randomisation et avec une comparaison avec des patientes et patients antérieurs, ce n’est toutefois qu’un indice ; les auteurs réclament eux-mêmes des études randomisées.</w:t>
      </w:r>
    </w:p>
    <w:bookmarkEnd w:id="1669"/>
    <w:bookmarkStart w:id="1676" w:name="X1a255eb3bf033455dd3f68abfd233173e8f346c"/>
    <w:p>
      <w:pPr>
        <w:pStyle w:val="Heading4"/>
      </w:pPr>
      <w:r>
        <w:t xml:space="preserve">Rééducation après un AVC : CARS et études ultérieures</w:t>
      </w:r>
    </w:p>
    <w:p>
      <w:pPr>
        <w:pStyle w:val="FirstParagraph"/>
      </w:pPr>
      <w:r>
        <w:t xml:space="preserve">Une deuxième approche n’intervient pas dans les premières heures, mais lors de la rééducation précoce : la Cerebrolysin doit rendre le cerveau « plus apte à apprendre » pendant que se déroule simultanément la kinésithérapie.</w:t>
      </w:r>
    </w:p>
    <w:p>
      <w:pPr>
        <w:pStyle w:val="BodyText"/>
      </w:pPr>
      <w:r>
        <w:t xml:space="preserve">L’</w:t>
      </w:r>
      <w:r>
        <w:rPr>
          <w:bCs/>
          <w:b/>
        </w:rPr>
        <w:t xml:space="preserve">étude CARS</w:t>
      </w:r>
      <w:r>
        <w:t xml:space="preserve"> </w:t>
      </w:r>
      <w:r>
        <w:t xml:space="preserve">(</w:t>
      </w:r>
      <w:r>
        <w:rPr>
          <w:iCs/>
          <w:i/>
        </w:rPr>
        <w:t xml:space="preserve">Cerebrolysin and Recovery After Stroke</w:t>
      </w:r>
      <w:r>
        <w:t xml:space="preserve">) a traité des personnes 24 à 72 heures après l’AVC pendant 21 jours par Cerebrolysin ou placebo, en complément d’un programme de rééducation standardisé. Sur le critère principal, l’Action Research Arm Test (ARAT) pour la fonction du bras à 90 jours, un grand avantage est apparu (MW 0,71 ; intervalle de confiance à 95 % 0,63–0,79) ; sur l’ensemble de douze échelles, un avantage petit à moyen (MW 0,62)</w:t>
      </w:r>
      <w:r>
        <w:rPr>
          <w:rStyle w:val="FootnoteReference"/>
        </w:rPr>
        <w:footnoteReference w:id="1670"/>
      </w:r>
      <w:r>
        <w:t xml:space="preserve">. Les auteurs qualifient expressément l’étude d’exploratoire avec un effectif relativement faible. Une analyse commune, planifiée à l’avance, avec l’étude CARS-2 de même conception (442 personnes au total) a donné pour l’ARAT un MW de 0,62</w:t>
      </w:r>
      <w:r>
        <w:rPr>
          <w:rStyle w:val="FootnoteReference"/>
        </w:rPr>
        <w:footnoteReference w:id="1671"/>
      </w:r>
      <w:r>
        <w:t xml:space="preserve">.</w:t>
      </w:r>
    </w:p>
    <w:p>
      <w:pPr>
        <w:pStyle w:val="BodyText"/>
      </w:pPr>
      <w:r>
        <w:t xml:space="preserve">D’autres études plus petites donnent un tableau mitigé :</w:t>
      </w:r>
    </w:p>
    <w:p>
      <w:pPr>
        <w:numPr>
          <w:ilvl w:val="0"/>
          <w:numId w:val="1203"/>
        </w:numPr>
        <w:pStyle w:val="Compact"/>
      </w:pPr>
      <w:r>
        <w:t xml:space="preserve">Une étude portant sur 60 personnes a constaté de grands avantages sur la NIHSS à 10 et 30 jours</w:t>
      </w:r>
      <w:r>
        <w:rPr>
          <w:rStyle w:val="FootnoteReference"/>
        </w:rPr>
        <w:footnoteReference w:id="1672"/>
      </w:r>
      <w:r>
        <w:t xml:space="preserve">.</w:t>
      </w:r>
    </w:p>
    <w:p>
      <w:pPr>
        <w:numPr>
          <w:ilvl w:val="0"/>
          <w:numId w:val="1203"/>
        </w:numPr>
        <w:pStyle w:val="Compact"/>
      </w:pPr>
      <w:r>
        <w:t xml:space="preserve">Une étude portant sur 70 personnes n’a trouvé</w:t>
      </w:r>
      <w:r>
        <w:t xml:space="preserve"> </w:t>
      </w:r>
      <w:r>
        <w:rPr>
          <w:bCs/>
          <w:b/>
        </w:rPr>
        <w:t xml:space="preserve">aucune</w:t>
      </w:r>
      <w:r>
        <w:t xml:space="preserve"> </w:t>
      </w:r>
      <w:r>
        <w:t xml:space="preserve">différence de motricité globale ; ce n’est que dans le sous-groupe présentant une paralysie sévère que la Cerebrolysin a obtenu de meilleurs résultats</w:t>
      </w:r>
      <w:r>
        <w:rPr>
          <w:rStyle w:val="FootnoteReference"/>
        </w:rPr>
        <w:footnoteReference w:id="1673"/>
      </w:r>
      <w:r>
        <w:t xml:space="preserve">.</w:t>
      </w:r>
    </w:p>
    <w:p>
      <w:pPr>
        <w:numPr>
          <w:ilvl w:val="0"/>
          <w:numId w:val="1203"/>
        </w:numPr>
        <w:pStyle w:val="Compact"/>
      </w:pPr>
      <w:r>
        <w:t xml:space="preserve">L’étude pilote roumaine ESCAS sur les troubles du langage (aphasie non fluente), portant sur 132 personnes, a associé la Cerebrolysin à l’orthophonie. À 90 jours, la fonction langagière s’est améliorée d’environ 35,6 points sur la Western Aphasia Battery contre 20,8 points sous placebo</w:t>
      </w:r>
      <w:r>
        <w:rPr>
          <w:rStyle w:val="FootnoteReference"/>
        </w:rPr>
        <w:footnoteReference w:id="1674"/>
      </w:r>
      <w:r>
        <w:t xml:space="preserve">.</w:t>
      </w:r>
    </w:p>
    <w:p>
      <w:pPr>
        <w:pStyle w:val="FirstParagraph"/>
      </w:pPr>
      <w:r>
        <w:t xml:space="preserve">En 2021, une recommandation de l’European Academy of Neurology et de la Fédération européenne des sociétés de neuroréhabilitation a, sur la base d’une méta-analyse, recommandé la Cerebrolysin – à côté de l’antidépresseur citalopram – pour soutenir la rééducation motrice précoce après un AVC ischémique</w:t>
      </w:r>
      <w:r>
        <w:rPr>
          <w:rStyle w:val="FootnoteReference"/>
        </w:rPr>
        <w:footnoteReference w:id="1675"/>
      </w:r>
      <w:r>
        <w:t xml:space="preserve">. D’autres grandes recommandations, par exemple aux États-Unis, ne contiennent pas une telle recommandation.</w:t>
      </w:r>
    </w:p>
    <w:bookmarkEnd w:id="1676"/>
    <w:bookmarkStart w:id="1681" w:name="X507e2f660900a6988dbfda9a24737537b7829fb"/>
    <w:p>
      <w:pPr>
        <w:pStyle w:val="Heading4"/>
      </w:pPr>
      <w:r>
        <w:t xml:space="preserve">Les méta-analyses : deux lectures des mêmes données</w:t>
      </w:r>
    </w:p>
    <w:p>
      <w:pPr>
        <w:pStyle w:val="FirstParagraph"/>
      </w:pPr>
      <w:r>
        <w:t xml:space="preserve">Pour la Cerebrolysin, les synthèses divergent – selon qui les a rédigées et quels critères sont au centre.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Revue</w:t>
            </w:r>
          </w:p>
        </w:tc>
        <w:tc>
          <w:tcPr/>
          <w:p>
            <w:pPr>
              <w:pStyle w:val="Compact"/>
              <w:jc w:val="left"/>
            </w:pPr>
            <w:r>
              <w:t xml:space="preserve">Données incluses</w:t>
            </w:r>
          </w:p>
        </w:tc>
        <w:tc>
          <w:tcPr/>
          <w:p>
            <w:pPr>
              <w:pStyle w:val="Compact"/>
              <w:jc w:val="left"/>
            </w:pPr>
            <w:r>
              <w:t xml:space="preserve">Message principal</w:t>
            </w:r>
          </w:p>
        </w:tc>
      </w:tr>
      <w:tr>
        <w:tc>
          <w:tcPr/>
          <w:p>
            <w:pPr>
              <w:pStyle w:val="Compact"/>
              <w:jc w:val="left"/>
            </w:pPr>
            <w:r>
              <w:t xml:space="preserve">Cochrane (Ziganshina 2023), PMID 37818733</w:t>
            </w:r>
          </w:p>
        </w:tc>
        <w:tc>
          <w:tcPr/>
          <w:p>
            <w:pPr>
              <w:pStyle w:val="Compact"/>
              <w:jc w:val="left"/>
            </w:pPr>
            <w:r>
              <w:t xml:space="preserve">7 ECR, 1 773 personnes, début dans les 48 h</w:t>
            </w:r>
          </w:p>
        </w:tc>
        <w:tc>
          <w:tcPr/>
          <w:p>
            <w:pPr>
              <w:pStyle w:val="Compact"/>
              <w:jc w:val="left"/>
            </w:pPr>
            <w:r>
              <w:t xml:space="preserve">aucun effet sur la mortalité (RR 0,96) ; davantage d’effets indésirables graves non mortels (RR 2,39)</w:t>
            </w:r>
          </w:p>
        </w:tc>
      </w:tr>
      <w:tr>
        <w:tc>
          <w:tcPr/>
          <w:p>
            <w:pPr>
              <w:pStyle w:val="Compact"/>
              <w:jc w:val="left"/>
            </w:pPr>
            <w:r>
              <w:t xml:space="preserve">Bornstein 2018, PMID 29248999</w:t>
            </w:r>
          </w:p>
        </w:tc>
        <w:tc>
          <w:tcPr/>
          <w:p>
            <w:pPr>
              <w:pStyle w:val="Compact"/>
              <w:jc w:val="left"/>
            </w:pPr>
            <w:r>
              <w:t xml:space="preserve">9 ECR, 1 879 personnes</w:t>
            </w:r>
          </w:p>
        </w:tc>
        <w:tc>
          <w:tcPr/>
          <w:p>
            <w:pPr>
              <w:pStyle w:val="Compact"/>
              <w:jc w:val="left"/>
            </w:pPr>
            <w:r>
              <w:t xml:space="preserve">NIHSS meilleure à 30 jours (MW 0,60) ; NNT 7,7 pour une amélioration cliniquement pertinente</w:t>
            </w:r>
          </w:p>
        </w:tc>
      </w:tr>
      <w:tr>
        <w:tc>
          <w:tcPr/>
          <w:p>
            <w:pPr>
              <w:pStyle w:val="Compact"/>
              <w:jc w:val="left"/>
            </w:pPr>
            <w:r>
              <w:t xml:space="preserve">Zhang 2017, PMID 28656143</w:t>
            </w:r>
          </w:p>
        </w:tc>
        <w:tc>
          <w:tcPr/>
          <w:p>
            <w:pPr>
              <w:pStyle w:val="Compact"/>
              <w:jc w:val="left"/>
            </w:pPr>
            <w:r>
              <w:t xml:space="preserve">7 ECR, 1 779 personnes</w:t>
            </w:r>
          </w:p>
        </w:tc>
        <w:tc>
          <w:tcPr/>
          <w:p>
            <w:pPr>
              <w:pStyle w:val="Compact"/>
              <w:jc w:val="left"/>
            </w:pPr>
            <w:r>
              <w:t xml:space="preserve">pas de supériorité sur la mRS et l’indice de Barthel ; sécurité neutre</w:t>
            </w:r>
          </w:p>
        </w:tc>
      </w:tr>
      <w:tr>
        <w:tc>
          <w:tcPr/>
          <w:p>
            <w:pPr>
              <w:pStyle w:val="Compact"/>
              <w:jc w:val="left"/>
            </w:pPr>
            <w:r>
              <w:t xml:space="preserve">Patel 2025, PMID 41018475</w:t>
            </w:r>
          </w:p>
        </w:tc>
        <w:tc>
          <w:tcPr/>
          <w:p>
            <w:pPr>
              <w:pStyle w:val="Compact"/>
              <w:jc w:val="left"/>
            </w:pPr>
            <w:r>
              <w:t xml:space="preserve">14 ECR, 2 884 personnes</w:t>
            </w:r>
          </w:p>
        </w:tc>
        <w:tc>
          <w:tcPr/>
          <w:p>
            <w:pPr>
              <w:pStyle w:val="Compact"/>
              <w:jc w:val="left"/>
            </w:pPr>
            <w:r>
              <w:t xml:space="preserve">amélioration de la NIHSS de 1,39 point supplémentaire ; indépendance fonctionnelle non significative (RR 1,31)</w:t>
            </w:r>
          </w:p>
        </w:tc>
      </w:tr>
    </w:tbl>
    <w:p>
      <w:pPr>
        <w:pStyle w:val="BodyText"/>
      </w:pPr>
      <w:r>
        <w:t xml:space="preserve">La</w:t>
      </w:r>
      <w:r>
        <w:t xml:space="preserve"> </w:t>
      </w:r>
      <w:r>
        <w:rPr>
          <w:bCs/>
          <w:b/>
        </w:rPr>
        <w:t xml:space="preserve">revue Cochrane</w:t>
      </w:r>
      <w:r>
        <w:t xml:space="preserve"> </w:t>
      </w:r>
      <w:r>
        <w:t xml:space="preserve">– une forme de synthèse indépendante et méthodologiquement rigoureuse – a été mise à jour à plusieurs reprises depuis 2010. La version de 2020 comprenait sept études randomisées portant sur 1 601 personnes et ne trouvait aucun effet sur la mortalité (RR 0,90 ; IC à 95 % 0,61–1,32). Le nombre total d’événements indésirables graves ne différait pas notablement, mais le nombre de personnes présentant des événements indésirables graves</w:t>
      </w:r>
      <w:r>
        <w:t xml:space="preserve"> </w:t>
      </w:r>
      <w:r>
        <w:rPr>
          <w:bCs/>
          <w:b/>
        </w:rPr>
        <w:t xml:space="preserve">non mortels</w:t>
      </w:r>
      <w:r>
        <w:t xml:space="preserve"> </w:t>
      </w:r>
      <w:r>
        <w:t xml:space="preserve">était plus élevé sous Cerebrolysin (RR 2,15 ; IC à 95 % 1,01–4,55)</w:t>
      </w:r>
      <w:r>
        <w:rPr>
          <w:rStyle w:val="FootnoteReference"/>
        </w:rPr>
        <w:footnoteReference w:id="1677"/>
      </w:r>
      <w:r>
        <w:t xml:space="preserve">. La mise à jour de 2023 a ajouté une étude avec la préparation russe à base de cerveau bovin Cortexin (1 773 personnes au total) et a confirmé ces constats : aucun effet sur la mortalité (RR 0,96), davantage d’événements graves non mortels (RR 2,39 ; IC à 95 % 1,10–5,23), encore plus marqués avec un schéma de traitement de dix jours</w:t>
      </w:r>
      <w:r>
        <w:rPr>
          <w:rStyle w:val="FootnoteReference"/>
        </w:rPr>
        <w:footnoteReference w:id="1678"/>
      </w:r>
      <w:r>
        <w:t xml:space="preserve">. Les auteures et auteurs Cochrane ont jugé le risque de biais de nombreuses études incertain ou élevé et ont souligné que le fabricant avait soutenu plusieurs des grandes études. Important : aucune des études incluses n’a rapporté le critère décisif du point de vue des patients, « décès ou dépendance », sous la forme prévue par la revue.</w:t>
      </w:r>
    </w:p>
    <w:p>
      <w:pPr>
        <w:pStyle w:val="BodyText"/>
      </w:pPr>
      <w:r>
        <w:t xml:space="preserve">Les</w:t>
      </w:r>
      <w:r>
        <w:t xml:space="preserve"> </w:t>
      </w:r>
      <w:r>
        <w:rPr>
          <w:bCs/>
          <w:b/>
        </w:rPr>
        <w:t xml:space="preserve">méta-analyses proches du fabricant</w:t>
      </w:r>
      <w:r>
        <w:t xml:space="preserve"> </w:t>
      </w:r>
      <w:r>
        <w:t xml:space="preserve">considèrent en revanche surtout l’amélioration neurologique précoce sur la NIHSS et y trouvent un avantage modéré</w:t>
      </w:r>
      <w:r>
        <w:rPr>
          <w:rStyle w:val="FootnoteReference"/>
        </w:rPr>
        <w:footnoteReference w:id="1679"/>
      </w:r>
      <w:r>
        <w:t xml:space="preserve">. Une méta-analyse de sécurité portant sur douze études et 2 202 personnes n’a trouvé aucune différence significative avec le placebo pour les effets indésirables</w:t>
      </w:r>
      <w:r>
        <w:rPr>
          <w:rStyle w:val="FootnoteReference"/>
        </w:rPr>
        <w:footnoteReference w:id="1680"/>
      </w:r>
      <w:r>
        <w:t xml:space="preserve"> </w:t>
      </w:r>
      <w:r>
        <w:t xml:space="preserve">– contrairement au signal Cochrane, qui repose toutefois sur peu d’événements.</w:t>
      </w:r>
    </w:p>
    <w:p>
      <w:pPr>
        <w:pStyle w:val="BodyText"/>
      </w:pPr>
      <w:r>
        <w:t xml:space="preserve">Comment réconcilier tout cela ? La réponse honnête est la suivante : la Cerebrolysin améliore dans plusieurs études les scores des échelles neurologiques au cours des premières semaines. Qu’il en découle moins de handicap persistant, moins de dépendance ou une vie plus longue n’est pas démontré. Le signal concernant les effets indésirables graves non mortels n’a pas d’explication convaincante ; il repose sur peu d’événements et est donc incertain, mais il a été retrouvé dans deux versions Cochrane.</w:t>
      </w:r>
    </w:p>
    <w:bookmarkEnd w:id="1681"/>
    <w:bookmarkStart w:id="1683" w:name="Xa6b1a920658e1dda4cc9116d538cc9cb32eb855"/>
    <w:p>
      <w:pPr>
        <w:pStyle w:val="Heading4"/>
      </w:pPr>
      <w:r>
        <w:t xml:space="preserve">Données de registre issues de la pratique</w:t>
      </w:r>
    </w:p>
    <w:p>
      <w:pPr>
        <w:pStyle w:val="FirstParagraph"/>
      </w:pPr>
      <w:r>
        <w:t xml:space="preserve">Le fabricant a en outre financé de grandes études observationnelles. L’étude de registre C-REGS2 a recensé dans 16 pays 1 865 personnes ayant subi un AVC modéré ; 1 769 ont été analysées (1 021 avec Cerebrolysin, 748 sans). À 90 jours, le groupe Cerebrolysin obtenait de meilleurs résultats sur l’échelle de Rankin modifiée (MW 0,6157)</w:t>
      </w:r>
      <w:r>
        <w:rPr>
          <w:rStyle w:val="FootnoteReference"/>
        </w:rPr>
        <w:footnoteReference w:id="1682"/>
      </w:r>
      <w:r>
        <w:t xml:space="preserve">. L’étude utilise des méthodes statistiques exigeantes pour rendre les groupes comparables. Elle reste néanmoins une étude observationnelle : les personnes qui reçoivent de la Cerebrolysin en pratique diffèrent peut-être, par leur traitement, leur clinique ou leur pays, de celles qui n’en reçoivent pas. Elle ne peut pas remplacer une randomisation.</w:t>
      </w:r>
    </w:p>
    <w:bookmarkEnd w:id="1683"/>
    <w:bookmarkStart w:id="1687" w:name="X79f2407350bd7492d42e8aac7b8150a2069106b"/>
    <w:p>
      <w:pPr>
        <w:pStyle w:val="Heading4"/>
      </w:pPr>
      <w:r>
        <w:t xml:space="preserve">Hémorragie cérébrale et hémorragie sous-arachnoïdienne</w:t>
      </w:r>
    </w:p>
    <w:p>
      <w:pPr>
        <w:pStyle w:val="FirstParagraph"/>
      </w:pPr>
      <w:r>
        <w:t xml:space="preserve">Dans les hémorragies cérébrales, une étude portant sur 100 personnes n’a trouvé aucune différence significative après 21 jours, mais pas non plus de problème de sécurité</w:t>
      </w:r>
      <w:r>
        <w:rPr>
          <w:rStyle w:val="FootnoteReference"/>
        </w:rPr>
        <w:footnoteReference w:id="1684"/>
      </w:r>
      <w:r>
        <w:t xml:space="preserve">. Dans les hémorragies dues à une poche d’un vaisseau cérébral (hémorragie sous-arachnoïdienne anévrismale), une étude pilote en double aveugle portant sur 50 personnes n’a montré aucune différence de résultat fonctionnel après six mois</w:t>
      </w:r>
      <w:r>
        <w:rPr>
          <w:rStyle w:val="FootnoteReference"/>
        </w:rPr>
        <w:footnoteReference w:id="1685"/>
      </w:r>
      <w:r>
        <w:t xml:space="preserve">. Une étude pilote sur les hémorragies lobaires (CLINCH) est prévue ou en cours</w:t>
      </w:r>
      <w:r>
        <w:rPr>
          <w:rStyle w:val="FootnoteReference"/>
        </w:rPr>
        <w:footnoteReference w:id="1686"/>
      </w:r>
      <w:r>
        <w:t xml:space="preserve">.</w:t>
      </w:r>
    </w:p>
    <w:bookmarkEnd w:id="1687"/>
    <w:bookmarkStart w:id="1689" w:name="traumatisme-crânien-captain"/>
    <w:p>
      <w:pPr>
        <w:pStyle w:val="Heading4"/>
      </w:pPr>
      <w:r>
        <w:t xml:space="preserve">Traumatisme crânien : CAPTAIN</w:t>
      </w:r>
    </w:p>
    <w:p>
      <w:pPr>
        <w:pStyle w:val="FirstParagraph"/>
      </w:pPr>
      <w:r>
        <w:t xml:space="preserve">Dans le traumatisme crânien modéré à sévère, deux études ont testé la Cerebrolysin en complément du traitement standard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CAPTAIN I (Poon 2020), PMID 31494820</w:t>
            </w:r>
          </w:p>
        </w:tc>
        <w:tc>
          <w:tcPr/>
          <w:p>
            <w:pPr>
              <w:pStyle w:val="Compact"/>
              <w:jc w:val="left"/>
            </w:pPr>
            <w:r>
              <w:t xml:space="preserve">46 personnes, double aveugle contre placebo, plusieurs centres</w:t>
            </w:r>
          </w:p>
        </w:tc>
        <w:tc>
          <w:tcPr/>
          <w:p>
            <w:pPr>
              <w:pStyle w:val="Compact"/>
              <w:jc w:val="left"/>
            </w:pPr>
            <w:r>
              <w:t xml:space="preserve">90 jours</w:t>
            </w:r>
          </w:p>
        </w:tc>
        <w:tc>
          <w:tcPr/>
          <w:p>
            <w:pPr>
              <w:pStyle w:val="Compact"/>
              <w:jc w:val="left"/>
            </w:pPr>
            <w:r>
              <w:t xml:space="preserve">critère principal manqué de peu (ITT : MW 0,63) ; significatif dans l’analyse per protocole</w:t>
            </w:r>
          </w:p>
        </w:tc>
      </w:tr>
      <w:tr>
        <w:tc>
          <w:tcPr/>
          <w:p>
            <w:pPr>
              <w:pStyle w:val="Compact"/>
              <w:jc w:val="left"/>
            </w:pPr>
            <w:r>
              <w:t xml:space="preserve">CAPTAIN II (Muresanu 2020), PMID 31897941</w:t>
            </w:r>
          </w:p>
        </w:tc>
        <w:tc>
          <w:tcPr/>
          <w:p>
            <w:pPr>
              <w:pStyle w:val="Compact"/>
              <w:jc w:val="left"/>
            </w:pPr>
            <w:r>
              <w:t xml:space="preserve">142 personnes (139 analysées), double aveugle, un centre</w:t>
            </w:r>
          </w:p>
        </w:tc>
        <w:tc>
          <w:tcPr/>
          <w:p>
            <w:pPr>
              <w:pStyle w:val="Compact"/>
              <w:jc w:val="left"/>
            </w:pPr>
            <w:r>
              <w:t xml:space="preserve">90 jours</w:t>
            </w:r>
          </w:p>
        </w:tc>
        <w:tc>
          <w:tcPr/>
          <w:p>
            <w:pPr>
              <w:pStyle w:val="Compact"/>
              <w:jc w:val="left"/>
            </w:pPr>
            <w:r>
              <w:t xml:space="preserve">avantage petit à moyen sur le critère combiné de 13 échelles (MW 0,59)</w:t>
            </w:r>
          </w:p>
        </w:tc>
      </w:tr>
      <w:tr>
        <w:tc>
          <w:tcPr/>
          <w:p>
            <w:pPr>
              <w:pStyle w:val="Compact"/>
              <w:jc w:val="left"/>
            </w:pPr>
            <w:r>
              <w:t xml:space="preserve">Méta-analyse CAPTAIN (Vester 2021), PMID 33620612</w:t>
            </w:r>
          </w:p>
        </w:tc>
        <w:tc>
          <w:tcPr/>
          <w:p>
            <w:pPr>
              <w:pStyle w:val="Compact"/>
              <w:jc w:val="left"/>
            </w:pPr>
            <w:r>
              <w:t xml:space="preserve">185 personnes issues des deux études</w:t>
            </w:r>
          </w:p>
        </w:tc>
        <w:tc>
          <w:tcPr/>
          <w:p>
            <w:pPr>
              <w:pStyle w:val="Compact"/>
              <w:jc w:val="left"/>
            </w:pPr>
            <w:r>
              <w:t xml:space="preserve">90 jours</w:t>
            </w:r>
          </w:p>
        </w:tc>
        <w:tc>
          <w:tcPr/>
          <w:p>
            <w:pPr>
              <w:pStyle w:val="Compact"/>
              <w:jc w:val="left"/>
            </w:pPr>
            <w:r>
              <w:t xml:space="preserve">MW 0,60 à 30 et 90 jours</w:t>
            </w:r>
          </w:p>
        </w:tc>
      </w:tr>
    </w:tbl>
    <w:p>
      <w:pPr>
        <w:pStyle w:val="BodyText"/>
      </w:pPr>
      <w:r>
        <w:t xml:space="preserve">CAPTAIN I a été arrêtée prématurément avec seulement 46 participants (NCT01606111, statut au registre « interrompue »). D’autres méta-analyses sur le traumatisme crânien reposent principalement sur des études observationnelles et ont trouvé de meilleures valeurs sur la Glasgow Outcome Scale, mais aucun effet sur la mortalité</w:t>
      </w:r>
      <w:r>
        <w:rPr>
          <w:rStyle w:val="FootnoteReference"/>
        </w:rPr>
        <w:footnoteReference w:id="1688"/>
      </w:r>
      <w:r>
        <w:t xml:space="preserve">. Dans l’ensemble, les données suggèrent un possible petit avantage ; le nombre de personnes étudiées de manière randomisée est trop faible pour une conclusion sûre.</w:t>
      </w:r>
    </w:p>
    <w:bookmarkEnd w:id="1689"/>
    <w:bookmarkStart w:id="1695" w:name="démence"/>
    <w:p>
      <w:pPr>
        <w:pStyle w:val="Heading4"/>
      </w:pPr>
      <w:r>
        <w:t xml:space="preserve">Démence</w:t>
      </w:r>
    </w:p>
    <w:p>
      <w:pPr>
        <w:pStyle w:val="FirstParagraph"/>
      </w:pPr>
      <w:r>
        <w:rPr>
          <w:bCs/>
          <w:b/>
        </w:rPr>
        <w:t xml:space="preserve">Maladie d’Alzheimer.</w:t>
      </w:r>
      <w:r>
        <w:t xml:space="preserve"> </w:t>
      </w:r>
      <w:r>
        <w:t xml:space="preserve">Dans les années 1990 et 2000, plusieurs études contrôlées contre placebo ont été menées. Dans une étude portant sur 192 personnes, l’impression clinique globale (CIBIC+) était meilleure sous Cerebrolysin après douze semaines (76 % contre 57 % de « répondeurs ») ; les groupes différaient toutefois dès le départ par l’âge et les hallucinations</w:t>
      </w:r>
      <w:r>
        <w:rPr>
          <w:rStyle w:val="FootnoteReference"/>
        </w:rPr>
        <w:footnoteReference w:id="1690"/>
      </w:r>
      <w:r>
        <w:t xml:space="preserve">. Dans une étude portant sur 197 personnes, la Cerebrolysin était aussi efficace sur l’impression globale que le médicament anti-Alzheimer autorisé donépézil ; il n’y avait pas de différences significatives entre les groupes pour la cognition, l’autonomie au quotidien et le comportement</w:t>
      </w:r>
      <w:r>
        <w:rPr>
          <w:rStyle w:val="FootnoteReference"/>
        </w:rPr>
        <w:footnoteReference w:id="1691"/>
      </w:r>
      <w:r>
        <w:t xml:space="preserve">. Une méta-analyse de six études a trouvé un avantage sur l’impression clinique globale à quatre semaines et à six mois, mais sur la cognition seulement à quatre semaines, pas à six mois</w:t>
      </w:r>
      <w:r>
        <w:rPr>
          <w:rStyle w:val="FootnoteReference"/>
        </w:rPr>
        <w:footnoteReference w:id="1692"/>
      </w:r>
      <w:r>
        <w:t xml:space="preserve">. Des chercheurs collaborant avec le fabricant ont participé à cette méta-analyse.</w:t>
      </w:r>
    </w:p>
    <w:p>
      <w:pPr>
        <w:pStyle w:val="BodyText"/>
      </w:pPr>
      <w:r>
        <w:rPr>
          <w:bCs/>
          <w:b/>
        </w:rPr>
        <w:t xml:space="preserve">Démence vasculaire.</w:t>
      </w:r>
      <w:r>
        <w:t xml:space="preserve"> </w:t>
      </w:r>
      <w:r>
        <w:t xml:space="preserve">La plus grande étude, portant sur 242 personnes, a rapporté après 24 semaines une amélioration de l’ADAS-cog+ de 10,6 points contre 4,4 points sous placebo</w:t>
      </w:r>
      <w:r>
        <w:rPr>
          <w:rStyle w:val="FootnoteReference"/>
        </w:rPr>
        <w:footnoteReference w:id="1693"/>
      </w:r>
      <w:r>
        <w:t xml:space="preserve"> </w:t>
      </w:r>
      <w:r>
        <w:t xml:space="preserve">– un effet inhabituellement grand pour des études sur la démence. La revue Cochrane sur la démence vasculaire a regroupé six études portant sur 597 personnes et a trouvé des avantages sur la cognition et l’impression globale, mais a jugé la fiabilité des preuves « très faible ». Les auteures et auteurs écrivent que les effets éventuels pourraient être trop faibles pour être cliniquement significatifs et que la base de preuves est faible, bien que la Cerebrolysin continue d’être promue</w:t>
      </w:r>
      <w:r>
        <w:rPr>
          <w:rStyle w:val="FootnoteReference"/>
        </w:rPr>
        <w:footnoteReference w:id="1694"/>
      </w:r>
      <w:r>
        <w:t xml:space="preserve">.</w:t>
      </w:r>
    </w:p>
    <w:bookmarkEnd w:id="1695"/>
    <w:bookmarkStart w:id="1697" w:name="autres-applications-3"/>
    <w:p>
      <w:pPr>
        <w:pStyle w:val="Heading4"/>
      </w:pPr>
      <w:r>
        <w:t xml:space="preserve">Autres applications</w:t>
      </w:r>
    </w:p>
    <w:p>
      <w:pPr>
        <w:pStyle w:val="FirstParagraph"/>
      </w:pPr>
      <w:r>
        <w:t xml:space="preserve">Il existe des études plus petites sur la SLA (20 personnes, amélioration sur l’échelle fonctionnelle de la SLA après un mois ; Firstenfeld 2023, PMID 38585517), sur les prématurés, les enfants atteints de paralysie cérébrale, la perte de l’odorat après la COVID-19 et les maladies psychiatriques. Chez des hommes en bonne santé, la Cerebrolysin a modifié les tracés EEG dans une petite étude portant sur 48 participants ; pour la mémoire à court terme, une tendance à un moins bon rappel de mots au cours des premières heures est apparue sous placebo, mais pas sous Cerebrolysin</w:t>
      </w:r>
      <w:r>
        <w:rPr>
          <w:rStyle w:val="FootnoteReference"/>
        </w:rPr>
        <w:footnoteReference w:id="1696"/>
      </w:r>
      <w:r>
        <w:t xml:space="preserve">. Il n’existe aucune preuve pour l’utilisation comme « nootropique » chez les personnes en bonne santé.</w:t>
      </w:r>
    </w:p>
    <w:bookmarkEnd w:id="1697"/>
    <w:bookmarkEnd w:id="1698"/>
    <w:bookmarkStart w:id="1702" w:name="études-animales-et-de-laboratoire-36"/>
    <w:p>
      <w:pPr>
        <w:pStyle w:val="Heading3"/>
      </w:pPr>
      <w:r>
        <w:t xml:space="preserve">Études animales et de laboratoire</w:t>
      </w:r>
    </w:p>
    <w:p>
      <w:pPr>
        <w:numPr>
          <w:ilvl w:val="0"/>
          <w:numId w:val="1204"/>
        </w:numPr>
        <w:pStyle w:val="Compact"/>
      </w:pPr>
      <w:r>
        <w:t xml:space="preserve">Chez des rats ayant subi un AVC provoqué artificiellement, la Cerebrolysin a amélioré de façon dose-dépendante la récupération neurologique à 28 jours dans une étude animale randomisée et en aveugle</w:t>
      </w:r>
      <w:r>
        <w:rPr>
          <w:rStyle w:val="FootnoteReference"/>
        </w:rPr>
        <w:footnoteReference w:id="1699"/>
      </w:r>
      <w:r>
        <w:t xml:space="preserve">.</w:t>
      </w:r>
    </w:p>
    <w:p>
      <w:pPr>
        <w:numPr>
          <w:ilvl w:val="0"/>
          <w:numId w:val="1204"/>
        </w:numPr>
        <w:pStyle w:val="Compact"/>
      </w:pPr>
      <w:r>
        <w:t xml:space="preserve">Chez des rats présentant une lésion cérébrale légère, la Cerebrolysin a réduit les lésions axonales et favorisé la formation de nouveaux neurones dans l’hippocampe</w:t>
      </w:r>
      <w:r>
        <w:rPr>
          <w:rStyle w:val="FootnoteReference"/>
        </w:rPr>
        <w:footnoteReference w:id="1700"/>
      </w:r>
      <w:r>
        <w:t xml:space="preserve">.</w:t>
      </w:r>
    </w:p>
    <w:p>
      <w:pPr>
        <w:numPr>
          <w:ilvl w:val="0"/>
          <w:numId w:val="1204"/>
        </w:numPr>
        <w:pStyle w:val="Compact"/>
      </w:pPr>
      <w:r>
        <w:t xml:space="preserve">Dans un modèle murin de la maladie héréditaire CADASIL, la Cerebrolysin a prolongé la durée de vie et amélioré la mémoire spatiale, sans influencer les modifications typiques de la substance blanche</w:t>
      </w:r>
      <w:r>
        <w:rPr>
          <w:rStyle w:val="FootnoteReference"/>
        </w:rPr>
        <w:footnoteReference w:id="1701"/>
      </w:r>
      <w:r>
        <w:t xml:space="preserve">.</w:t>
      </w:r>
    </w:p>
    <w:p>
      <w:pPr>
        <w:pStyle w:val="FirstParagraph"/>
      </w:pPr>
      <w:r>
        <w:t xml:space="preserve">Les études précliniques proviennent pour une part importante de collaborations avec le fabricant. Pour les médicaments de l’AVC, de bons résultats chez l’animal se sont jusqu’ici rarement traduits par un bénéfice clinique.</w:t>
      </w:r>
    </w:p>
    <w:bookmarkEnd w:id="1702"/>
    <w:bookmarkStart w:id="1706" w:name="risques-et-effets-indésirables-36"/>
    <w:p>
      <w:pPr>
        <w:pStyle w:val="Heading3"/>
      </w:pPr>
      <w:r>
        <w:t xml:space="preserve">Risques et effets indésirables</w:t>
      </w:r>
    </w:p>
    <w:p>
      <w:pPr>
        <w:pStyle w:val="FirstParagraph"/>
      </w:pPr>
      <w:r>
        <w:rPr>
          <w:bCs/>
          <w:b/>
        </w:rPr>
        <w:t xml:space="preserve">Établi :</w:t>
      </w:r>
    </w:p>
    <w:p>
      <w:pPr>
        <w:numPr>
          <w:ilvl w:val="0"/>
          <w:numId w:val="1205"/>
        </w:numPr>
        <w:pStyle w:val="Compact"/>
      </w:pPr>
      <w:r>
        <w:t xml:space="preserve">Dans les études, les effets indésirables étaient globalement aussi fréquents que sous placebo. Sont notamment cités des maux de tête, des vertiges et une agitation</w:t>
      </w:r>
      <w:r>
        <w:rPr>
          <w:rStyle w:val="FootnoteReference"/>
        </w:rPr>
        <w:footnoteReference w:id="1703"/>
      </w:r>
      <w:r>
        <w:t xml:space="preserve">.</w:t>
      </w:r>
    </w:p>
    <w:p>
      <w:pPr>
        <w:numPr>
          <w:ilvl w:val="0"/>
          <w:numId w:val="1205"/>
        </w:numPr>
        <w:pStyle w:val="Compact"/>
      </w:pPr>
      <w:r>
        <w:t xml:space="preserve">La revue Cochrane sur l’AVC a trouvé davantage d’</w:t>
      </w:r>
      <w:r>
        <w:rPr>
          <w:bCs/>
          <w:b/>
        </w:rPr>
        <w:t xml:space="preserve">événements indésirables graves non mortels</w:t>
      </w:r>
      <w:r>
        <w:t xml:space="preserve"> </w:t>
      </w:r>
      <w:r>
        <w:t xml:space="preserve">sous Cerebrolysin (RR 2,39 ; Ziganshina 2023, PMID 37818733), la méta-analyse de sécurité proche du fabricant non</w:t>
      </w:r>
      <w:r>
        <w:rPr>
          <w:rStyle w:val="FootnoteReference"/>
        </w:rPr>
        <w:footnoteReference w:id="1704"/>
      </w:r>
      <w:r>
        <w:t xml:space="preserve">.</w:t>
      </w:r>
    </w:p>
    <w:p>
      <w:pPr>
        <w:numPr>
          <w:ilvl w:val="0"/>
          <w:numId w:val="1205"/>
        </w:numPr>
        <w:pStyle w:val="Compact"/>
      </w:pPr>
      <w:r>
        <w:rPr>
          <w:bCs/>
          <w:b/>
        </w:rPr>
        <w:t xml:space="preserve">Réactions allergiques :</w:t>
      </w:r>
      <w:r>
        <w:t xml:space="preserve"> </w:t>
      </w:r>
      <w:r>
        <w:t xml:space="preserve">un rapport de cas documenté en détail décrit une réaction anaphylactique mettant en jeu le pronostic vital chez un homme de 85 ans après une perfusion de Cerebrolysin ; les auteurs soulignent que de tels cas sont rares, mais importants chez les personnes gravement malades</w:t>
      </w:r>
      <w:r>
        <w:rPr>
          <w:rStyle w:val="FootnoteReference"/>
        </w:rPr>
        <w:footnoteReference w:id="1705"/>
      </w:r>
      <w:r>
        <w:t xml:space="preserve">.</w:t>
      </w:r>
    </w:p>
    <w:p>
      <w:pPr>
        <w:pStyle w:val="FirstParagraph"/>
      </w:pPr>
      <w:r>
        <w:rPr>
          <w:bCs/>
          <w:b/>
        </w:rPr>
        <w:t xml:space="preserve">Théorique :</w:t>
      </w:r>
      <w:r>
        <w:t xml:space="preserve"> </w:t>
      </w:r>
      <w:r>
        <w:t xml:space="preserve">en tant que préparation issue de tissu cérébral animal, la Cerebrolysin est par principe liée à des questions de pureté et de transmissibilité d’agents pathogènes ; les procédés de fabrication et les exigences des autorités doivent minimiser ce risque. Aucun cas concret de transmission n’est décrit dans les sources analysées ici.</w:t>
      </w:r>
    </w:p>
    <w:p>
      <w:pPr>
        <w:pStyle w:val="BodyText"/>
      </w:pPr>
      <w:r>
        <w:rPr>
          <w:bCs/>
          <w:b/>
        </w:rPr>
        <w:t xml:space="preserve">Marché gris :</w:t>
      </w:r>
      <w:r>
        <w:t xml:space="preserve"> </w:t>
      </w:r>
      <w:r>
        <w:t xml:space="preserve">dans les forums de nootropiques, la Cerebrolysin est discutée comme « booster cérébral » et achetée dans des pays où elle est disponible. L’auto-administration intraveineuse sans surveillance médicale comporte le risque de réactions allergiques graves pour lesquelles aucune prise en charge d’urgence n’est alors disponible. Plus de détails sur les produits du marché gris dans la partie I et la partie IV.</w:t>
      </w:r>
    </w:p>
    <w:bookmarkEnd w:id="1706"/>
    <w:bookmarkStart w:id="1707" w:name="statut-juridique-36"/>
    <w:p>
      <w:pPr>
        <w:pStyle w:val="Heading3"/>
      </w:pPr>
      <w:r>
        <w:t xml:space="preserve">Statut juridique</w:t>
      </w:r>
    </w:p>
    <w:p>
      <w:pPr>
        <w:numPr>
          <w:ilvl w:val="0"/>
          <w:numId w:val="1206"/>
        </w:numPr>
        <w:pStyle w:val="Compact"/>
      </w:pPr>
      <w:r>
        <w:rPr>
          <w:bCs/>
          <w:b/>
        </w:rPr>
        <w:t xml:space="preserve">UE / Autriche / Allemagne :</w:t>
      </w:r>
      <w:r>
        <w:t xml:space="preserve"> </w:t>
      </w:r>
      <w:r>
        <w:t xml:space="preserve">pas d’autorisation centralisée de l’UE. En Autriche, la Cerebrolysin est autorisée au niveau national comme médicament soumis à prescription ; les indications et le remboursement relèvent du résumé des caractéristiques du produit autrichien. D’autres États de l’UE ont leurs propres autorisations nationales. En Allemagne, la Cerebrolysin n’est pas commercialisée à notre connaissance ; un approvisionnement ne serait possible, le cas échéant, que par importation individuelle sur prescription médicale.</w:t>
      </w:r>
    </w:p>
    <w:p>
      <w:pPr>
        <w:numPr>
          <w:ilvl w:val="0"/>
          <w:numId w:val="1206"/>
        </w:numPr>
        <w:pStyle w:val="Compact"/>
      </w:pPr>
      <w:r>
        <w:rPr>
          <w:bCs/>
          <w:b/>
        </w:rPr>
        <w:t xml:space="preserve">États-Unis :</w:t>
      </w:r>
      <w:r>
        <w:t xml:space="preserve"> </w:t>
      </w:r>
      <w:r>
        <w:t xml:space="preserve">non autorisée.</w:t>
      </w:r>
    </w:p>
    <w:p>
      <w:pPr>
        <w:numPr>
          <w:ilvl w:val="0"/>
          <w:numId w:val="1206"/>
        </w:numPr>
        <w:pStyle w:val="Compact"/>
      </w:pPr>
      <w:r>
        <w:rPr>
          <w:bCs/>
          <w:b/>
        </w:rPr>
        <w:t xml:space="preserve">Sport :</w:t>
      </w:r>
      <w:r>
        <w:t xml:space="preserve"> </w:t>
      </w:r>
      <w:r>
        <w:t xml:space="preserve">pas sur la liste de l’AMA (état 2026, à vérifier).</w:t>
      </w:r>
    </w:p>
    <w:p>
      <w:pPr>
        <w:numPr>
          <w:ilvl w:val="0"/>
          <w:numId w:val="1206"/>
        </w:numPr>
        <w:pStyle w:val="Compact"/>
      </w:pPr>
      <w:r>
        <w:t xml:space="preserve">En cas d’utilisation autorisée : se référer au résumé des caractéristiques du produit et à un encadrement médical.</w:t>
      </w:r>
    </w:p>
    <w:bookmarkEnd w:id="1707"/>
    <w:bookmarkStart w:id="1711" w:name="études-en-cours-et-perspectives-36"/>
    <w:p>
      <w:pPr>
        <w:pStyle w:val="Heading3"/>
      </w:pPr>
      <w:r>
        <w:t xml:space="preserve">Études en cours et perspectives</w:t>
      </w:r>
    </w:p>
    <w:p>
      <w:pPr>
        <w:pStyle w:val="FirstParagraph"/>
      </w:pPr>
      <w:r>
        <w:rPr>
          <w:bCs/>
          <w:b/>
        </w:rPr>
        <w:t xml:space="preserve">Établi (études enregistrées, état octobre 2026) :</w:t>
      </w:r>
    </w:p>
    <w:p>
      <w:pPr>
        <w:numPr>
          <w:ilvl w:val="0"/>
          <w:numId w:val="1207"/>
        </w:numPr>
        <w:pStyle w:val="Compact"/>
      </w:pPr>
      <w:r>
        <w:rPr>
          <w:bCs/>
          <w:b/>
        </w:rPr>
        <w:t xml:space="preserve">CERebrolysin In CADASIL</w:t>
      </w:r>
      <w:r>
        <w:rPr>
          <w:rStyle w:val="FootnoteReference"/>
        </w:rPr>
        <w:footnoteReference w:id="1708"/>
      </w:r>
      <w:r>
        <w:t xml:space="preserve"> </w:t>
      </w:r>
      <w:r>
        <w:t xml:space="preserve">: étude de phase 2 portant sur 30 participants dans la maladie vasculaire héréditaire CADASIL, active, recrutement terminé.</w:t>
      </w:r>
    </w:p>
    <w:p>
      <w:pPr>
        <w:numPr>
          <w:ilvl w:val="0"/>
          <w:numId w:val="1207"/>
        </w:numPr>
        <w:pStyle w:val="Compact"/>
      </w:pPr>
      <w:r>
        <w:rPr>
          <w:bCs/>
          <w:b/>
        </w:rPr>
        <w:t xml:space="preserve">Aphasie après un AVC</w:t>
      </w:r>
      <w:r>
        <w:rPr>
          <w:rStyle w:val="FootnoteReference"/>
        </w:rPr>
        <w:footnoteReference w:id="1709"/>
      </w:r>
      <w:r>
        <w:t xml:space="preserve"> </w:t>
      </w:r>
      <w:r>
        <w:t xml:space="preserve">: étude randomisée contrôlée contre placebo portant sur 40 participants en Corée, en recrutement.</w:t>
      </w:r>
    </w:p>
    <w:p>
      <w:pPr>
        <w:numPr>
          <w:ilvl w:val="0"/>
          <w:numId w:val="1207"/>
        </w:numPr>
        <w:pStyle w:val="Compact"/>
      </w:pPr>
      <w:r>
        <w:rPr>
          <w:bCs/>
          <w:b/>
        </w:rPr>
        <w:t xml:space="preserve">Cerebrolysin après thrombectomie étendue</w:t>
      </w:r>
      <w:r>
        <w:rPr>
          <w:rStyle w:val="FootnoteReference"/>
        </w:rPr>
        <w:footnoteReference w:id="1710"/>
      </w:r>
      <w:r>
        <w:t xml:space="preserve"> </w:t>
      </w:r>
      <w:r>
        <w:t xml:space="preserve">: étude de phase 2 avec 100 participants prévus à Taïwan, début en 2026.</w:t>
      </w:r>
    </w:p>
    <w:p>
      <w:pPr>
        <w:numPr>
          <w:ilvl w:val="0"/>
          <w:numId w:val="1207"/>
        </w:numPr>
        <w:pStyle w:val="Compact"/>
      </w:pPr>
      <w:r>
        <w:t xml:space="preserve">D’autres études plus petites sur le délire après chirurgie cardiaque et en soins intensifs, sur l’hémorragie cérébrale et sur la rééducation précoce sont enregistrées.</w:t>
      </w:r>
    </w:p>
    <w:p>
      <w:pPr>
        <w:pStyle w:val="FirstParagraph"/>
      </w:pPr>
      <w:r>
        <w:rPr>
          <w:bCs/>
          <w:b/>
        </w:rPr>
        <w:t xml:space="preserve">Appréciation :</w:t>
      </w:r>
      <w:r>
        <w:t xml:space="preserve"> </w:t>
      </w:r>
      <w:r>
        <w:t xml:space="preserve">aucune des études enregistrées n’est assez vaste pour répondre à la question centrale restée ouverte : la Cerebrolysin réduit-elle le handicap persistant ou la mortalité après un AVC ? Il faudrait pour cela une étude menée de manière indépendante, suffisamment vaste, avec un critère principal clair fixé à l’avance, comme l’échelle de Rankin modifiée à 90 jours. Tant qu’elle fera défaut, l’évaluation restera partagée entre « établie en Europe de l’Est et en Asie » et « insuffisamment démontrée en Occident ».</w:t>
      </w:r>
    </w:p>
    <w:bookmarkEnd w:id="1711"/>
    <w:bookmarkStart w:id="1712" w:name="conclusion-36"/>
    <w:p>
      <w:pPr>
        <w:pStyle w:val="Heading3"/>
      </w:pPr>
      <w:r>
        <w:t xml:space="preserve">Conclusion</w:t>
      </w:r>
    </w:p>
    <w:p>
      <w:pPr>
        <w:pStyle w:val="FirstParagraph"/>
      </w:pPr>
      <w:r>
        <w:t xml:space="preserve">La Cerebrolysin est un mélange de peptides obtenu à partir de cerveau de porc, utilisé en Autriche et dans de nombreux pays d’Europe de l’Est et d’Asie dans l’AVC, le traumatisme crânien et la démence. De nombreuses études randomisées montrent des améliorations précoces sur des échelles neurologiques, mais la plus grande étude (CASTA), portant sur plus de 1 000 personnes, a manqué son critère principal. Les revues Cochrane indépendantes ne trouvent aucun effet sur la mortalité, un signal d’effets indésirables graves non mortels plus nombreux dans l’AVC et seulement des avantages très incertains dans la démence vasculaire. Les analyses proches du fabricant aboutissent à des résultats nettement plus positifs. Les données ne suffisent pas pour démontrer avec certitude un bénéfice à long terme cliniquement significatif ; en automédication ou comme « nootropique », la Cerebrolysin est inadaptée.</w:t>
      </w:r>
    </w:p>
    <w:bookmarkEnd w:id="1712"/>
    <w:bookmarkEnd w:id="1713"/>
    <w:bookmarkStart w:id="1735" w:name="dihexa"/>
    <w:p>
      <w:pPr>
        <w:pStyle w:val="Heading2"/>
      </w:pPr>
      <w:r>
        <w:t xml:space="preserve">Dihexa</w:t>
      </w:r>
    </w:p>
    <w:bookmarkStart w:id="1714" w:name="fiche-signalétique-37"/>
    <w:p>
      <w:pPr>
        <w:pStyle w:val="Heading3"/>
      </w:pPr>
      <w:r>
        <w:t xml:space="preserve">Fiche signalétique</w:t>
      </w:r>
    </w:p>
    <w:p>
      <w:pPr>
        <w:numPr>
          <w:ilvl w:val="0"/>
          <w:numId w:val="1208"/>
        </w:numPr>
        <w:pStyle w:val="Compact"/>
      </w:pPr>
      <w:r>
        <w:rPr>
          <w:bCs/>
          <w:b/>
        </w:rPr>
        <w:t xml:space="preserve">Nature et structure :</w:t>
      </w:r>
      <w:r>
        <w:t xml:space="preserve"> </w:t>
      </w:r>
      <w:r>
        <w:t xml:space="preserve">mini-peptide chimiquement modifié, dérivé de l’angiotensine IV, un fragment du système hormonal de régulation de la pression artérielle. Le noyau se compose de deux acides aminés (tyrosine et isoleucine), pourvus aux deux extrémités de chaînes semblables à des acides gras ; nom chimique N-hexanoyl-Tyr-Ile-(6)-amide d’acide aminohexanoïque, code de recherche PNB-0408.</w:t>
      </w:r>
    </w:p>
    <w:p>
      <w:pPr>
        <w:numPr>
          <w:ilvl w:val="0"/>
          <w:numId w:val="1208"/>
        </w:numPr>
        <w:pStyle w:val="Compact"/>
      </w:pPr>
      <w:r>
        <w:rPr>
          <w:bCs/>
          <w:b/>
        </w:rPr>
        <w:t xml:space="preserve">Origine :</w:t>
      </w:r>
      <w:r>
        <w:t xml:space="preserve"> </w:t>
      </w:r>
      <w:r>
        <w:t xml:space="preserve">développée vers 2012 à la Washington State University (États-Unis).</w:t>
      </w:r>
    </w:p>
    <w:p>
      <w:pPr>
        <w:numPr>
          <w:ilvl w:val="0"/>
          <w:numId w:val="1208"/>
        </w:numPr>
        <w:pStyle w:val="Compact"/>
      </w:pPr>
      <w:r>
        <w:rPr>
          <w:bCs/>
          <w:b/>
        </w:rPr>
        <w:t xml:space="preserve">Principe d’action :</w:t>
      </w:r>
      <w:r>
        <w:t xml:space="preserve"> </w:t>
      </w:r>
      <w:r>
        <w:t xml:space="preserve">renforcerait le système de facteur de croissance HGF/c-Met (HGF = facteur de croissance des hépatocytes, c-Met = son récepteur) et stimulerait ainsi la formation de nouvelles connexions nerveuses (synapses).</w:t>
      </w:r>
    </w:p>
    <w:p>
      <w:pPr>
        <w:numPr>
          <w:ilvl w:val="0"/>
          <w:numId w:val="1208"/>
        </w:numPr>
        <w:pStyle w:val="Compact"/>
      </w:pPr>
      <w:r>
        <w:rPr>
          <w:bCs/>
          <w:b/>
        </w:rPr>
        <w:t xml:space="preserve">Autorisation UE :</w:t>
      </w:r>
      <w:r>
        <w:t xml:space="preserve"> </w:t>
      </w:r>
      <w:r>
        <w:t xml:space="preserve">non.</w:t>
      </w:r>
    </w:p>
    <w:p>
      <w:pPr>
        <w:numPr>
          <w:ilvl w:val="0"/>
          <w:numId w:val="1208"/>
        </w:numPr>
        <w:pStyle w:val="Compact"/>
      </w:pPr>
      <w:r>
        <w:rPr>
          <w:bCs/>
          <w:b/>
        </w:rPr>
        <w:t xml:space="preserve">Autorisation États-Unis :</w:t>
      </w:r>
      <w:r>
        <w:t xml:space="preserve"> </w:t>
      </w:r>
      <w:r>
        <w:t xml:space="preserve">non. La Dihexa figurait à partir de 2023 dans la « catégorie 2 » de la FDA pour les substances de préparation magistrale présentant des problèmes de sécurité ; elle en a été retirée en avril 2026, et une évaluation par le comité consultatif PCAC est annoncée pour une séance d’ici février 2027 (état octobre 2026, à vérifier).</w:t>
      </w:r>
    </w:p>
    <w:p>
      <w:pPr>
        <w:numPr>
          <w:ilvl w:val="0"/>
          <w:numId w:val="1208"/>
        </w:numPr>
        <w:pStyle w:val="Compact"/>
      </w:pPr>
      <w:r>
        <w:rPr>
          <w:bCs/>
          <w:b/>
        </w:rPr>
        <w:t xml:space="preserve">AMA (WADA) :</w:t>
      </w:r>
      <w:r>
        <w:t xml:space="preserve"> </w:t>
      </w:r>
      <w:r>
        <w:t xml:space="preserve">pas nommément listée ; en tant que substance autorisée nulle part, la Dihexa relève selon notre appréciation de la catégorie générale S0 « substances non approuvées ».</w:t>
      </w:r>
    </w:p>
    <w:p>
      <w:pPr>
        <w:numPr>
          <w:ilvl w:val="0"/>
          <w:numId w:val="1208"/>
        </w:numPr>
        <w:pStyle w:val="Compact"/>
      </w:pPr>
      <w:r>
        <w:rPr>
          <w:bCs/>
          <w:b/>
        </w:rPr>
        <w:t xml:space="preserve">Niveau de preuve :</w:t>
      </w:r>
      <w:r>
        <w:t xml:space="preserve"> </w:t>
      </w:r>
      <w:r>
        <w:rPr>
          <w:bCs/>
          <w:b/>
        </w:rPr>
        <w:t xml:space="preserve">D</w:t>
      </w:r>
      <w:r>
        <w:t xml:space="preserve"> </w:t>
      </w:r>
      <w:r>
        <w:t xml:space="preserve">– pas une seule étude publiée chez l’humain.</w:t>
      </w:r>
    </w:p>
    <w:bookmarkEnd w:id="1714"/>
    <w:bookmarkStart w:id="1717" w:name="mode-daction-supposé-37"/>
    <w:p>
      <w:pPr>
        <w:pStyle w:val="Heading3"/>
      </w:pPr>
      <w:r>
        <w:t xml:space="preserve">Mode d’action supposé</w:t>
      </w:r>
    </w:p>
    <w:p>
      <w:pPr>
        <w:pStyle w:val="FirstParagraph"/>
      </w:pPr>
      <w:r>
        <w:t xml:space="preserve">L’angiotensine IV est un peptide court qui se forme dans l’organisme à partir de l’hormone de la pression artérielle angiotensine II. Depuis les années 1990, des chercheurs ont observé que l’angiotensine IV et des molécules apparentées amélioraient l’apprentissage et la mémoire chez le rat lorsqu’on les injectait directement dans le cerveau. Pour un médicament, c’était inutilisable : les peptides étaient rapidement dégradés et ne passaient ni de l’intestin dans le sang ni à travers la barrière hémato-encéphalique.</w:t>
      </w:r>
    </w:p>
    <w:p>
      <w:pPr>
        <w:pStyle w:val="BodyText"/>
      </w:pPr>
      <w:r>
        <w:t xml:space="preserve">Le groupe de Joseph Harding et John Wright, dans l’État de Washington, a donc réduit la molécule à son noyau actif et l’a dotée de groupements chimiques protecteurs. Le résultat fut la Dihexa : stable face à la dégradation, active par voie orale chez le rat et capable de pénétrer dans le cerveau. Chez des rats présentant un trouble de la mémoire induit par un médicament et chez des rats âgés, elle a amélioré les performances dans le labyrinthe aquatique et favorisé la formation de synapses dans l’hippocampe</w:t>
      </w:r>
      <w:r>
        <w:rPr>
          <w:rStyle w:val="FootnoteReference"/>
        </w:rPr>
        <w:footnoteReference w:id="1715"/>
      </w:r>
      <w:r>
        <w:t xml:space="preserve">.</w:t>
      </w:r>
    </w:p>
    <w:p>
      <w:pPr>
        <w:pStyle w:val="BodyText"/>
      </w:pPr>
      <w:r>
        <w:t xml:space="preserve">Plus tard, le même groupe a trouvé le mécanisme d’action présumé : la Dihexa se lie au facteur de croissance HGF et renforce son signal sur le récepteur c-Met. Lorsque le système HGF était bloqué dans le cerveau des rats, l’effet favorable sur la mémoire disparaissait</w:t>
      </w:r>
      <w:r>
        <w:rPr>
          <w:rStyle w:val="FootnoteReference"/>
        </w:rPr>
        <w:footnoteReference w:id="1716"/>
      </w:r>
      <w:r>
        <w:t xml:space="preserve">. Ce travail a été rétracté en 2025 par la revue (avis de rétractation : PMID 40312093), de même qu’un autre travail fondamental du même groupe sur les dérivés de l’angiotensine IV comme modulateurs de HGF/c-Met (avis de rétractation : PMID 40312092). Le mécanisme d’action décrit n’est donc plus solidement démontré ; les entrées PubMed n’indiquent pas les motifs de la rétractation.</w:t>
      </w:r>
    </w:p>
    <w:p>
      <w:pPr>
        <w:pStyle w:val="BodyText"/>
      </w:pPr>
      <w:r>
        <w:t xml:space="preserve">Sur Internet, la Dihexa est souvent décrite comme une substance plusieurs fois plus puissante que le facteur de croissance nerveuse BDNF. Ces comparaisons proviennent d’essais en culture cellulaire et ne disent rien sur le fait que la Dihexa agisse chez l’humain, ni comment.</w:t>
      </w:r>
    </w:p>
    <w:bookmarkEnd w:id="1717"/>
    <w:bookmarkStart w:id="1722" w:name="études-chez-lhumain-37"/>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donné</w:t>
      </w:r>
      <w:r>
        <w:t xml:space="preserve"> </w:t>
      </w:r>
      <w:r>
        <w:rPr>
          <w:bCs/>
          <w:b/>
        </w:rPr>
        <w:t xml:space="preserve">aucune</w:t>
      </w:r>
      <w:r>
        <w:t xml:space="preserve"> </w:t>
      </w:r>
      <w:r>
        <w:t xml:space="preserve">étude chez l’humain avec la Dihexa ; au total, PubMed ne recense que 18 travaux avec ce terme de recherche, dont plusieurs sans rapport avec la substance. Aucune étude n’est enregistrée sur ClinicalTrials.gov. Une recherche complémentaire ciblée de rapports de cas, d’intoxications ou d’analyses de produits du marché gris est également restée sans résultat.</w:t>
      </w:r>
    </w:p>
    <w:p>
      <w:pPr>
        <w:pStyle w:val="BodyText"/>
      </w:pPr>
      <w:r>
        <w:t xml:space="preserve">Il n’existe donc aucune donnée sur l’efficacité, la tolérance, la durée d’action ou les quantités appropriées chez l’humain. Tout ce qui est rapporté sur un effet chez l’humain provient de témoignages sur des forums.</w:t>
      </w:r>
    </w:p>
    <w:bookmarkStart w:id="1721" w:name="une-parente-en-clinique-le-fosgonimeton"/>
    <w:p>
      <w:pPr>
        <w:pStyle w:val="Heading4"/>
      </w:pPr>
      <w:r>
        <w:t xml:space="preserve">Une parente en clinique : le fosgonimeton</w:t>
      </w:r>
    </w:p>
    <w:p>
      <w:pPr>
        <w:pStyle w:val="FirstParagraph"/>
      </w:pPr>
      <w:r>
        <w:t xml:space="preserve">Le sort d’une autre substance, issue de la même approche de recherche – le renforcement du système HGF/c-Met –, est instructif. La société Athira Pharma a développé le fosgonimeton (ATH-1017), une molécule chimiquement différente, censée elle aussi influencer positivement HGF/c-Met. Le fosgonimeton a – contrairement à la Dihexa – été testé dans des études cliniques régulières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Phase 1 (Hua 2022), PMID 35180125</w:t>
            </w:r>
          </w:p>
        </w:tc>
        <w:tc>
          <w:tcPr/>
          <w:p>
            <w:pPr>
              <w:pStyle w:val="Compact"/>
              <w:jc w:val="left"/>
            </w:pPr>
            <w:r>
              <w:t xml:space="preserve">88 personnes (en bonne santé et 11 personnes atteintes d’Alzheimer), double aveugle contre placebo</w:t>
            </w:r>
          </w:p>
        </w:tc>
        <w:tc>
          <w:tcPr/>
          <w:p>
            <w:pPr>
              <w:pStyle w:val="Compact"/>
              <w:jc w:val="left"/>
            </w:pPr>
            <w:r>
              <w:t xml:space="preserve">jusqu’à 9 jours</w:t>
            </w:r>
          </w:p>
        </w:tc>
        <w:tc>
          <w:tcPr/>
          <w:p>
            <w:pPr>
              <w:pStyle w:val="Compact"/>
              <w:jc w:val="left"/>
            </w:pPr>
            <w:r>
              <w:t xml:space="preserve">bien toléré ; modifications de l’EEG suggérant un passage dans le cerveau</w:t>
            </w:r>
          </w:p>
        </w:tc>
      </w:tr>
      <w:tr>
        <w:tc>
          <w:tcPr/>
          <w:p>
            <w:pPr>
              <w:pStyle w:val="Compact"/>
              <w:jc w:val="left"/>
            </w:pPr>
            <w:r>
              <w:t xml:space="preserve">LIFT-AD (Porsteinsson 2025), PMID 41393340</w:t>
            </w:r>
          </w:p>
        </w:tc>
        <w:tc>
          <w:tcPr/>
          <w:p>
            <w:pPr>
              <w:pStyle w:val="Compact"/>
              <w:jc w:val="left"/>
            </w:pPr>
            <w:r>
              <w:t xml:space="preserve">287 personnes atteintes d’Alzheimer léger à modéré dans l’analyse principale, phase 2/3 contre placebo</w:t>
            </w:r>
          </w:p>
        </w:tc>
        <w:tc>
          <w:tcPr/>
          <w:p>
            <w:pPr>
              <w:pStyle w:val="Compact"/>
              <w:jc w:val="left"/>
            </w:pPr>
            <w:r>
              <w:t xml:space="preserve">26 semaines</w:t>
            </w:r>
          </w:p>
        </w:tc>
        <w:tc>
          <w:tcPr/>
          <w:p>
            <w:pPr>
              <w:pStyle w:val="Compact"/>
              <w:jc w:val="left"/>
            </w:pPr>
            <w:r>
              <w:t xml:space="preserve">critères principaux et secondaires manqués ; plus d’arrêts de traitement pour effets indésirables (14,2 % vs 4,6 %)</w:t>
            </w:r>
          </w:p>
        </w:tc>
      </w:tr>
    </w:tbl>
    <w:p>
      <w:pPr>
        <w:pStyle w:val="BodyText"/>
      </w:pPr>
      <w:r>
        <w:t xml:space="preserve">Dans LIFT-AD</w:t>
      </w:r>
      <w:r>
        <w:rPr>
          <w:rStyle w:val="FootnoteReference"/>
        </w:rPr>
        <w:footnoteReference w:id="1718"/>
      </w:r>
      <w:r>
        <w:t xml:space="preserve">, le fosgonimeton ne différait significativement du placebo ni sur le critère principal combiné ni sur les échelles de mémoire ou d’autonomie au quotidien. Les événements indésirables graves étaient équilibrés (4,2 % contre 6,9 %), les arrêts de traitement pour effets indésirables – surtout des réactions au point d’injection – étaient plus fréquents sous fosgonimeton</w:t>
      </w:r>
      <w:r>
        <w:rPr>
          <w:rStyle w:val="FootnoteReference"/>
        </w:rPr>
        <w:footnoteReference w:id="1719"/>
      </w:r>
      <w:r>
        <w:t xml:space="preserve">. Une étude dans la démence parkinsonienne et la démence à corps de Lewy a été arrêtée prématurément</w:t>
      </w:r>
      <w:r>
        <w:rPr>
          <w:rStyle w:val="FootnoteReference"/>
        </w:rPr>
        <w:footnoteReference w:id="1720"/>
      </w:r>
      <w:r>
        <w:t xml:space="preserve">.</w:t>
      </w:r>
    </w:p>
    <w:p>
      <w:pPr>
        <w:pStyle w:val="BodyText"/>
      </w:pPr>
      <w:r>
        <w:t xml:space="preserve">Cela ne prouve pas que la Dihexa serait inefficace – il s’agit d’une autre substance. Cela montre toutefois à quel point les améliorations de la mémoire chez le rat se transposent mal aux personnes atteintes de démence.</w:t>
      </w:r>
    </w:p>
    <w:bookmarkEnd w:id="1721"/>
    <w:bookmarkEnd w:id="1722"/>
    <w:bookmarkStart w:id="1729" w:name="études-animales-et-de-laboratoire-37"/>
    <w:p>
      <w:pPr>
        <w:pStyle w:val="Heading3"/>
      </w:pPr>
      <w:r>
        <w:t xml:space="preserve">Études animales et de laboratoire</w:t>
      </w:r>
    </w:p>
    <w:p>
      <w:pPr>
        <w:numPr>
          <w:ilvl w:val="0"/>
          <w:numId w:val="1209"/>
        </w:numPr>
        <w:pStyle w:val="Compact"/>
      </w:pPr>
      <w:r>
        <w:t xml:space="preserve">Chez des rats présentant un trouble de la mémoire dû à la scopolamine et chez des rats âgés, la Dihexa a amélioré l’apprentissage spatial et favorisé la formation de synapses</w:t>
      </w:r>
      <w:r>
        <w:rPr>
          <w:rStyle w:val="FootnoteReference"/>
        </w:rPr>
        <w:footnoteReference w:id="1723"/>
      </w:r>
      <w:r>
        <w:t xml:space="preserve">.</w:t>
      </w:r>
    </w:p>
    <w:p>
      <w:pPr>
        <w:numPr>
          <w:ilvl w:val="0"/>
          <w:numId w:val="1209"/>
        </w:numPr>
        <w:pStyle w:val="Compact"/>
      </w:pPr>
      <w:r>
        <w:t xml:space="preserve">Chez des souris modèles de la maladie d’Alzheimer (APP/PS1), la Dihexa a amélioré l’apprentissage dans le labyrinthe aquatique et réduit les signes d’inflammation dans le cerveau</w:t>
      </w:r>
      <w:r>
        <w:rPr>
          <w:rStyle w:val="FootnoteReference"/>
        </w:rPr>
        <w:footnoteReference w:id="1724"/>
      </w:r>
      <w:r>
        <w:t xml:space="preserve">.</w:t>
      </w:r>
    </w:p>
    <w:p>
      <w:pPr>
        <w:numPr>
          <w:ilvl w:val="0"/>
          <w:numId w:val="1209"/>
        </w:numPr>
        <w:pStyle w:val="Compact"/>
      </w:pPr>
      <w:r>
        <w:t xml:space="preserve">Dans un modèle de la maladie de Huntington chez le rat, la Dihexa n’a</w:t>
      </w:r>
      <w:r>
        <w:t xml:space="preserve"> </w:t>
      </w:r>
      <w:r>
        <w:rPr>
          <w:bCs/>
          <w:b/>
        </w:rPr>
        <w:t xml:space="preserve">pas</w:t>
      </w:r>
      <w:r>
        <w:t xml:space="preserve"> </w:t>
      </w:r>
      <w:r>
        <w:t xml:space="preserve">protégé contre les déficits</w:t>
      </w:r>
      <w:r>
        <w:rPr>
          <w:rStyle w:val="FootnoteReference"/>
        </w:rPr>
        <w:footnoteReference w:id="1725"/>
      </w:r>
      <w:r>
        <w:t xml:space="preserve">.</w:t>
      </w:r>
    </w:p>
    <w:p>
      <w:pPr>
        <w:numPr>
          <w:ilvl w:val="0"/>
          <w:numId w:val="1209"/>
        </w:numPr>
        <w:pStyle w:val="Compact"/>
      </w:pPr>
      <w:r>
        <w:t xml:space="preserve">Chez des larves de poisson-zèbre, la Dihexa a protégé les cellules ciliées sensorielles contre les lésions causées par certains antibiotiques</w:t>
      </w:r>
      <w:r>
        <w:rPr>
          <w:rStyle w:val="FootnoteReference"/>
        </w:rPr>
        <w:footnoteReference w:id="1726"/>
      </w:r>
      <w:r>
        <w:t xml:space="preserve">.</w:t>
      </w:r>
    </w:p>
    <w:p>
      <w:pPr>
        <w:numPr>
          <w:ilvl w:val="0"/>
          <w:numId w:val="1209"/>
        </w:numPr>
        <w:pStyle w:val="Compact"/>
      </w:pPr>
      <w:r>
        <w:t xml:space="preserve">En recherche sur les cellules souches, la Dihexa est utilisée comme substitut bon marché des facteurs de croissance pour produire des cellules semblables aux hépatocytes</w:t>
      </w:r>
      <w:r>
        <w:rPr>
          <w:rStyle w:val="FootnoteReference"/>
        </w:rPr>
        <w:footnoteReference w:id="1727"/>
      </w:r>
      <w:r>
        <w:t xml:space="preserve"> </w:t>
      </w:r>
      <w:r>
        <w:t xml:space="preserve">– un indice de l’étendue de l’action du système HGF dans l’organisme.</w:t>
      </w:r>
    </w:p>
    <w:p>
      <w:pPr>
        <w:pStyle w:val="FirstParagraph"/>
      </w:pPr>
      <w:r>
        <w:t xml:space="preserve">Une revue systématique des dérivés de l’angiotensine IV a trouvé des effets favorables dans huit des neuf études animales sur les troubles de la mémoire, mais souligne que les substances agissaient le mieux lorsqu’elles étaient administrées directement dans le cerveau</w:t>
      </w:r>
      <w:r>
        <w:rPr>
          <w:rStyle w:val="FootnoteReference"/>
        </w:rPr>
        <w:footnoteReference w:id="1728"/>
      </w:r>
      <w:r>
        <w:t xml:space="preserve">.</w:t>
      </w:r>
    </w:p>
    <w:bookmarkEnd w:id="1729"/>
    <w:bookmarkStart w:id="1731" w:name="risques-et-effets-indésirables-37"/>
    <w:p>
      <w:pPr>
        <w:pStyle w:val="Heading3"/>
      </w:pPr>
      <w:r>
        <w:t xml:space="preserve">Risques et effets indésirables</w:t>
      </w:r>
    </w:p>
    <w:p>
      <w:pPr>
        <w:pStyle w:val="FirstParagraph"/>
      </w:pPr>
      <w:r>
        <w:rPr>
          <w:bCs/>
          <w:b/>
        </w:rPr>
        <w:t xml:space="preserve">Établi :</w:t>
      </w:r>
      <w:r>
        <w:t xml:space="preserve"> </w:t>
      </w:r>
      <w:r>
        <w:t xml:space="preserve">il n’existe aucune donnée de sécurité publiée chez l’humain – ni issue d’études ni de rapports de cas.</w:t>
      </w:r>
    </w:p>
    <w:p>
      <w:pPr>
        <w:pStyle w:val="BodyText"/>
      </w:pPr>
      <w:r>
        <w:rPr>
          <w:bCs/>
          <w:b/>
        </w:rPr>
        <w:t xml:space="preserve">Théorique – et à prendre au sérieux :</w:t>
      </w:r>
      <w:r>
        <w:t xml:space="preserve"> </w:t>
      </w:r>
      <w:r>
        <w:t xml:space="preserve">le système HGF/c-Met n’est pas important seulement pour les neurones. L’activation de c-Met stimule la division cellulaire, la migration cellulaire et le remodelage tissulaire</w:t>
      </w:r>
      <w:r>
        <w:rPr>
          <w:rStyle w:val="FootnoteReference"/>
        </w:rPr>
        <w:footnoteReference w:id="1730"/>
      </w:r>
      <w:r>
        <w:t xml:space="preserve">. En recherche sur le cancer, c-Met est connu comme moteur de la croissance et de la dissémination de différentes tumeurs ; plusieurs médicaments anticancéreux autorisés bloquent précisément ce récepteur. Une substance qui renforce durablement ce signal pourrait théoriquement favoriser la croissance de tumeurs non détectées. Cela n’a jamais été étudié pour la Dihexa – il n’existe pas d’études de toxicité à long terme accessibles au public. (Plus de détails sur les signaux de croissance et le risque de cancer dans la partie IV.)</w:t>
      </w:r>
    </w:p>
    <w:p>
      <w:pPr>
        <w:pStyle w:val="BodyText"/>
      </w:pPr>
      <w:r>
        <w:rPr>
          <w:bCs/>
          <w:b/>
        </w:rPr>
        <w:t xml:space="preserve">Marché gris :</w:t>
      </w:r>
      <w:r>
        <w:t xml:space="preserve"> </w:t>
      </w:r>
      <w:r>
        <w:t xml:space="preserve">la Dihexa est vendue en ligne sous forme de poudre, de gélules ou de solution, parfois à avaler, parfois à appliquer sur la peau. La teneur et la pureté ne sont pas contrôlées.</w:t>
      </w:r>
    </w:p>
    <w:bookmarkEnd w:id="1731"/>
    <w:bookmarkStart w:id="1732" w:name="statut-juridique-37"/>
    <w:p>
      <w:pPr>
        <w:pStyle w:val="Heading3"/>
      </w:pPr>
      <w:r>
        <w:t xml:space="preserve">Statut juridique</w:t>
      </w:r>
    </w:p>
    <w:p>
      <w:pPr>
        <w:numPr>
          <w:ilvl w:val="0"/>
          <w:numId w:val="1210"/>
        </w:numPr>
        <w:pStyle w:val="Compact"/>
      </w:pPr>
      <w:r>
        <w:rPr>
          <w:bCs/>
          <w:b/>
        </w:rPr>
        <w:t xml:space="preserve">UE / Autriche / Allemagne :</w:t>
      </w:r>
      <w:r>
        <w:t xml:space="preserve"> </w:t>
      </w:r>
      <w:r>
        <w:t xml:space="preserve">non autorisée. En tant que substance à effet pharmacologique, la Dihexa est considérée comme un médicament ; sa vente en vue d’un usage humain n’est pas permise. La mention « uniquement à des fins de recherche » n’y change rien.</w:t>
      </w:r>
    </w:p>
    <w:p>
      <w:pPr>
        <w:numPr>
          <w:ilvl w:val="0"/>
          <w:numId w:val="1210"/>
        </w:numPr>
        <w:pStyle w:val="Compact"/>
      </w:pPr>
      <w:r>
        <w:rPr>
          <w:bCs/>
          <w:b/>
        </w:rPr>
        <w:t xml:space="preserve">États-Unis :</w:t>
      </w:r>
      <w:r>
        <w:t xml:space="preserve"> </w:t>
      </w:r>
      <w:r>
        <w:t xml:space="preserve">non autorisée. Depuis avril 2026, elle ne figure plus dans la « catégorie 2 » de la FDA ; le comité consultatif PCAC n’avait pas encore délibéré, en octobre 2026, sur une éventuelle inscription sur la liste des substances autorisées en préparation magistrale (état octobre 2026, à vérifier).</w:t>
      </w:r>
    </w:p>
    <w:p>
      <w:pPr>
        <w:numPr>
          <w:ilvl w:val="0"/>
          <w:numId w:val="1210"/>
        </w:numPr>
        <w:pStyle w:val="Compact"/>
      </w:pPr>
      <w:r>
        <w:rPr>
          <w:bCs/>
          <w:b/>
        </w:rPr>
        <w:t xml:space="preserve">Sport :</w:t>
      </w:r>
      <w:r>
        <w:t xml:space="preserve"> </w:t>
      </w:r>
      <w:r>
        <w:t xml:space="preserve">en tant que substance non approuvée, relève selon notre appréciation de la catégorie S0 de l’AMA (état 2026, à vérifier).</w:t>
      </w:r>
    </w:p>
    <w:bookmarkEnd w:id="1732"/>
    <w:bookmarkStart w:id="1733" w:name="études-en-cours-et-perspectives-37"/>
    <w:p>
      <w:pPr>
        <w:pStyle w:val="Heading3"/>
      </w:pPr>
      <w:r>
        <w:t xml:space="preserve">Études en cours et perspectives</w:t>
      </w:r>
    </w:p>
    <w:p>
      <w:pPr>
        <w:pStyle w:val="FirstParagraph"/>
      </w:pPr>
      <w:r>
        <w:rPr>
          <w:bCs/>
          <w:b/>
        </w:rPr>
        <w:t xml:space="preserve">Établi :</w:t>
      </w:r>
      <w:r>
        <w:t xml:space="preserve"> </w:t>
      </w:r>
      <w:r>
        <w:t xml:space="preserve">aucune étude clinique n’est enregistrée pour la Dihexa (requête d’octobre 2026). L’approche apparentée du fosgonimeton a échoué dans l’étude LIFT-AD sur la maladie d’Alzheimer.</w:t>
      </w:r>
    </w:p>
    <w:p>
      <w:pPr>
        <w:pStyle w:val="BodyText"/>
      </w:pPr>
      <w:r>
        <w:rPr>
          <w:bCs/>
          <w:b/>
        </w:rPr>
        <w:t xml:space="preserve">Appréciation :</w:t>
      </w:r>
      <w:r>
        <w:t xml:space="preserve"> </w:t>
      </w:r>
      <w:r>
        <w:t xml:space="preserve">sans données de toxicité et sans première étude chez l’humain, la Dihexa reste une substance de laboratoire. On ignore si la délibération annoncée du PCAC aux États-Unis y changera quelque chose – elle ne concernerait en tout état de cause que les préparations magistrales en pharmacie, et non l’absence de preuve d’efficacité.</w:t>
      </w:r>
    </w:p>
    <w:bookmarkEnd w:id="1733"/>
    <w:bookmarkStart w:id="1734" w:name="conclusion-37"/>
    <w:p>
      <w:pPr>
        <w:pStyle w:val="Heading3"/>
      </w:pPr>
      <w:r>
        <w:t xml:space="preserve">Conclusion</w:t>
      </w:r>
    </w:p>
    <w:p>
      <w:pPr>
        <w:pStyle w:val="FirstParagraph"/>
      </w:pPr>
      <w:r>
        <w:t xml:space="preserve">La Dihexa est un dérivé chimiquement stabilisé de l’angiotensine IV qui a favorisé l’apprentissage et la formation de synapses chez le rat et la souris, par l’intermédiaire du système de facteur de croissance HGF/c-Met. Elle n’a jamais été étudiée chez l’humain ; une substance apparentée (le fosgonimeton) a manqué tous ses critères dans une étude sur la maladie d’Alzheimer portant sur 287 personnes. Comme c-Met stimule aussi la croissance tumorale, il existe une crainte plausible, mais non vérifiée, concernant le cancer. Les données ne suffisent pas pour juger d’un quelconque bénéfice ni de la sécurité chez l’humain.</w:t>
      </w:r>
    </w:p>
    <w:bookmarkEnd w:id="1734"/>
    <w:bookmarkEnd w:id="1735"/>
    <w:bookmarkStart w:id="1767" w:name="dsip-peptide-inducteur-du-sommeil-delta"/>
    <w:p>
      <w:pPr>
        <w:pStyle w:val="Heading2"/>
      </w:pPr>
      <w:r>
        <w:t xml:space="preserve">DSIP (peptide inducteur du sommeil delta)</w:t>
      </w:r>
    </w:p>
    <w:bookmarkStart w:id="1736" w:name="fiche-signalétique-38"/>
    <w:p>
      <w:pPr>
        <w:pStyle w:val="Heading3"/>
      </w:pPr>
      <w:r>
        <w:t xml:space="preserve">Fiche signalétique</w:t>
      </w:r>
    </w:p>
    <w:p>
      <w:pPr>
        <w:numPr>
          <w:ilvl w:val="0"/>
          <w:numId w:val="1211"/>
        </w:numPr>
        <w:pStyle w:val="Compact"/>
      </w:pPr>
      <w:r>
        <w:rPr>
          <w:bCs/>
          <w:b/>
        </w:rPr>
        <w:t xml:space="preserve">Nature et structure :</w:t>
      </w:r>
      <w:r>
        <w:t xml:space="preserve"> </w:t>
      </w:r>
      <w:r>
        <w:t xml:space="preserve">nonapeptide de neuf acides aminés (Trp-Ala-Gly-Gly-Asp-Ala-Ser-Gly-Glu) ; dénomination commune internationale émideltide.</w:t>
      </w:r>
    </w:p>
    <w:p>
      <w:pPr>
        <w:numPr>
          <w:ilvl w:val="0"/>
          <w:numId w:val="1211"/>
        </w:numPr>
        <w:pStyle w:val="Compact"/>
      </w:pPr>
      <w:r>
        <w:rPr>
          <w:bCs/>
          <w:b/>
        </w:rPr>
        <w:t xml:space="preserve">Origine :</w:t>
      </w:r>
      <w:r>
        <w:t xml:space="preserve"> </w:t>
      </w:r>
      <w:r>
        <w:t xml:space="preserve">isolé en 1977 par un groupe de recherche bâlois à partir du sang veineux cérébral de lapins plongés dans un sommeil profond par stimulation électrique. Ni gène, ni protéine précurseur, ni récepteur du DSIP n’ont été trouvés à ce jour.</w:t>
      </w:r>
    </w:p>
    <w:p>
      <w:pPr>
        <w:numPr>
          <w:ilvl w:val="0"/>
          <w:numId w:val="1211"/>
        </w:numPr>
        <w:pStyle w:val="Compact"/>
      </w:pPr>
      <w:r>
        <w:rPr>
          <w:bCs/>
          <w:b/>
        </w:rPr>
        <w:t xml:space="preserve">Principe d’action :</w:t>
      </w:r>
      <w:r>
        <w:t xml:space="preserve"> </w:t>
      </w:r>
      <w:r>
        <w:t xml:space="preserve">en tant que « substance du sommeil » endogène, il devait favoriser le sommeil profond (sommeil delta avec ondes EEG lentes) ; plus tard, on a supposé des influences sur les hormones du stress, la douleur et les symptômes de sevrage.</w:t>
      </w:r>
    </w:p>
    <w:p>
      <w:pPr>
        <w:numPr>
          <w:ilvl w:val="0"/>
          <w:numId w:val="1211"/>
        </w:numPr>
        <w:pStyle w:val="Compact"/>
      </w:pPr>
      <w:r>
        <w:rPr>
          <w:bCs/>
          <w:b/>
        </w:rPr>
        <w:t xml:space="preserve">Autorisation UE :</w:t>
      </w:r>
      <w:r>
        <w:t xml:space="preserve"> </w:t>
      </w:r>
      <w:r>
        <w:t xml:space="preserve">non.</w:t>
      </w:r>
    </w:p>
    <w:p>
      <w:pPr>
        <w:numPr>
          <w:ilvl w:val="0"/>
          <w:numId w:val="1211"/>
        </w:numPr>
        <w:pStyle w:val="Compact"/>
      </w:pPr>
      <w:r>
        <w:rPr>
          <w:bCs/>
          <w:b/>
        </w:rPr>
        <w:t xml:space="preserve">Autorisation États-Unis :</w:t>
      </w:r>
      <w:r>
        <w:t xml:space="preserve"> </w:t>
      </w:r>
      <w:r>
        <w:t xml:space="preserve">non. L’émideltide a été retiré de la « catégorie 2 » de la FDA en avril 2026 ; le comité consultatif PCAC a voté en juillet 2026, par 6 voix contre 7,</w:t>
      </w:r>
      <w:r>
        <w:t xml:space="preserve"> </w:t>
      </w:r>
      <w:r>
        <w:rPr>
          <w:bCs/>
          <w:b/>
        </w:rPr>
        <w:t xml:space="preserve">contre</w:t>
      </w:r>
      <w:r>
        <w:t xml:space="preserve"> </w:t>
      </w:r>
      <w:r>
        <w:t xml:space="preserve">une inscription sur la liste des substances autorisées en préparation magistrale (état octobre 2026, à vérifier).</w:t>
      </w:r>
    </w:p>
    <w:p>
      <w:pPr>
        <w:numPr>
          <w:ilvl w:val="0"/>
          <w:numId w:val="1211"/>
        </w:numPr>
        <w:pStyle w:val="Compact"/>
      </w:pPr>
      <w:r>
        <w:rPr>
          <w:bCs/>
          <w:b/>
        </w:rPr>
        <w:t xml:space="preserve">Russie et pays voisins :</w:t>
      </w:r>
      <w:r>
        <w:t xml:space="preserve"> </w:t>
      </w:r>
      <w:r>
        <w:t xml:space="preserve">des préparations de DSIP (p. ex. Deltaran, Deltalicin) y ont été utilisées dans des études et en pratique.</w:t>
      </w:r>
    </w:p>
    <w:p>
      <w:pPr>
        <w:numPr>
          <w:ilvl w:val="0"/>
          <w:numId w:val="1211"/>
        </w:numPr>
        <w:pStyle w:val="Compact"/>
      </w:pPr>
      <w:r>
        <w:rPr>
          <w:bCs/>
          <w:b/>
        </w:rPr>
        <w:t xml:space="preserve">AMA (WADA) :</w:t>
      </w:r>
      <w:r>
        <w:t xml:space="preserve"> </w:t>
      </w:r>
      <w:r>
        <w:t xml:space="preserve">pas nommément listé.</w:t>
      </w:r>
    </w:p>
    <w:p>
      <w:pPr>
        <w:numPr>
          <w:ilvl w:val="0"/>
          <w:numId w:val="1211"/>
        </w:numPr>
        <w:pStyle w:val="Compact"/>
      </w:pPr>
      <w:r>
        <w:rPr>
          <w:bCs/>
          <w:b/>
        </w:rPr>
        <w:t xml:space="preserve">Niveau de preuve :</w:t>
      </w:r>
      <w:r>
        <w:t xml:space="preserve"> </w:t>
      </w:r>
      <w:r>
        <w:rPr>
          <w:bCs/>
          <w:b/>
        </w:rPr>
        <w:t xml:space="preserve">C</w:t>
      </w:r>
      <w:r>
        <w:t xml:space="preserve"> </w:t>
      </w:r>
      <w:r>
        <w:t xml:space="preserve">– seulement de très petites études, menées pour la plupart dans les années 1980 ; les meilleures d’entre elles sur le plan méthodologique n’ont trouvé aucun bénéfice cliniquement pertinent.</w:t>
      </w:r>
    </w:p>
    <w:bookmarkEnd w:id="1736"/>
    <w:bookmarkStart w:id="1740" w:name="mode-daction-supposé-38"/>
    <w:p>
      <w:pPr>
        <w:pStyle w:val="Heading3"/>
      </w:pPr>
      <w:r>
        <w:t xml:space="preserve">Mode d’action supposé</w:t>
      </w:r>
    </w:p>
    <w:p>
      <w:pPr>
        <w:pStyle w:val="FirstParagraph"/>
      </w:pPr>
      <w:r>
        <w:t xml:space="preserve">L’idée était simple et séduisante : si le cerveau libère dans le sang pendant le sommeil une substance qui déclenche le sommeil chez d’autres animaux, celle-ci pourrait être un somnifère naturel – sans les inconvénients des tranquillisants. Les chercheurs bâlois ont transféré du sang de lapins endormis à des animaux éveillés et en ont isolé le peptide qu’ils tenaient pour responsable de l’effet</w:t>
      </w:r>
      <w:r>
        <w:rPr>
          <w:rStyle w:val="FootnoteReference"/>
        </w:rPr>
        <w:footnoteReference w:id="1737"/>
      </w:r>
      <w:r>
        <w:t xml:space="preserve">.</w:t>
      </w:r>
    </w:p>
    <w:p>
      <w:pPr>
        <w:pStyle w:val="BodyText"/>
      </w:pPr>
      <w:r>
        <w:t xml:space="preserve">L’espoir ne s’est pas confirmé. Une revue de 2006 qualifie le DSIP d’« énigme toujours non résolue » : le lien avec le sommeil serait « extrêmement mal documenté », car ni le gène correspondant ni un récepteur n’ont été trouvés. Dans les expérimentations animales, ce sont plutôt certaines variantes artificielles qui ont favorisé le sommeil profond, et non le DSIP lui-même. Les auteurs supposent qu’un peptide encore inconnu, semblable au DSIP, pourrait être responsable des effets observés</w:t>
      </w:r>
      <w:r>
        <w:rPr>
          <w:rStyle w:val="FootnoteReference"/>
        </w:rPr>
        <w:footnoteReference w:id="1738"/>
      </w:r>
      <w:r>
        <w:t xml:space="preserve">.</w:t>
      </w:r>
    </w:p>
    <w:p>
      <w:pPr>
        <w:pStyle w:val="BodyText"/>
      </w:pPr>
      <w:r>
        <w:t xml:space="preserve">D’autres effets supposés – sur les hormones du stress, la perception de la douleur, le système opioïde et les enzymes antioxydantes – proviennent principalement d’expérimentations animales. Chez le mouton, du DSIP marqué franchissait dans une mesure faible à modérée la barrière entre le sang et le liquide céphalorachidien</w:t>
      </w:r>
      <w:r>
        <w:rPr>
          <w:rStyle w:val="FootnoteReference"/>
        </w:rPr>
        <w:footnoteReference w:id="1739"/>
      </w:r>
      <w:r>
        <w:t xml:space="preserve">.</w:t>
      </w:r>
    </w:p>
    <w:bookmarkEnd w:id="1740"/>
    <w:bookmarkStart w:id="1757" w:name="études-chez-lhumain-38"/>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18 publications classées comme études chez l’humain ; l’une d’elles concerne, à l’examen, un autre sujet (chirurgie du rachis). Presque toutes datent de 1981 à 1998 et comptaient chacune entre 1 et 16 participants dans les parties contrôlées contre placebo. Sur ClinicalTrials.gov, la recherche a donné un résultat qui ne se rapporte pas au DSIP ; il n’existe pas d’étude enregistrée sur le DSIP.</w:t>
      </w:r>
    </w:p>
    <w:bookmarkStart w:id="1745" w:name="troubles-du-sommeil"/>
    <w:p>
      <w:pPr>
        <w:pStyle w:val="Heading4"/>
      </w:pPr>
      <w:r>
        <w:t xml:space="preserve">Troubles du sommeil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Schneider-Helmert 1981, PMID 6895513</w:t>
            </w:r>
          </w:p>
        </w:tc>
        <w:tc>
          <w:tcPr/>
          <w:p>
            <w:pPr>
              <w:pStyle w:val="Compact"/>
              <w:jc w:val="left"/>
            </w:pPr>
            <w:r>
              <w:t xml:space="preserve">6 personnes en bonne santé, double aveugle, plan croisé contre placebo</w:t>
            </w:r>
          </w:p>
        </w:tc>
        <w:tc>
          <w:tcPr/>
          <w:p>
            <w:pPr>
              <w:pStyle w:val="Compact"/>
              <w:jc w:val="left"/>
            </w:pPr>
            <w:r>
              <w:t xml:space="preserve">perfusion unique</w:t>
            </w:r>
          </w:p>
        </w:tc>
        <w:tc>
          <w:tcPr/>
          <w:p>
            <w:pPr>
              <w:pStyle w:val="Compact"/>
              <w:jc w:val="left"/>
            </w:pPr>
            <w:r>
              <w:t xml:space="preserve">temps de sommeil allongé de 59 % sur 130 minutes ; pas de sédation classique</w:t>
            </w:r>
          </w:p>
        </w:tc>
      </w:tr>
      <w:tr>
        <w:tc>
          <w:tcPr/>
          <w:p>
            <w:pPr>
              <w:pStyle w:val="Compact"/>
              <w:jc w:val="left"/>
            </w:pPr>
            <w:r>
              <w:t xml:space="preserve">Schneider-Helmert 1981, PMID 7028502</w:t>
            </w:r>
          </w:p>
        </w:tc>
        <w:tc>
          <w:tcPr/>
          <w:p>
            <w:pPr>
              <w:pStyle w:val="Compact"/>
              <w:jc w:val="left"/>
            </w:pPr>
            <w:r>
              <w:t xml:space="preserve">6 personnes atteintes d’insomnie chronique</w:t>
            </w:r>
          </w:p>
        </w:tc>
        <w:tc>
          <w:tcPr/>
          <w:p>
            <w:pPr>
              <w:pStyle w:val="Compact"/>
              <w:jc w:val="left"/>
            </w:pPr>
            <w:r>
              <w:t xml:space="preserve">administration unique</w:t>
            </w:r>
          </w:p>
        </w:tc>
        <w:tc>
          <w:tcPr/>
          <w:p>
            <w:pPr>
              <w:pStyle w:val="Compact"/>
              <w:jc w:val="left"/>
            </w:pPr>
            <w:r>
              <w:t xml:space="preserve">sommeil plus long et moins interrompu</w:t>
            </w:r>
          </w:p>
        </w:tc>
      </w:tr>
      <w:tr>
        <w:tc>
          <w:tcPr/>
          <w:p>
            <w:pPr>
              <w:pStyle w:val="Compact"/>
              <w:jc w:val="left"/>
            </w:pPr>
            <w:r>
              <w:t xml:space="preserve">Schneider-Helmert 1987, PMID 3622582</w:t>
            </w:r>
          </w:p>
        </w:tc>
        <w:tc>
          <w:tcPr/>
          <w:p>
            <w:pPr>
              <w:pStyle w:val="Compact"/>
              <w:jc w:val="left"/>
            </w:pPr>
            <w:r>
              <w:t xml:space="preserve">14 personnes atteintes d’insomnie chronique sévère, double aveugle contre placebo</w:t>
            </w:r>
          </w:p>
        </w:tc>
        <w:tc>
          <w:tcPr/>
          <w:p>
            <w:pPr>
              <w:pStyle w:val="Compact"/>
              <w:jc w:val="left"/>
            </w:pPr>
            <w:r>
              <w:t xml:space="preserve">7 nuits</w:t>
            </w:r>
          </w:p>
        </w:tc>
        <w:tc>
          <w:tcPr/>
          <w:p>
            <w:pPr>
              <w:pStyle w:val="Compact"/>
              <w:jc w:val="left"/>
            </w:pPr>
            <w:r>
              <w:t xml:space="preserve">efficacité du sommeil et performance diurne au niveau de personnes en bonne santé selon les auteurs</w:t>
            </w:r>
          </w:p>
        </w:tc>
      </w:tr>
      <w:tr>
        <w:tc>
          <w:tcPr/>
          <w:p>
            <w:pPr>
              <w:pStyle w:val="Compact"/>
              <w:jc w:val="left"/>
            </w:pPr>
            <w:r>
              <w:t xml:space="preserve">Monti 1987, PMID 3583493</w:t>
            </w:r>
          </w:p>
        </w:tc>
        <w:tc>
          <w:tcPr/>
          <w:p>
            <w:pPr>
              <w:pStyle w:val="Compact"/>
              <w:jc w:val="left"/>
            </w:pPr>
            <w:r>
              <w:t xml:space="preserve">personnes atteintes d’insomnie chronique, double aveugle, plan croisé</w:t>
            </w:r>
          </w:p>
        </w:tc>
        <w:tc>
          <w:tcPr/>
          <w:p>
            <w:pPr>
              <w:pStyle w:val="Compact"/>
              <w:jc w:val="left"/>
            </w:pPr>
            <w:r>
              <w:t xml:space="preserve">4 nuits</w:t>
            </w:r>
          </w:p>
        </w:tc>
        <w:tc>
          <w:tcPr/>
          <w:p>
            <w:pPr>
              <w:pStyle w:val="Compact"/>
              <w:jc w:val="left"/>
            </w:pPr>
            <w:r>
              <w:t xml:space="preserve">améliorations « de faible importance clinique » ; différences déjà présentes avant traitement</w:t>
            </w:r>
          </w:p>
        </w:tc>
      </w:tr>
      <w:tr>
        <w:tc>
          <w:tcPr/>
          <w:p>
            <w:pPr>
              <w:pStyle w:val="Compact"/>
              <w:jc w:val="left"/>
            </w:pPr>
            <w:r>
              <w:t xml:space="preserve">Bes 1992, PMID 1299794</w:t>
            </w:r>
          </w:p>
        </w:tc>
        <w:tc>
          <w:tcPr/>
          <w:p>
            <w:pPr>
              <w:pStyle w:val="Compact"/>
              <w:jc w:val="left"/>
            </w:pPr>
            <w:r>
              <w:t xml:space="preserve">16 personnes atteintes d’insomnie chronique, double aveugle contre placebo</w:t>
            </w:r>
          </w:p>
        </w:tc>
        <w:tc>
          <w:tcPr/>
          <w:p>
            <w:pPr>
              <w:pStyle w:val="Compact"/>
              <w:jc w:val="left"/>
            </w:pPr>
            <w:r>
              <w:t xml:space="preserve">3 nuits</w:t>
            </w:r>
          </w:p>
        </w:tc>
        <w:tc>
          <w:tcPr/>
          <w:p>
            <w:pPr>
              <w:pStyle w:val="Compact"/>
              <w:jc w:val="left"/>
            </w:pPr>
            <w:r>
              <w:t xml:space="preserve">effets faibles, en partie explicables par des fluctuations aléatoires ; « pas de bénéfice thérapeutique majeur »</w:t>
            </w:r>
          </w:p>
        </w:tc>
      </w:tr>
    </w:tbl>
    <w:p>
      <w:pPr>
        <w:pStyle w:val="BodyText"/>
      </w:pPr>
      <w:r>
        <w:t xml:space="preserve">Les premières études provenaient presque toutes d’un seul groupe de recherche bâlois et étaient toutes positives. Chez six volontaires en bonne santé, une perfusion matinale a allongé de 59 % le temps de sommeil au cours des deux heures suivantes, sans que les participants paraissent sédatés au sens classique</w:t>
      </w:r>
      <w:r>
        <w:rPr>
          <w:rStyle w:val="FootnoteReference"/>
        </w:rPr>
        <w:footnoteReference w:id="1741"/>
      </w:r>
      <w:r>
        <w:t xml:space="preserve">. Chez 14 personnes atteintes d’insomnie sévère, l’efficacité du sommeil et les performances diurnes ont atteint, selon les auteurs, le niveau de témoins en bonne santé après sept nuits</w:t>
      </w:r>
      <w:r>
        <w:rPr>
          <w:rStyle w:val="FootnoteReference"/>
        </w:rPr>
        <w:footnoteReference w:id="1742"/>
      </w:r>
      <w:r>
        <w:t xml:space="preserve">.</w:t>
      </w:r>
    </w:p>
    <w:p>
      <w:pPr>
        <w:pStyle w:val="BodyText"/>
      </w:pPr>
      <w:r>
        <w:t xml:space="preserve">Des groupes indépendants n’ont pas pu le confirmer. Une étude a certes trouvé davantage de sommeil total et de sommeil NREM, mais les différences significatives avec le placebo (sommeil NREM et stade 2) existaient déjà avant le traitement ; les auteurs ont jugé l’amélioration de faible importance clinique</w:t>
      </w:r>
      <w:r>
        <w:rPr>
          <w:rStyle w:val="FootnoteReference"/>
        </w:rPr>
        <w:footnoteReference w:id="1743"/>
      </w:r>
      <w:r>
        <w:t xml:space="preserve">. Une autre étude portant sur 16 personnes a trouvé des effets statistiquement significatifs mais faibles sur l’efficacité du sommeil et la latence d’endormissement, en partie explicables par une modification aléatoire dans le groupe placebo ; la qualité subjective du sommeil n’a pas changé. Sa conclusion : un traitement de courte durée par DSIP n’aurait probablement pas de bénéfice thérapeutique majeur</w:t>
      </w:r>
      <w:r>
        <w:rPr>
          <w:rStyle w:val="FootnoteReference"/>
        </w:rPr>
        <w:footnoteReference w:id="1744"/>
      </w:r>
      <w:r>
        <w:t xml:space="preserve">.</w:t>
      </w:r>
    </w:p>
    <w:p>
      <w:pPr>
        <w:pStyle w:val="BodyText"/>
      </w:pPr>
      <w:r>
        <w:t xml:space="preserve">Ce schéma – premiers rapports enthousiastes, répétitions décevantes – est typique des substances dont l’effet repose sur de très petites études.</w:t>
      </w:r>
    </w:p>
    <w:bookmarkEnd w:id="1745"/>
    <w:bookmarkStart w:id="1751" w:name="sevrage-douleur-et-autres-applications"/>
    <w:p>
      <w:pPr>
        <w:pStyle w:val="Heading4"/>
      </w:pPr>
      <w:r>
        <w:t xml:space="preserve">Sevrage, douleur et autres applications</w:t>
      </w:r>
    </w:p>
    <w:p>
      <w:pPr>
        <w:pStyle w:val="FirstParagraph"/>
      </w:pPr>
      <w:r>
        <w:t xml:space="preserve">Dans les années 1980, le DSIP a été utilisé chez 107 personnes hospitalisées en sevrage d’alcool ou d’opiacés ; selon l’évaluation médicale, les symptômes de sevrage ont disparu ou se sont nettement améliorés chez 97 % des personnes dépendantes aux opiacés et 87 % des personnes dépendantes à l’alcool. Il n’y avait pas de groupe témoin, et une partie des personnes n’a pas pu être évaluée</w:t>
      </w:r>
      <w:r>
        <w:rPr>
          <w:rStyle w:val="FootnoteReference"/>
        </w:rPr>
        <w:footnoteReference w:id="1746"/>
      </w:r>
      <w:r>
        <w:t xml:space="preserve">. Une étude ouverte ultérieure sur la désintoxication aux opioïdes n’a été publiée que sous forme de brève communication sans résumé</w:t>
      </w:r>
      <w:r>
        <w:rPr>
          <w:rStyle w:val="FootnoteReference"/>
        </w:rPr>
        <w:footnoteReference w:id="1747"/>
      </w:r>
      <w:r>
        <w:t xml:space="preserve">. D’autres rapports isolés concernent sept personnes souffrant de douleurs chroniques</w:t>
      </w:r>
      <w:r>
        <w:rPr>
          <w:rStyle w:val="FootnoteReference"/>
        </w:rPr>
        <w:footnoteReference w:id="1748"/>
      </w:r>
      <w:r>
        <w:t xml:space="preserve"> </w:t>
      </w:r>
      <w:r>
        <w:t xml:space="preserve">et un homme atteint de narcolepsie</w:t>
      </w:r>
      <w:r>
        <w:rPr>
          <w:rStyle w:val="FootnoteReference"/>
        </w:rPr>
        <w:footnoteReference w:id="1749"/>
      </w:r>
      <w:r>
        <w:t xml:space="preserve">. Une étude a examiné une préparation de DSIP par voie nasale (Deltalicin) dans la rétinopathie diabétique, dans laquelle les réponses électriques de la rétine se sont améliorées</w:t>
      </w:r>
      <w:r>
        <w:rPr>
          <w:rStyle w:val="FootnoteReference"/>
        </w:rPr>
        <w:footnoteReference w:id="1750"/>
      </w:r>
      <w:r>
        <w:t xml:space="preserve">.</w:t>
      </w:r>
    </w:p>
    <w:bookmarkEnd w:id="1751"/>
    <w:bookmarkStart w:id="1756" w:name="hormones-et-anesthésie"/>
    <w:p>
      <w:pPr>
        <w:pStyle w:val="Heading4"/>
      </w:pPr>
      <w:r>
        <w:t xml:space="preserve">Hormones et anesthésie</w:t>
      </w:r>
    </w:p>
    <w:p>
      <w:pPr>
        <w:pStyle w:val="FirstParagraph"/>
      </w:pPr>
      <w:r>
        <w:t xml:space="preserve">Plusieurs petites études chez des personnes en bonne santé ont examiné si le DSIP influence les hormones du stress. Une étude portant sur onze hommes a trouvé moins d’ACTH dans le sang après une injection, mais des valeurs de cortisol inchangées</w:t>
      </w:r>
      <w:r>
        <w:rPr>
          <w:rStyle w:val="FootnoteReference"/>
        </w:rPr>
        <w:footnoteReference w:id="1752"/>
      </w:r>
      <w:r>
        <w:t xml:space="preserve"> </w:t>
      </w:r>
      <w:r>
        <w:t xml:space="preserve">; une autre, portant sur 20 hommes au total, n’a trouvé aucune influence sur l’ACTH et le cortisol</w:t>
      </w:r>
      <w:r>
        <w:rPr>
          <w:rStyle w:val="FootnoteReference"/>
        </w:rPr>
        <w:footnoteReference w:id="1753"/>
      </w:r>
      <w:r>
        <w:t xml:space="preserve">. Le DSIP n’avait aucune influence sur l’hormone de croissance et la prolactine chez les femmes</w:t>
      </w:r>
      <w:r>
        <w:rPr>
          <w:rStyle w:val="FootnoteReference"/>
        </w:rPr>
        <w:footnoteReference w:id="1754"/>
      </w:r>
      <w:r>
        <w:t xml:space="preserve">.</w:t>
      </w:r>
    </w:p>
    <w:p>
      <w:pPr>
        <w:pStyle w:val="BodyText"/>
      </w:pPr>
      <w:r>
        <w:t xml:space="preserve">Une étude chez 24 femmes sous anesthésie est remarquable : au lieu d’approfondir l’anesthésie, comme on pourrait l’attendre d’une « substance naturelle du sommeil », le DSIP a augmenté la fréquence cardiaque et, paradoxalement, diminué le rythme delta à l’EEG</w:t>
      </w:r>
      <w:r>
        <w:rPr>
          <w:rStyle w:val="FootnoteReference"/>
        </w:rPr>
        <w:footnoteReference w:id="1755"/>
      </w:r>
      <w:r>
        <w:t xml:space="preserve">.</w:t>
      </w:r>
    </w:p>
    <w:bookmarkEnd w:id="1756"/>
    <w:bookmarkEnd w:id="1757"/>
    <w:bookmarkStart w:id="1760" w:name="études-animales-et-de-laboratoire-38"/>
    <w:p>
      <w:pPr>
        <w:pStyle w:val="Heading3"/>
      </w:pPr>
      <w:r>
        <w:t xml:space="preserve">Études animales et de laboratoire</w:t>
      </w:r>
    </w:p>
    <w:p>
      <w:pPr>
        <w:numPr>
          <w:ilvl w:val="0"/>
          <w:numId w:val="1212"/>
        </w:numPr>
        <w:pStyle w:val="Compact"/>
      </w:pPr>
      <w:r>
        <w:t xml:space="preserve">Chez le lapin et le rat, des effets favorisant le sommeil ont été décrits dans les premières études, mais n’ont pas pu être reproduits de manière constante</w:t>
      </w:r>
      <w:r>
        <w:rPr>
          <w:rStyle w:val="FootnoteReference"/>
        </w:rPr>
        <w:footnoteReference w:id="1758"/>
      </w:r>
      <w:r>
        <w:t xml:space="preserve">.</w:t>
      </w:r>
    </w:p>
    <w:p>
      <w:pPr>
        <w:numPr>
          <w:ilvl w:val="0"/>
          <w:numId w:val="1212"/>
        </w:numPr>
        <w:pStyle w:val="Compact"/>
      </w:pPr>
      <w:r>
        <w:t xml:space="preserve">Chez la souris, les 10 % d’animaux les plus âgés ayant reçu toute leur vie une préparation russe de DSIP ont vécu 16 % plus longtemps que les animaux témoins ; les tumeurs spontanées sont apparues plus tard</w:t>
      </w:r>
      <w:r>
        <w:rPr>
          <w:rStyle w:val="FootnoteReference"/>
        </w:rPr>
        <w:footnoteReference w:id="1759"/>
      </w:r>
      <w:r>
        <w:t xml:space="preserve">. Ce travail provient du milieu de la gérontologie russe, qui étudie aussi l’Epitalon (voir ce chapitre).</w:t>
      </w:r>
    </w:p>
    <w:p>
      <w:pPr>
        <w:numPr>
          <w:ilvl w:val="0"/>
          <w:numId w:val="1212"/>
        </w:numPr>
        <w:pStyle w:val="Compact"/>
      </w:pPr>
      <w:r>
        <w:t xml:space="preserve">D’autres études animales décrivent des effets sur la résistance au stress, la perception de la douleur et les enzymes antioxydantes.</w:t>
      </w:r>
    </w:p>
    <w:bookmarkEnd w:id="1760"/>
    <w:bookmarkStart w:id="1763" w:name="risques-et-effets-indésirables-38"/>
    <w:p>
      <w:pPr>
        <w:pStyle w:val="Heading3"/>
      </w:pPr>
      <w:r>
        <w:t xml:space="preserve">Risques et effets indésirables</w:t>
      </w:r>
    </w:p>
    <w:p>
      <w:pPr>
        <w:pStyle w:val="FirstParagraph"/>
      </w:pPr>
      <w:r>
        <w:rPr>
          <w:bCs/>
          <w:b/>
        </w:rPr>
        <w:t xml:space="preserve">Établi :</w:t>
      </w:r>
      <w:r>
        <w:t xml:space="preserve"> </w:t>
      </w:r>
      <w:r>
        <w:t xml:space="preserve">dans les petites études, le DSIP a été décrit comme bien toléré ; des maux de tête sont survenus de manière isolée</w:t>
      </w:r>
      <w:r>
        <w:rPr>
          <w:rStyle w:val="FootnoteReference"/>
        </w:rPr>
        <w:footnoteReference w:id="1761"/>
      </w:r>
      <w:r>
        <w:t xml:space="preserve">. Sous anesthésie, il a augmenté la fréquence cardiaque et réduit la variabilité de la fréquence cardiaque</w:t>
      </w:r>
      <w:r>
        <w:rPr>
          <w:rStyle w:val="FootnoteReference"/>
        </w:rPr>
        <w:footnoteReference w:id="1762"/>
      </w:r>
      <w:r>
        <w:t xml:space="preserve">. Il n’existe pas de données de sécurité systématiques au-delà de quelques jours.</w:t>
      </w:r>
    </w:p>
    <w:p>
      <w:pPr>
        <w:pStyle w:val="BodyText"/>
      </w:pPr>
      <w:r>
        <w:rPr>
          <w:bCs/>
          <w:b/>
        </w:rPr>
        <w:t xml:space="preserve">Théorique :</w:t>
      </w:r>
      <w:r>
        <w:t xml:space="preserve"> </w:t>
      </w:r>
      <w:r>
        <w:t xml:space="preserve">comme ni le récepteur ni la fonction naturelle ne sont élucidés, les effets et les interactions – par exemple avec les somnifères, l’alcool ou les opioïdes – sont difficilement prévisibles.</w:t>
      </w:r>
    </w:p>
    <w:p>
      <w:pPr>
        <w:pStyle w:val="BodyText"/>
      </w:pPr>
      <w:r>
        <w:rPr>
          <w:bCs/>
          <w:b/>
        </w:rPr>
        <w:t xml:space="preserve">Marché gris :</w:t>
      </w:r>
      <w:r>
        <w:t xml:space="preserve"> </w:t>
      </w:r>
      <w:r>
        <w:t xml:space="preserve">le DSIP est vendu en ligne sous forme de poudre pour injection et vanté comme somnifère. Les préparations utilisées dans les études étaient perfusées par voie intraveineuse ; les données sur l’injection sous-cutanée font défaut. La pureté et la teneur des produits du marché gris ne sont pas contrôlées.</w:t>
      </w:r>
    </w:p>
    <w:p>
      <w:pPr>
        <w:pStyle w:val="BodyText"/>
      </w:pPr>
      <w:r>
        <w:rPr>
          <w:bCs/>
          <w:b/>
        </w:rPr>
        <w:t xml:space="preserve">Important :</w:t>
      </w:r>
      <w:r>
        <w:t xml:space="preserve"> </w:t>
      </w:r>
      <w:r>
        <w:t xml:space="preserve">pour l’insomnie chronique, il existe des traitements efficaces et bien étudiés, au premier rang desquels la thérapie cognitivo-comportementale de l’insomnie.</w:t>
      </w:r>
    </w:p>
    <w:bookmarkEnd w:id="1763"/>
    <w:bookmarkStart w:id="1764" w:name="statut-juridique-38"/>
    <w:p>
      <w:pPr>
        <w:pStyle w:val="Heading3"/>
      </w:pPr>
      <w:r>
        <w:t xml:space="preserve">Statut juridique</w:t>
      </w:r>
    </w:p>
    <w:p>
      <w:pPr>
        <w:numPr>
          <w:ilvl w:val="0"/>
          <w:numId w:val="1213"/>
        </w:numPr>
        <w:pStyle w:val="Compact"/>
      </w:pPr>
      <w:r>
        <w:rPr>
          <w:bCs/>
          <w:b/>
        </w:rPr>
        <w:t xml:space="preserve">UE / Autriche / Allemagne :</w:t>
      </w:r>
      <w:r>
        <w:t xml:space="preserve"> </w:t>
      </w:r>
      <w:r>
        <w:t xml:space="preserve">non autorisé ; en tant que substance à effet pharmacologique, le DSIP est considéré comme un médicament, et sa vente en vue d’un usage humain n’est pas permise.</w:t>
      </w:r>
    </w:p>
    <w:p>
      <w:pPr>
        <w:numPr>
          <w:ilvl w:val="0"/>
          <w:numId w:val="1213"/>
        </w:numPr>
        <w:pStyle w:val="Compact"/>
      </w:pPr>
      <w:r>
        <w:rPr>
          <w:bCs/>
          <w:b/>
        </w:rPr>
        <w:t xml:space="preserve">États-Unis :</w:t>
      </w:r>
      <w:r>
        <w:t xml:space="preserve"> </w:t>
      </w:r>
      <w:r>
        <w:t xml:space="preserve">non autorisé ; le comité consultatif PCAC s’est prononcé de justesse en juillet 2026 contre une autorisation pour les préparations magistrales en pharmacie. La décision définitive de la FDA était en attente au moment de la clôture de la rédaction (état octobre 2026, à vérifier).</w:t>
      </w:r>
    </w:p>
    <w:p>
      <w:pPr>
        <w:numPr>
          <w:ilvl w:val="0"/>
          <w:numId w:val="1213"/>
        </w:numPr>
        <w:pStyle w:val="Compact"/>
      </w:pPr>
      <w:r>
        <w:rPr>
          <w:bCs/>
          <w:b/>
        </w:rPr>
        <w:t xml:space="preserve">Sport :</w:t>
      </w:r>
      <w:r>
        <w:t xml:space="preserve"> </w:t>
      </w:r>
      <w:r>
        <w:t xml:space="preserve">pas nommément sur la liste de l’AMA (état 2026, à vérifier).</w:t>
      </w:r>
    </w:p>
    <w:bookmarkEnd w:id="1764"/>
    <w:bookmarkStart w:id="1765" w:name="études-en-cours-et-perspectives-38"/>
    <w:p>
      <w:pPr>
        <w:pStyle w:val="Heading3"/>
      </w:pPr>
      <w:r>
        <w:t xml:space="preserve">Études en cours et perspectives</w:t>
      </w:r>
    </w:p>
    <w:p>
      <w:pPr>
        <w:pStyle w:val="FirstParagraph"/>
      </w:pPr>
      <w:r>
        <w:rPr>
          <w:bCs/>
          <w:b/>
        </w:rPr>
        <w:t xml:space="preserve">Établi :</w:t>
      </w:r>
      <w:r>
        <w:t xml:space="preserve"> </w:t>
      </w:r>
      <w:r>
        <w:t xml:space="preserve">aucune étude avec le DSIP n’est enregistrée sur ClinicalTrials.gov (requête d’octobre 2026). Depuis les années 1990, pratiquement aucune nouvelle donnée clinique ne s’est ajoutée.</w:t>
      </w:r>
    </w:p>
    <w:p>
      <w:pPr>
        <w:pStyle w:val="BodyText"/>
      </w:pPr>
      <w:r>
        <w:rPr>
          <w:bCs/>
          <w:b/>
        </w:rPr>
        <w:t xml:space="preserve">Appréciation :</w:t>
      </w:r>
      <w:r>
        <w:t xml:space="preserve"> </w:t>
      </w:r>
      <w:r>
        <w:t xml:space="preserve">sans clarté sur le récepteur et la fonction naturelle, et sans étude du sommeil moderne et suffisamment vaste, il n’y a pas lieu d’attendre un retour du DSIP en tant que médicament.</w:t>
      </w:r>
    </w:p>
    <w:bookmarkEnd w:id="1765"/>
    <w:bookmarkStart w:id="1766" w:name="conclusion-38"/>
    <w:p>
      <w:pPr>
        <w:pStyle w:val="Heading3"/>
      </w:pPr>
      <w:r>
        <w:t xml:space="preserve">Conclusion</w:t>
      </w:r>
    </w:p>
    <w:p>
      <w:pPr>
        <w:pStyle w:val="FirstParagraph"/>
      </w:pPr>
      <w:r>
        <w:t xml:space="preserve">Le DSIP a été découvert en 1977 comme possible « substance du sommeil » endogène, mais son gène, son récepteur et sa fonction naturelle restent inconnus à ce jour. Les premières études d’un groupe bâlois, portant chacune sur six à 14 personnes, ont rapporté un meilleur sommeil ; des études indépendantes contrôlées contre placebo n’ont trouvé que des effets faibles et de faible importance clinique. Il n’existe guère de données plus récentes chez l’humain. Les données ne suffisent pas pour considérer le DSIP comme un somnifère efficace ou sûr.</w:t>
      </w:r>
    </w:p>
    <w:bookmarkEnd w:id="1766"/>
    <w:bookmarkEnd w:id="1767"/>
    <w:bookmarkStart w:id="1797" w:name="epitalon-epithalon"/>
    <w:p>
      <w:pPr>
        <w:pStyle w:val="Heading2"/>
      </w:pPr>
      <w:r>
        <w:t xml:space="preserve">Epitalon (Epithalon)</w:t>
      </w:r>
    </w:p>
    <w:bookmarkStart w:id="1768" w:name="fiche-signalétique-39"/>
    <w:p>
      <w:pPr>
        <w:pStyle w:val="Heading3"/>
      </w:pPr>
      <w:r>
        <w:t xml:space="preserve">Fiche signalétique</w:t>
      </w:r>
    </w:p>
    <w:p>
      <w:pPr>
        <w:numPr>
          <w:ilvl w:val="0"/>
          <w:numId w:val="1214"/>
        </w:numPr>
        <w:pStyle w:val="Compact"/>
      </w:pPr>
      <w:r>
        <w:rPr>
          <w:bCs/>
          <w:b/>
        </w:rPr>
        <w:t xml:space="preserve">Nature et structure :</w:t>
      </w:r>
      <w:r>
        <w:t xml:space="preserve"> </w:t>
      </w:r>
      <w:r>
        <w:t xml:space="preserve">tétrapeptide de synthèse de quatre acides aminés : Ala-Glu-Asp-Gly (en abrégé AEDG). Graphies : Epitalon, Epithalon, Epithalone.</w:t>
      </w:r>
    </w:p>
    <w:p>
      <w:pPr>
        <w:numPr>
          <w:ilvl w:val="0"/>
          <w:numId w:val="1214"/>
        </w:numPr>
        <w:pStyle w:val="Compact"/>
      </w:pPr>
      <w:r>
        <w:rPr>
          <w:bCs/>
          <w:b/>
        </w:rPr>
        <w:t xml:space="preserve">Origine :</w:t>
      </w:r>
      <w:r>
        <w:t xml:space="preserve"> </w:t>
      </w:r>
      <w:r>
        <w:t xml:space="preserve">développé dans les années 1980 et 1990 à l’Institut de biorégulation et de gérontologie de Saint-Pétersbourg sous la direction de Vladimir Khavinson. La séquence d’acides aminés a été déduite de la composition de l’</w:t>
      </w:r>
      <w:r>
        <w:rPr>
          <w:bCs/>
          <w:b/>
        </w:rPr>
        <w:t xml:space="preserve">Epithalamine</w:t>
      </w:r>
      <w:r>
        <w:t xml:space="preserve">, un extrait de la glande pinéale (épiphyse) de bovin. L’Epitalon et l’Epithalamine sont des substances chimiquement différentes.</w:t>
      </w:r>
    </w:p>
    <w:p>
      <w:pPr>
        <w:numPr>
          <w:ilvl w:val="0"/>
          <w:numId w:val="1214"/>
        </w:numPr>
        <w:pStyle w:val="Compact"/>
      </w:pPr>
      <w:r>
        <w:rPr>
          <w:bCs/>
          <w:b/>
        </w:rPr>
        <w:t xml:space="preserve">Principe d’action :</w:t>
      </w:r>
      <w:r>
        <w:t xml:space="preserve"> </w:t>
      </w:r>
      <w:r>
        <w:t xml:space="preserve">en tant que « biorégulateur peptidique », il normaliserait la fonction de la glande pinéale, favoriserait la production de mélatonine avec l’âge et activerait l’enzyme télomérase, qui allonge les extrémités des chromosomes (télomères).</w:t>
      </w:r>
    </w:p>
    <w:p>
      <w:pPr>
        <w:numPr>
          <w:ilvl w:val="0"/>
          <w:numId w:val="1214"/>
        </w:numPr>
        <w:pStyle w:val="Compact"/>
      </w:pPr>
      <w:r>
        <w:rPr>
          <w:bCs/>
          <w:b/>
        </w:rPr>
        <w:t xml:space="preserve">Autorisation UE :</w:t>
      </w:r>
      <w:r>
        <w:t xml:space="preserve"> </w:t>
      </w:r>
      <w:r>
        <w:t xml:space="preserve">non.</w:t>
      </w:r>
    </w:p>
    <w:p>
      <w:pPr>
        <w:numPr>
          <w:ilvl w:val="0"/>
          <w:numId w:val="1214"/>
        </w:numPr>
        <w:pStyle w:val="Compact"/>
      </w:pPr>
      <w:r>
        <w:rPr>
          <w:bCs/>
          <w:b/>
        </w:rPr>
        <w:t xml:space="preserve">Autorisation États-Unis :</w:t>
      </w:r>
      <w:r>
        <w:t xml:space="preserve"> </w:t>
      </w:r>
      <w:r>
        <w:t xml:space="preserve">non. Retiré de la « catégorie 2 » de la FDA en avril 2026 ; le comité consultatif PCAC a voté en juillet 2026, par 7 voix contre 4, pour l’inscription sur la liste des substances autorisées en préparation magistrale, contrairement à la recommandation des experts de la FDA. Il ne s’agit pas d’une autorisation comme médicament (état octobre 2026, à vérifier).</w:t>
      </w:r>
    </w:p>
    <w:p>
      <w:pPr>
        <w:numPr>
          <w:ilvl w:val="0"/>
          <w:numId w:val="1214"/>
        </w:numPr>
        <w:pStyle w:val="Compact"/>
      </w:pPr>
      <w:r>
        <w:rPr>
          <w:bCs/>
          <w:b/>
        </w:rPr>
        <w:t xml:space="preserve">AMA (WADA) :</w:t>
      </w:r>
      <w:r>
        <w:t xml:space="preserve"> </w:t>
      </w:r>
      <w:r>
        <w:t xml:space="preserve">pas nommément listé ; en tant que substance autorisée nulle part comme médicament, l’Epitalon relève selon notre appréciation de la catégorie générale S0.</w:t>
      </w:r>
    </w:p>
    <w:p>
      <w:pPr>
        <w:numPr>
          <w:ilvl w:val="0"/>
          <w:numId w:val="1214"/>
        </w:numPr>
        <w:pStyle w:val="Compact"/>
      </w:pPr>
      <w:r>
        <w:rPr>
          <w:bCs/>
          <w:b/>
        </w:rPr>
        <w:t xml:space="preserve">Niveau de preuve :</w:t>
      </w:r>
      <w:r>
        <w:t xml:space="preserve"> </w:t>
      </w:r>
      <w:r>
        <w:rPr>
          <w:bCs/>
          <w:b/>
        </w:rPr>
        <w:t xml:space="preserve">C</w:t>
      </w:r>
      <w:r>
        <w:t xml:space="preserve"> </w:t>
      </w:r>
      <w:r>
        <w:t xml:space="preserve">– une seule petite étude contrôlée avec le peptide de synthèse chez l’humain ; les autres données humaines concernent l’extrait Epithalamine ou des cellules in vitro.</w:t>
      </w:r>
    </w:p>
    <w:bookmarkEnd w:id="1768"/>
    <w:bookmarkStart w:id="1772" w:name="mode-daction-supposé-39"/>
    <w:p>
      <w:pPr>
        <w:pStyle w:val="Heading3"/>
      </w:pPr>
      <w:r>
        <w:t xml:space="preserve">Mode d’action supposé</w:t>
      </w:r>
    </w:p>
    <w:p>
      <w:pPr>
        <w:pStyle w:val="FirstParagraph"/>
      </w:pPr>
      <w:r>
        <w:t xml:space="preserve">La glande pinéale est un petit organe du cerveau qui produit la nuit l’hormone mélatonine et contribue ainsi à piloter le rythme jour-nuit. Avec l’âge, la production de mélatonine diminue. Le groupe de Saint-Pétersbourg partait du principe que des peptides courts issus d’organes peuvent, en tant que « biorégulateurs », rétablir la fonction de ces mêmes organes – issus de la glande pinéale pour la glande pinéale, du thymus pour le système immunitaire (voir aussi le chapitre Thymaline et thymogène dans la partie II · B).</w:t>
      </w:r>
    </w:p>
    <w:p>
      <w:pPr>
        <w:pStyle w:val="BodyText"/>
      </w:pPr>
      <w:r>
        <w:t xml:space="preserve">Pour l’Epitalon, plusieurs mécanismes sont décrits, presque tous issus d’expériences de laboratoire et animales du groupe de ses concepteurs :</w:t>
      </w:r>
    </w:p>
    <w:p>
      <w:pPr>
        <w:numPr>
          <w:ilvl w:val="0"/>
          <w:numId w:val="1215"/>
        </w:numPr>
        <w:pStyle w:val="Compact"/>
      </w:pPr>
      <w:r>
        <w:rPr>
          <w:bCs/>
          <w:b/>
        </w:rPr>
        <w:t xml:space="preserve">Télomérase et télomères :</w:t>
      </w:r>
      <w:r>
        <w:t xml:space="preserve"> </w:t>
      </w:r>
      <w:r>
        <w:t xml:space="preserve">les télomères sont des extrémités protectrices des chromosomes qui raccourcissent un peu à chaque division cellulaire. L’enzyme télomérase peut les rallonger ; dans la plupart des cellules de l’organisme, elle est désactivée. Dans des cultures de fibroblastes humains (cellules du tissu conjonctif) issus de fœtus, l’Epitalon aurait activé la télomérase et allongé les télomères</w:t>
      </w:r>
      <w:r>
        <w:rPr>
          <w:rStyle w:val="FootnoteReference"/>
        </w:rPr>
        <w:footnoteReference w:id="1769"/>
      </w:r>
      <w:r>
        <w:t xml:space="preserve">.</w:t>
      </w:r>
    </w:p>
    <w:p>
      <w:pPr>
        <w:numPr>
          <w:ilvl w:val="0"/>
          <w:numId w:val="1215"/>
        </w:numPr>
        <w:pStyle w:val="Compact"/>
      </w:pPr>
      <w:r>
        <w:rPr>
          <w:bCs/>
          <w:b/>
        </w:rPr>
        <w:t xml:space="preserve">Chromatine et gènes :</w:t>
      </w:r>
      <w:r>
        <w:t xml:space="preserve"> </w:t>
      </w:r>
      <w:r>
        <w:t xml:space="preserve">dans des lymphocytes de personnes âgées de 76 à 80 ans, l’Epitalon aurait in vitro décondensé un génome « compacté » et activé des gènes inactifs</w:t>
      </w:r>
      <w:r>
        <w:rPr>
          <w:rStyle w:val="FootnoteReference"/>
        </w:rPr>
        <w:footnoteReference w:id="1770"/>
      </w:r>
      <w:r>
        <w:t xml:space="preserve">. Le groupe postule que les peptides courts se lient directement à l’ADN.</w:t>
      </w:r>
    </w:p>
    <w:p>
      <w:pPr>
        <w:numPr>
          <w:ilvl w:val="0"/>
          <w:numId w:val="1215"/>
        </w:numPr>
        <w:pStyle w:val="Compact"/>
      </w:pPr>
      <w:r>
        <w:rPr>
          <w:bCs/>
          <w:b/>
        </w:rPr>
        <w:t xml:space="preserve">Mélatonine :</w:t>
      </w:r>
      <w:r>
        <w:t xml:space="preserve"> </w:t>
      </w:r>
      <w:r>
        <w:t xml:space="preserve">dans des cultures cellulaires et chez l’animal, l’Epitalon a influencé la production de mélatonine.</w:t>
      </w:r>
    </w:p>
    <w:p>
      <w:pPr>
        <w:pStyle w:val="FirstParagraph"/>
      </w:pPr>
      <w:r>
        <w:t xml:space="preserve">Une revue de 2025 résume que, malgré 25 ans de recherche, on ignore toujours si ces mécanismes sont les seuls, et qu’il n’existe que peu d’études physico-chimiques et structurales fondamentales du peptide</w:t>
      </w:r>
      <w:r>
        <w:rPr>
          <w:rStyle w:val="FootnoteReference"/>
        </w:rPr>
        <w:footnoteReference w:id="1771"/>
      </w:r>
      <w:r>
        <w:t xml:space="preserve">.</w:t>
      </w:r>
    </w:p>
    <w:bookmarkEnd w:id="1772"/>
    <w:bookmarkStart w:id="1783" w:name="études-chez-lhumain-39"/>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donné qu’</w:t>
      </w:r>
      <w:r>
        <w:rPr>
          <w:bCs/>
          <w:b/>
        </w:rPr>
        <w:t xml:space="preserve">une seule</w:t>
      </w:r>
      <w:r>
        <w:t xml:space="preserve"> </w:t>
      </w:r>
      <w:r>
        <w:t xml:space="preserve">publication sur l’Epitalon classée comme étude chez l’humain ; au total, PubMed recense environ 120 travaux avec ces termes de recherche, en très grande majorité des études animales et cellulaires de Saint-Pétersbourg. Une étude est enregistrée sur ClinicalTrials.gov (voir Perspectives). Une revue indépendante récente aboutit au même résultat : les données humaines sur l’Epitalon de synthèse se limitent à de petites études physiologiques ou de biomarqueurs et à une étude contrôlée plus ancienne dans la rétinite pigmentaire ; aucune étude randomisée suffisamment vaste n’a démontré d’efficacité thérapeutique</w:t>
      </w:r>
      <w:r>
        <w:rPr>
          <w:rStyle w:val="FootnoteReference"/>
        </w:rPr>
        <w:footnoteReference w:id="177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Substance étudiée et plan</w:t>
            </w:r>
          </w:p>
        </w:tc>
        <w:tc>
          <w:tcPr/>
          <w:p>
            <w:pPr>
              <w:pStyle w:val="Compact"/>
              <w:jc w:val="left"/>
            </w:pPr>
            <w:r>
              <w:t xml:space="preserve">Participants</w:t>
            </w:r>
          </w:p>
        </w:tc>
        <w:tc>
          <w:tcPr/>
          <w:p>
            <w:pPr>
              <w:pStyle w:val="Compact"/>
              <w:jc w:val="left"/>
            </w:pPr>
            <w:r>
              <w:t xml:space="preserve">Résultat</w:t>
            </w:r>
          </w:p>
        </w:tc>
      </w:tr>
      <w:tr>
        <w:tc>
          <w:tcPr/>
          <w:p>
            <w:pPr>
              <w:pStyle w:val="Compact"/>
              <w:jc w:val="left"/>
            </w:pPr>
            <w:r>
              <w:t xml:space="preserve">Khavinson 2002, PMID 12195242</w:t>
            </w:r>
          </w:p>
        </w:tc>
        <w:tc>
          <w:tcPr/>
          <w:p>
            <w:pPr>
              <w:pStyle w:val="Compact"/>
              <w:jc w:val="left"/>
            </w:pPr>
            <w:r>
              <w:t xml:space="preserve">Epitalon, étude contrôlée dans une dégénérescence rétinienne héréditaire (rétinite pigmentaire)</w:t>
            </w:r>
          </w:p>
        </w:tc>
        <w:tc>
          <w:tcPr/>
          <w:p>
            <w:pPr>
              <w:pStyle w:val="Compact"/>
              <w:jc w:val="left"/>
            </w:pPr>
            <w:r>
              <w:t xml:space="preserve">non précisé dans le résumé</w:t>
            </w:r>
          </w:p>
        </w:tc>
        <w:tc>
          <w:tcPr/>
          <w:p>
            <w:pPr>
              <w:pStyle w:val="Compact"/>
              <w:jc w:val="left"/>
            </w:pPr>
            <w:r>
              <w:t xml:space="preserve">« effet clinique positif dans 90 % des cas »</w:t>
            </w:r>
          </w:p>
        </w:tc>
      </w:tr>
      <w:tr>
        <w:tc>
          <w:tcPr/>
          <w:p>
            <w:pPr>
              <w:pStyle w:val="Compact"/>
              <w:jc w:val="left"/>
            </w:pPr>
            <w:r>
              <w:t xml:space="preserve">Khavinson 2003, PMID 14523363</w:t>
            </w:r>
          </w:p>
        </w:tc>
        <w:tc>
          <w:tcPr/>
          <w:p>
            <w:pPr>
              <w:pStyle w:val="Compact"/>
              <w:jc w:val="left"/>
            </w:pPr>
            <w:r>
              <w:t xml:space="preserve">Epithalamine (extrait) et Thymalin chez des personnes âgées, groupe témoin</w:t>
            </w:r>
          </w:p>
        </w:tc>
        <w:tc>
          <w:tcPr/>
          <w:p>
            <w:pPr>
              <w:pStyle w:val="Compact"/>
              <w:jc w:val="left"/>
            </w:pPr>
            <w:r>
              <w:t xml:space="preserve">266 personnes, 6–8 ans</w:t>
            </w:r>
          </w:p>
        </w:tc>
        <w:tc>
          <w:tcPr/>
          <w:p>
            <w:pPr>
              <w:pStyle w:val="Compact"/>
              <w:jc w:val="left"/>
            </w:pPr>
            <w:r>
              <w:t xml:space="preserve">selon les auteurs, mortalité 1,6 à 1,8 fois plus faible sous Epithalamine</w:t>
            </w:r>
          </w:p>
        </w:tc>
      </w:tr>
      <w:tr>
        <w:tc>
          <w:tcPr/>
          <w:p>
            <w:pPr>
              <w:pStyle w:val="Compact"/>
              <w:jc w:val="left"/>
            </w:pPr>
            <w:r>
              <w:t xml:space="preserve">Labunets 2004, PMID 15455130</w:t>
            </w:r>
          </w:p>
        </w:tc>
        <w:tc>
          <w:tcPr/>
          <w:p>
            <w:pPr>
              <w:pStyle w:val="Compact"/>
              <w:jc w:val="left"/>
            </w:pPr>
            <w:r>
              <w:t xml:space="preserve">Epithalamine, cure chez des personnes âgées</w:t>
            </w:r>
          </w:p>
        </w:tc>
        <w:tc>
          <w:tcPr/>
          <w:p>
            <w:pPr>
              <w:pStyle w:val="Compact"/>
              <w:jc w:val="left"/>
            </w:pPr>
            <w:r>
              <w:t xml:space="preserve">non précisé dans le résumé</w:t>
            </w:r>
          </w:p>
        </w:tc>
        <w:tc>
          <w:tcPr/>
          <w:p>
            <w:pPr>
              <w:pStyle w:val="Compact"/>
              <w:jc w:val="left"/>
            </w:pPr>
            <w:r>
              <w:t xml:space="preserve">rythme de la mélatonine et facteur thymique « plus jeunes »</w:t>
            </w:r>
          </w:p>
        </w:tc>
      </w:tr>
      <w:tr>
        <w:tc>
          <w:tcPr/>
          <w:p>
            <w:pPr>
              <w:pStyle w:val="Compact"/>
              <w:jc w:val="left"/>
            </w:pPr>
            <w:r>
              <w:t xml:space="preserve">Khavinson 2019, PMID 31761987</w:t>
            </w:r>
          </w:p>
        </w:tc>
        <w:tc>
          <w:tcPr/>
          <w:p>
            <w:pPr>
              <w:pStyle w:val="Compact"/>
              <w:jc w:val="left"/>
            </w:pPr>
            <w:r>
              <w:t xml:space="preserve">AEDG in vitro sur des cellules sanguines</w:t>
            </w:r>
          </w:p>
        </w:tc>
        <w:tc>
          <w:tcPr/>
          <w:p>
            <w:pPr>
              <w:pStyle w:val="Compact"/>
              <w:jc w:val="left"/>
            </w:pPr>
            <w:r>
              <w:t xml:space="preserve">11 hommes (échantillons cellulaires)</w:t>
            </w:r>
          </w:p>
        </w:tc>
        <w:tc>
          <w:tcPr/>
          <w:p>
            <w:pPr>
              <w:pStyle w:val="Compact"/>
              <w:jc w:val="left"/>
            </w:pPr>
            <w:r>
              <w:t xml:space="preserve">longueur des télomères plus grande dans 5 cas, plus courte dans 2 cas</w:t>
            </w:r>
          </w:p>
        </w:tc>
      </w:tr>
    </w:tbl>
    <w:bookmarkStart w:id="1775" w:name="lunique-étude-avec-lepitalon"/>
    <w:p>
      <w:pPr>
        <w:pStyle w:val="Heading4"/>
      </w:pPr>
      <w:r>
        <w:t xml:space="preserve">L’unique étude avec l’Epitalon</w:t>
      </w:r>
    </w:p>
    <w:p>
      <w:pPr>
        <w:pStyle w:val="FirstParagraph"/>
      </w:pPr>
      <w:r>
        <w:t xml:space="preserve">Dans la seule étude clinique avec de l’Epitalon de synthèse, des personnes atteintes de rétinite pigmentaire ont été traitées ; il s’agit d’une maladie héréditaire dans laquelle la rétine meurt progressivement. Le résumé rapporte un « effet clinique positif dans 90 % des cas », mais ne précise ni le nombre de participants, ni le critère de « positif », ni les résultats du groupe témoin</w:t>
      </w:r>
      <w:r>
        <w:rPr>
          <w:rStyle w:val="FootnoteReference"/>
        </w:rPr>
        <w:footnoteReference w:id="1774"/>
      </w:r>
      <w:r>
        <w:t xml:space="preserve">. Le résultat n’a pas été confirmé de manière indépendante ; l’Epitalon ne joue aucun rôle dans le traitement de la rétinite pigmentaire.</w:t>
      </w:r>
    </w:p>
    <w:bookmarkEnd w:id="1775"/>
    <w:bookmarkStart w:id="1777" w:name="Xb9125c4f752a3405436c202ee8c4140e0a7adf4"/>
    <w:p>
      <w:pPr>
        <w:pStyle w:val="Heading4"/>
      </w:pPr>
      <w:r>
        <w:t xml:space="preserve">L’étude sur la longévité avec l’Epithalamine</w:t>
      </w:r>
    </w:p>
    <w:p>
      <w:pPr>
        <w:pStyle w:val="FirstParagraph"/>
      </w:pPr>
      <w:r>
        <w:t xml:space="preserve">L’étude chez l’humain la plus citée sur Internet – « les peptides de la glande pinéale prolongent la vie humaine » – ne concerne pas l’Epitalon, mais l’extrait animal Epithalamine. Des chercheurs de Saint-Pétersbourg et de Kiev ont suivi 266 personnes âgées pendant six à huit ans ; au cours des deux à trois premières années, des parties du groupe ont reçu du Thymalin, de l’Epithalamine ou les deux. Selon le résumé, la mortalité a diminué d’un facteur 1,6 à 1,8 sous Epithalamine, d’un facteur 2,5 sous l’association, et même d’un facteur 4,1 avec un traitement combiné annuel pendant six ans</w:t>
      </w:r>
      <w:r>
        <w:rPr>
          <w:rStyle w:val="FootnoteReference"/>
        </w:rPr>
        <w:footnoteReference w:id="1776"/>
      </w:r>
      <w:r>
        <w:t xml:space="preserve">.</w:t>
      </w:r>
    </w:p>
    <w:p>
      <w:pPr>
        <w:pStyle w:val="BodyText"/>
      </w:pPr>
      <w:r>
        <w:t xml:space="preserve">De tels effets seraient extraordinaires – plus importants que pour presque toute mesure de la médecine moderne. Les limites n’en sont que plus importantes :</w:t>
      </w:r>
    </w:p>
    <w:p>
      <w:pPr>
        <w:numPr>
          <w:ilvl w:val="0"/>
          <w:numId w:val="1216"/>
        </w:numPr>
        <w:pStyle w:val="Compact"/>
      </w:pPr>
      <w:r>
        <w:t xml:space="preserve">Le résumé ne décrit ni répartition aléatoire ni aveugle. On ne voit pas comment le groupe témoin a été sélectionné.</w:t>
      </w:r>
    </w:p>
    <w:p>
      <w:pPr>
        <w:numPr>
          <w:ilvl w:val="0"/>
          <w:numId w:val="1216"/>
        </w:numPr>
        <w:pStyle w:val="Compact"/>
      </w:pPr>
      <w:r>
        <w:t xml:space="preserve">La taille des différents bras et le nombre absolu de décès ne sont pas indiqués.</w:t>
      </w:r>
    </w:p>
    <w:p>
      <w:pPr>
        <w:numPr>
          <w:ilvl w:val="0"/>
          <w:numId w:val="1216"/>
        </w:numPr>
        <w:pStyle w:val="Compact"/>
      </w:pPr>
      <w:r>
        <w:t xml:space="preserve">L’étude n’a jamais été enregistrée, et il n’existe pas de réplication indépendante.</w:t>
      </w:r>
    </w:p>
    <w:p>
      <w:pPr>
        <w:numPr>
          <w:ilvl w:val="0"/>
          <w:numId w:val="1216"/>
        </w:numPr>
        <w:pStyle w:val="Compact"/>
      </w:pPr>
      <w:r>
        <w:t xml:space="preserve">Les résultats proviennent des concepteurs des préparations.</w:t>
      </w:r>
    </w:p>
    <w:p>
      <w:pPr>
        <w:pStyle w:val="FirstParagraph"/>
      </w:pPr>
      <w:r>
        <w:t xml:space="preserve">Dans des observations non randomisées, de petites différences entre les groupes – par exemple qui était en meilleure santé ou mieux suivi – peuvent déjà produire de grands effets apparents sur la mortalité. Pour l’Epitalon lui-même, on ne peut de toute façon rien déduire de cette étude, puisqu’une autre substance a été étudiée.</w:t>
      </w:r>
    </w:p>
    <w:bookmarkEnd w:id="1777"/>
    <w:bookmarkStart w:id="1782" w:name="Xaf534a2d707b3736150b0a09e72509070e3117a"/>
    <w:p>
      <w:pPr>
        <w:pStyle w:val="Heading4"/>
      </w:pPr>
      <w:r>
        <w:t xml:space="preserve">L’allégation sur les télomères à l’épreuve des faits</w:t>
      </w:r>
    </w:p>
    <w:p>
      <w:pPr>
        <w:pStyle w:val="FirstParagraph"/>
      </w:pPr>
      <w:r>
        <w:t xml:space="preserve">Sur Internet, l’Epitalon est souvent présenté comme un produit qui « allonge les télomères » et ainsi « remonte l’horloge biologique ». Qu’est-ce qui est démontré ?</w:t>
      </w:r>
    </w:p>
    <w:p>
      <w:pPr>
        <w:numPr>
          <w:ilvl w:val="0"/>
          <w:numId w:val="1217"/>
        </w:numPr>
        <w:pStyle w:val="Compact"/>
      </w:pPr>
      <w:r>
        <w:rPr>
          <w:bCs/>
          <w:b/>
        </w:rPr>
        <w:t xml:space="preserve">Culture cellulaire de Saint-Pétersbourg :</w:t>
      </w:r>
      <w:r>
        <w:t xml:space="preserve"> </w:t>
      </w:r>
      <w:r>
        <w:t xml:space="preserve">dans des fibroblastes fœtaux humains, l’Epitalon a déclenché une activité télomérase et un allongement des télomères</w:t>
      </w:r>
      <w:r>
        <w:rPr>
          <w:rStyle w:val="FootnoteReference"/>
        </w:rPr>
        <w:footnoteReference w:id="1778"/>
      </w:r>
      <w:r>
        <w:t xml:space="preserve"> </w:t>
      </w:r>
      <w:r>
        <w:t xml:space="preserve">; dans un travail ultérieur, les cellules traitées ont effectué dix divisions supplémentaires au-delà de leur limite habituelle</w:t>
      </w:r>
      <w:r>
        <w:rPr>
          <w:rStyle w:val="FootnoteReference"/>
        </w:rPr>
        <w:footnoteReference w:id="1779"/>
      </w:r>
      <w:r>
        <w:t xml:space="preserve">. Les deux travaux sont publiés de manière très succincte, sans méthodes détaillées dans le résumé.</w:t>
      </w:r>
    </w:p>
    <w:p>
      <w:pPr>
        <w:numPr>
          <w:ilvl w:val="0"/>
          <w:numId w:val="1217"/>
        </w:numPr>
        <w:pStyle w:val="Compact"/>
      </w:pPr>
      <w:r>
        <w:rPr>
          <w:bCs/>
          <w:b/>
        </w:rPr>
        <w:t xml:space="preserve">Étude cellulaire indépendante :</w:t>
      </w:r>
      <w:r>
        <w:t xml:space="preserve"> </w:t>
      </w:r>
      <w:r>
        <w:t xml:space="preserve">un groupe de recherche hors de Russie a également trouvé en 2025 des télomères allongés de façon dose-dépendante dans des cellules épithéliales et conjonctives humaines normales. Dans des lignées cellulaires de cancer du sein, les télomères se sont également allongés – là par un mécanisme alternatif (ALT) typique des cellules cancéreuses</w:t>
      </w:r>
      <w:r>
        <w:rPr>
          <w:rStyle w:val="FootnoteReference"/>
        </w:rPr>
        <w:footnoteReference w:id="1780"/>
      </w:r>
      <w:r>
        <w:t xml:space="preserve">.</w:t>
      </w:r>
    </w:p>
    <w:p>
      <w:pPr>
        <w:numPr>
          <w:ilvl w:val="0"/>
          <w:numId w:val="1217"/>
        </w:numPr>
        <w:pStyle w:val="Compact"/>
      </w:pPr>
      <w:r>
        <w:rPr>
          <w:bCs/>
          <w:b/>
        </w:rPr>
        <w:t xml:space="preserve">Cellules sanguines humaines in vitro :</w:t>
      </w:r>
      <w:r>
        <w:t xml:space="preserve"> </w:t>
      </w:r>
      <w:r>
        <w:t xml:space="preserve">dans des cellules sanguines de onze hommes, les télomères se sont allongés dans cinq cas après contact avec le peptide, et raccourcis dans deux cas ; les auteurs l’interprètent comme une « normalisation »</w:t>
      </w:r>
      <w:r>
        <w:rPr>
          <w:rStyle w:val="FootnoteReference"/>
        </w:rPr>
        <w:footnoteReference w:id="1781"/>
      </w:r>
      <w:r>
        <w:t xml:space="preserve">.</w:t>
      </w:r>
    </w:p>
    <w:p>
      <w:pPr>
        <w:numPr>
          <w:ilvl w:val="0"/>
          <w:numId w:val="1217"/>
        </w:numPr>
        <w:pStyle w:val="Compact"/>
      </w:pPr>
      <w:r>
        <w:rPr>
          <w:bCs/>
          <w:b/>
        </w:rPr>
        <w:t xml:space="preserve">Chez l’humain vivant :</w:t>
      </w:r>
      <w:r>
        <w:t xml:space="preserve"> </w:t>
      </w:r>
      <w:r>
        <w:t xml:space="preserve">il n’existe aucune étude contrôlée publiée ayant montré que l’Epitalon modifie la longueur des télomères dans le sang ou les tissus humains – et encore moins une étude démontrant un bénéfice pour la santé d’une telle modification.</w:t>
      </w:r>
    </w:p>
    <w:p>
      <w:pPr>
        <w:pStyle w:val="FirstParagraph"/>
      </w:pPr>
      <w:r>
        <w:t xml:space="preserve">S’y ajoute ceci : la longueur des télomères est certes liée à l’âge, mais ce n’est pas une mesure fiable de l’« horloge biologique » d’une personne donnée. Et une télomérase activée en permanence est une caractéristique de la grande majorité des cancers. La capacité d’allonger les télomères n’est donc pas automatiquement un avantage (voir Risques).</w:t>
      </w:r>
    </w:p>
    <w:bookmarkEnd w:id="1782"/>
    <w:bookmarkEnd w:id="1783"/>
    <w:bookmarkStart w:id="1788" w:name="études-animales-et-de-laboratoire-39"/>
    <w:p>
      <w:pPr>
        <w:pStyle w:val="Heading3"/>
      </w:pPr>
      <w:r>
        <w:t xml:space="preserve">Études animales et de laboratoire</w:t>
      </w:r>
    </w:p>
    <w:p>
      <w:pPr>
        <w:numPr>
          <w:ilvl w:val="0"/>
          <w:numId w:val="1218"/>
        </w:numPr>
        <w:pStyle w:val="Compact"/>
      </w:pPr>
      <w:r>
        <w:rPr>
          <w:bCs/>
          <w:b/>
        </w:rPr>
        <w:t xml:space="preserve">Durée de vie chez la souris :</w:t>
      </w:r>
      <w:r>
        <w:t xml:space="preserve"> </w:t>
      </w:r>
      <w:r>
        <w:t xml:space="preserve">dans l’étude animale la plus importante, 54 souris femelles par groupe ont reçu toute leur vie, chaque mois, de l’Epitalon ou une solution saline. La</w:t>
      </w:r>
      <w:r>
        <w:t xml:space="preserve"> </w:t>
      </w:r>
      <w:r>
        <w:rPr>
          <w:bCs/>
          <w:b/>
        </w:rPr>
        <w:t xml:space="preserve">durée de vie moyenne</w:t>
      </w:r>
      <w:r>
        <w:t xml:space="preserve"> </w:t>
      </w:r>
      <w:r>
        <w:t xml:space="preserve">ne différait</w:t>
      </w:r>
      <w:r>
        <w:t xml:space="preserve"> </w:t>
      </w:r>
      <w:r>
        <w:rPr>
          <w:bCs/>
          <w:b/>
        </w:rPr>
        <w:t xml:space="preserve">pas</w:t>
      </w:r>
      <w:r>
        <w:t xml:space="preserve"> </w:t>
      </w:r>
      <w:r>
        <w:t xml:space="preserve">; seuls les 10 % de survivants les plus tardifs ont vécu 13,3 % plus longtemps, et la durée de vie maximale était supérieure de 12,3 %. Le nombre total de tumeurs spontanées était le même, et les leucémies étaient plus rares</w:t>
      </w:r>
      <w:r>
        <w:rPr>
          <w:rStyle w:val="FootnoteReference"/>
        </w:rPr>
        <w:footnoteReference w:id="1784"/>
      </w:r>
      <w:r>
        <w:t xml:space="preserve">.</w:t>
      </w:r>
    </w:p>
    <w:p>
      <w:pPr>
        <w:numPr>
          <w:ilvl w:val="0"/>
          <w:numId w:val="1218"/>
        </w:numPr>
        <w:pStyle w:val="Compact"/>
      </w:pPr>
      <w:r>
        <w:rPr>
          <w:bCs/>
          <w:b/>
        </w:rPr>
        <w:t xml:space="preserve">Mouches du vinaigre :</w:t>
      </w:r>
      <w:r>
        <w:t xml:space="preserve"> </w:t>
      </w:r>
      <w:r>
        <w:t xml:space="preserve">une durée de vie plus longue a également été rapportée chez la drosophile</w:t>
      </w:r>
      <w:r>
        <w:rPr>
          <w:rStyle w:val="FootnoteReference"/>
        </w:rPr>
        <w:footnoteReference w:id="1785"/>
      </w:r>
      <w:r>
        <w:t xml:space="preserve">.</w:t>
      </w:r>
    </w:p>
    <w:p>
      <w:pPr>
        <w:numPr>
          <w:ilvl w:val="0"/>
          <w:numId w:val="1218"/>
        </w:numPr>
        <w:pStyle w:val="Compact"/>
      </w:pPr>
      <w:r>
        <w:rPr>
          <w:bCs/>
          <w:b/>
        </w:rPr>
        <w:t xml:space="preserve">Rétine :</w:t>
      </w:r>
      <w:r>
        <w:t xml:space="preserve"> </w:t>
      </w:r>
      <w:r>
        <w:t xml:space="preserve">chez des rats atteints de dégénérescence rétinienne héréditaire, la structure de la rétine était mieux préservée sous Epitalon</w:t>
      </w:r>
      <w:r>
        <w:rPr>
          <w:rStyle w:val="FootnoteReference"/>
        </w:rPr>
        <w:footnoteReference w:id="1786"/>
      </w:r>
      <w:r>
        <w:t xml:space="preserve">.</w:t>
      </w:r>
    </w:p>
    <w:p>
      <w:pPr>
        <w:numPr>
          <w:ilvl w:val="0"/>
          <w:numId w:val="1218"/>
        </w:numPr>
        <w:pStyle w:val="Compact"/>
      </w:pPr>
      <w:r>
        <w:rPr>
          <w:bCs/>
          <w:b/>
        </w:rPr>
        <w:t xml:space="preserve">Ovocytes :</w:t>
      </w:r>
      <w:r>
        <w:t xml:space="preserve"> </w:t>
      </w:r>
      <w:r>
        <w:t xml:space="preserve">dans des cultures d’ovocytes de souris âgées, l’Epitalon a réduit les dommages dus au stress oxydatif</w:t>
      </w:r>
      <w:r>
        <w:rPr>
          <w:rStyle w:val="FootnoteReference"/>
        </w:rPr>
        <w:footnoteReference w:id="1787"/>
      </w:r>
      <w:r>
        <w:t xml:space="preserve">.</w:t>
      </w:r>
    </w:p>
    <w:p>
      <w:pPr>
        <w:pStyle w:val="FirstParagraph"/>
      </w:pPr>
      <w:r>
        <w:t xml:space="preserve">La grande majorité de ces études proviennent du groupe de Khavinson et d’Anisimov, le plus souvent dans des revues russes ou dans des revues où le groupe lui-même publiait fréquemment. Les réplications indépendantes sont rares.</w:t>
      </w:r>
    </w:p>
    <w:bookmarkEnd w:id="1788"/>
    <w:bookmarkStart w:id="1792" w:name="risques-et-effets-indésirables-39"/>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recueillies systématiquement sur l’Epitalon chez l’humain.</w:t>
      </w:r>
    </w:p>
    <w:p>
      <w:pPr>
        <w:pStyle w:val="BodyText"/>
      </w:pPr>
      <w:r>
        <w:rPr>
          <w:bCs/>
          <w:b/>
        </w:rPr>
        <w:t xml:space="preserve">Théorique :</w:t>
      </w:r>
    </w:p>
    <w:p>
      <w:pPr>
        <w:numPr>
          <w:ilvl w:val="0"/>
          <w:numId w:val="1219"/>
        </w:numPr>
        <w:pStyle w:val="Compact"/>
      </w:pPr>
      <w:r>
        <w:rPr>
          <w:bCs/>
          <w:b/>
        </w:rPr>
        <w:t xml:space="preserve">Cancer :</w:t>
      </w:r>
      <w:r>
        <w:t xml:space="preserve"> </w:t>
      </w:r>
      <w:r>
        <w:t xml:space="preserve">l’activation de la télomérase est une caractéristique centrale des cellules cancéreuses. Une substance censée activer la télomérase pourrait théoriquement favoriser la croissance de cellules cancéreuses déjà présentes et non détectées. Dans l’étude cellulaire indépendante, les télomères de cellules de cancer du sein se sont aussi allongés</w:t>
      </w:r>
      <w:r>
        <w:rPr>
          <w:rStyle w:val="FootnoteReference"/>
        </w:rPr>
        <w:footnoteReference w:id="1789"/>
      </w:r>
      <w:r>
        <w:t xml:space="preserve">. L’étude chez la souris n’a trouvé aucune augmentation des tumeurs spontanées</w:t>
      </w:r>
      <w:r>
        <w:rPr>
          <w:rStyle w:val="FootnoteReference"/>
        </w:rPr>
        <w:footnoteReference w:id="1790"/>
      </w:r>
      <w:r>
        <w:t xml:space="preserve">, mais les données animales ne sont pas transposables à des décennies d’utilisation chez l’humain.</w:t>
      </w:r>
    </w:p>
    <w:p>
      <w:pPr>
        <w:numPr>
          <w:ilvl w:val="0"/>
          <w:numId w:val="1219"/>
        </w:numPr>
        <w:pStyle w:val="Compact"/>
      </w:pPr>
      <w:r>
        <w:rPr>
          <w:bCs/>
          <w:b/>
        </w:rPr>
        <w:t xml:space="preserve">Système hormonal :</w:t>
      </w:r>
      <w:r>
        <w:t xml:space="preserve"> </w:t>
      </w:r>
      <w:r>
        <w:t xml:space="preserve">une influence sur la mélatonine et la glande pinéale peut modifier le sommeil et les rythmes hormonaux ; cela n’a pas été étudié chez l’humain.</w:t>
      </w:r>
    </w:p>
    <w:p>
      <w:pPr>
        <w:pStyle w:val="FirstParagraph"/>
      </w:pPr>
      <w:r>
        <w:rPr>
          <w:bCs/>
          <w:b/>
        </w:rPr>
        <w:t xml:space="preserve">Marché gris :</w:t>
      </w:r>
      <w:r>
        <w:t xml:space="preserve"> </w:t>
      </w:r>
      <w:r>
        <w:t xml:space="preserve">l’Epitalon fait partie des « peptides de longévité » les plus vendus et est proposé sous forme de poudre pour injection ou de spray nasal. La pureté, la teneur et la stérilité ne sont pas contrôlées. Une revue indépendante cite des questions non résolues sur la qualité des produits, les réactions immunitaires et le risque de cancer</w:t>
      </w:r>
      <w:r>
        <w:rPr>
          <w:rStyle w:val="FootnoteReference"/>
        </w:rPr>
        <w:footnoteReference w:id="1791"/>
      </w:r>
      <w:r>
        <w:t xml:space="preserve">.</w:t>
      </w:r>
    </w:p>
    <w:bookmarkEnd w:id="1792"/>
    <w:bookmarkStart w:id="1793" w:name="statut-juridique-39"/>
    <w:p>
      <w:pPr>
        <w:pStyle w:val="Heading3"/>
      </w:pPr>
      <w:r>
        <w:t xml:space="preserve">Statut juridique</w:t>
      </w:r>
    </w:p>
    <w:p>
      <w:pPr>
        <w:numPr>
          <w:ilvl w:val="0"/>
          <w:numId w:val="1220"/>
        </w:numPr>
        <w:pStyle w:val="Compact"/>
      </w:pPr>
      <w:r>
        <w:rPr>
          <w:bCs/>
          <w:b/>
        </w:rPr>
        <w:t xml:space="preserve">UE / Autriche / Allemagne :</w:t>
      </w:r>
      <w:r>
        <w:t xml:space="preserve"> </w:t>
      </w:r>
      <w:r>
        <w:t xml:space="preserve">non autorisé ; en tant que substance à effet pharmacologique, l’Epitalon est considéré comme un médicament, et sa vente en vue d’un usage humain n’est pas permise.</w:t>
      </w:r>
    </w:p>
    <w:p>
      <w:pPr>
        <w:numPr>
          <w:ilvl w:val="0"/>
          <w:numId w:val="1220"/>
        </w:numPr>
        <w:pStyle w:val="Compact"/>
      </w:pPr>
      <w:r>
        <w:rPr>
          <w:bCs/>
          <w:b/>
        </w:rPr>
        <w:t xml:space="preserve">États-Unis :</w:t>
      </w:r>
      <w:r>
        <w:t xml:space="preserve"> </w:t>
      </w:r>
      <w:r>
        <w:t xml:space="preserve">non autorisé. Après le vote du comité consultatif PCAC en juillet 2026, l’Epitalon pourrait à l’avenir être autorisé dans les préparations magistrales en pharmacie si la FDA suit cet avis ; la procédure n’était pas terminée au moment de la clôture de la rédaction (état octobre 2026, à vérifier).</w:t>
      </w:r>
    </w:p>
    <w:p>
      <w:pPr>
        <w:numPr>
          <w:ilvl w:val="0"/>
          <w:numId w:val="1220"/>
        </w:numPr>
        <w:pStyle w:val="Compact"/>
      </w:pPr>
      <w:r>
        <w:rPr>
          <w:bCs/>
          <w:b/>
        </w:rPr>
        <w:t xml:space="preserve">Russie :</w:t>
      </w:r>
      <w:r>
        <w:t xml:space="preserve"> </w:t>
      </w:r>
      <w:r>
        <w:t xml:space="preserve">en Russie, les biorégulateurs peptidiques sont en partie commercialisés comme compléments alimentaires ; l’Epitalon lui-même n’y est pas enregistré comme médicament à notre connaissance (à vérifier).</w:t>
      </w:r>
    </w:p>
    <w:p>
      <w:pPr>
        <w:numPr>
          <w:ilvl w:val="0"/>
          <w:numId w:val="1220"/>
        </w:numPr>
        <w:pStyle w:val="Compact"/>
      </w:pPr>
      <w:r>
        <w:rPr>
          <w:bCs/>
          <w:b/>
        </w:rPr>
        <w:t xml:space="preserve">Sport :</w:t>
      </w:r>
      <w:r>
        <w:t xml:space="preserve"> </w:t>
      </w:r>
      <w:r>
        <w:t xml:space="preserve">selon notre appréciation, catégorie S0 de l’AMA (état 2026, à vérifier).</w:t>
      </w:r>
    </w:p>
    <w:bookmarkEnd w:id="1793"/>
    <w:bookmarkStart w:id="1795" w:name="études-en-cours-et-perspectives-39"/>
    <w:p>
      <w:pPr>
        <w:pStyle w:val="Heading3"/>
      </w:pPr>
      <w:r>
        <w:t xml:space="preserve">Études en cours et perspectives</w:t>
      </w:r>
    </w:p>
    <w:p>
      <w:pPr>
        <w:pStyle w:val="FirstParagraph"/>
      </w:pPr>
      <w:r>
        <w:rPr>
          <w:bCs/>
          <w:b/>
        </w:rPr>
        <w:t xml:space="preserve">Établi :</w:t>
      </w:r>
      <w:r>
        <w:t xml:space="preserve"> </w:t>
      </w:r>
      <w:r>
        <w:t xml:space="preserve">sur ClinicalTrials.gov est enregistrée une étude précoce dans laquelle des mesures de rajeunissement « systémiques et locales » doivent être évaluées à l’aide d’horloges du vieillissement (méthodes de mesure épigénétiques) ; 48 participants sont prévus, début en octobre 2026</w:t>
      </w:r>
      <w:r>
        <w:rPr>
          <w:rStyle w:val="FootnoteReference"/>
        </w:rPr>
        <w:footnoteReference w:id="1794"/>
      </w:r>
      <w:r>
        <w:t xml:space="preserve">. Selon l’entrée du registre, l’Epitalon n’y est que l’un des cinq composants d’un sérum peptidique appliqué sur la peau ; des médicaments et des compléments alimentaires sont en outre pris. L’étude ne comporte qu’un seul groupe, sans aveugle ni contrôle placebo. Elle ne peut donc fournir aucune information sur l’effet de l’Epitalon lui-même.</w:t>
      </w:r>
    </w:p>
    <w:p>
      <w:pPr>
        <w:pStyle w:val="BodyText"/>
      </w:pPr>
      <w:r>
        <w:rPr>
          <w:bCs/>
          <w:b/>
        </w:rPr>
        <w:t xml:space="preserve">Appréciation :</w:t>
      </w:r>
      <w:r>
        <w:t xml:space="preserve"> </w:t>
      </w:r>
      <w:r>
        <w:t xml:space="preserve">l’inscription sur la liste américaine des préparations magistrales augmenterait la diffusion sans améliorer l’état des données. Ce qui serait décisif, c’est une étude randomisée indépendante qui mesure au minimum la longueur des télomères, la mélatonine et les paramètres de sécurité chez l’humain sur une période prolongée.</w:t>
      </w:r>
    </w:p>
    <w:bookmarkEnd w:id="1795"/>
    <w:bookmarkStart w:id="1796" w:name="conclusion-39"/>
    <w:p>
      <w:pPr>
        <w:pStyle w:val="Heading3"/>
      </w:pPr>
      <w:r>
        <w:t xml:space="preserve">Conclusion</w:t>
      </w:r>
    </w:p>
    <w:p>
      <w:pPr>
        <w:pStyle w:val="FirstParagraph"/>
      </w:pPr>
      <w:r>
        <w:t xml:space="preserve">L’Epitalon est un tétrapeptide de synthèse de Saint-Pétersbourg qui a activé la télomérase dans des cultures cellulaires et a prolongé chez la souris la durée de vie maximale, mais pas la durée de vie moyenne. L’étude souvent citée sur une vie plus longue concernait l’extrait bovin Epithalamine, n’était pas randomisée et n’a jamais été répliquée de manière indépendante. Il n’est pas démontré que l’Epitalon allonge les télomères ou ralentit le vieillissement chez l’humain ; l’activation de la télomérase soulève en outre une question non résolue concernant le cancer. Les données ne suffisent pas pour juger du bénéfice ou de la sécurité chez l’humain.</w:t>
      </w:r>
    </w:p>
    <w:bookmarkEnd w:id="1796"/>
    <w:bookmarkEnd w:id="1797"/>
    <w:bookmarkStart w:id="1814" w:name="pinealon"/>
    <w:p>
      <w:pPr>
        <w:pStyle w:val="Heading2"/>
      </w:pPr>
      <w:r>
        <w:t xml:space="preserve">Pinealon</w:t>
      </w:r>
    </w:p>
    <w:bookmarkStart w:id="1798" w:name="fiche-signalétique-40"/>
    <w:p>
      <w:pPr>
        <w:pStyle w:val="Heading3"/>
      </w:pPr>
      <w:r>
        <w:t xml:space="preserve">Fiche signalétique</w:t>
      </w:r>
    </w:p>
    <w:p>
      <w:pPr>
        <w:numPr>
          <w:ilvl w:val="0"/>
          <w:numId w:val="1221"/>
        </w:numPr>
        <w:pStyle w:val="Compact"/>
      </w:pPr>
      <w:r>
        <w:rPr>
          <w:bCs/>
          <w:b/>
        </w:rPr>
        <w:t xml:space="preserve">Nature et structure :</w:t>
      </w:r>
      <w:r>
        <w:t xml:space="preserve"> </w:t>
      </w:r>
      <w:r>
        <w:t xml:space="preserve">tripeptide de synthèse de trois acides aminés : Glu-Asp-Arg (en abrégé EDR).</w:t>
      </w:r>
    </w:p>
    <w:p>
      <w:pPr>
        <w:numPr>
          <w:ilvl w:val="0"/>
          <w:numId w:val="1221"/>
        </w:numPr>
        <w:pStyle w:val="Compact"/>
      </w:pPr>
      <w:r>
        <w:rPr>
          <w:bCs/>
          <w:b/>
        </w:rPr>
        <w:t xml:space="preserve">Origine :</w:t>
      </w:r>
      <w:r>
        <w:t xml:space="preserve"> </w:t>
      </w:r>
      <w:r>
        <w:t xml:space="preserve">développé à l’Institut de biorégulation et de gérontologie de Saint-Pétersbourg (groupe de Vladimir Khavinson, qui a aussi développé l’Epitalon). Le nom fait référence à la glande pinéale (glandula pinealis), bien que le peptide soit surtout décrit comme une substance protectrice des neurones.</w:t>
      </w:r>
    </w:p>
    <w:p>
      <w:pPr>
        <w:numPr>
          <w:ilvl w:val="0"/>
          <w:numId w:val="1221"/>
        </w:numPr>
        <w:pStyle w:val="Compact"/>
      </w:pPr>
      <w:r>
        <w:rPr>
          <w:bCs/>
          <w:b/>
        </w:rPr>
        <w:t xml:space="preserve">Principe d’action :</w:t>
      </w:r>
      <w:r>
        <w:t xml:space="preserve"> </w:t>
      </w:r>
      <w:r>
        <w:t xml:space="preserve">en tant que « biorégulateur peptidique court », il pénétrerait dans les cellules et les noyaux cellulaires, se lierait à l’ADN ou aux histones et influencerait ainsi l’activité de gènes qui protègent les neurones contre le stress oxydatif et la mort cellulaire.</w:t>
      </w:r>
    </w:p>
    <w:p>
      <w:pPr>
        <w:numPr>
          <w:ilvl w:val="0"/>
          <w:numId w:val="1221"/>
        </w:numPr>
        <w:pStyle w:val="Compact"/>
      </w:pPr>
      <w:r>
        <w:rPr>
          <w:bCs/>
          <w:b/>
        </w:rPr>
        <w:t xml:space="preserve">Autorisation UE :</w:t>
      </w:r>
      <w:r>
        <w:t xml:space="preserve"> </w:t>
      </w:r>
      <w:r>
        <w:t xml:space="preserve">non.</w:t>
      </w:r>
    </w:p>
    <w:p>
      <w:pPr>
        <w:numPr>
          <w:ilvl w:val="0"/>
          <w:numId w:val="1221"/>
        </w:numPr>
        <w:pStyle w:val="Compact"/>
      </w:pPr>
      <w:r>
        <w:rPr>
          <w:bCs/>
          <w:b/>
        </w:rPr>
        <w:t xml:space="preserve">Autorisation États-Unis :</w:t>
      </w:r>
      <w:r>
        <w:t xml:space="preserve"> </w:t>
      </w:r>
      <w:r>
        <w:t xml:space="preserve">non.</w:t>
      </w:r>
    </w:p>
    <w:p>
      <w:pPr>
        <w:numPr>
          <w:ilvl w:val="0"/>
          <w:numId w:val="1221"/>
        </w:numPr>
        <w:pStyle w:val="Compact"/>
      </w:pPr>
      <w:r>
        <w:rPr>
          <w:bCs/>
          <w:b/>
        </w:rPr>
        <w:t xml:space="preserve">Russie :</w:t>
      </w:r>
      <w:r>
        <w:t xml:space="preserve"> </w:t>
      </w:r>
      <w:r>
        <w:t xml:space="preserve">commercialisé comme composant de « cytogènes » en gélules, c’est-à-dire plutôt comme complément alimentaire que comme médicament éprouvé.</w:t>
      </w:r>
    </w:p>
    <w:p>
      <w:pPr>
        <w:numPr>
          <w:ilvl w:val="0"/>
          <w:numId w:val="1221"/>
        </w:numPr>
        <w:pStyle w:val="Compact"/>
      </w:pPr>
      <w:r>
        <w:rPr>
          <w:bCs/>
          <w:b/>
        </w:rPr>
        <w:t xml:space="preserve">AMA (WADA) :</w:t>
      </w:r>
      <w:r>
        <w:t xml:space="preserve"> </w:t>
      </w:r>
      <w:r>
        <w:t xml:space="preserve">pas nommément listé ; une substance non autorisée comme médicament peut relever de la catégorie générale S0.</w:t>
      </w:r>
    </w:p>
    <w:p>
      <w:pPr>
        <w:numPr>
          <w:ilvl w:val="0"/>
          <w:numId w:val="1221"/>
        </w:numPr>
        <w:pStyle w:val="Compact"/>
      </w:pPr>
      <w:r>
        <w:rPr>
          <w:bCs/>
          <w:b/>
        </w:rPr>
        <w:t xml:space="preserve">Niveau de preuve :</w:t>
      </w:r>
      <w:r>
        <w:t xml:space="preserve"> </w:t>
      </w:r>
      <w:r>
        <w:rPr>
          <w:bCs/>
          <w:b/>
        </w:rPr>
        <w:t xml:space="preserve">C</w:t>
      </w:r>
      <w:r>
        <w:t xml:space="preserve"> </w:t>
      </w:r>
      <w:r>
        <w:t xml:space="preserve">– quelques petites études observationnelles russes non randomisées, avec des mesures de substitution comme l’« âge biologique ».</w:t>
      </w:r>
    </w:p>
    <w:bookmarkEnd w:id="1798"/>
    <w:bookmarkStart w:id="1802" w:name="mode-daction-supposé-40"/>
    <w:p>
      <w:pPr>
        <w:pStyle w:val="Heading3"/>
      </w:pPr>
      <w:r>
        <w:t xml:space="preserve">Mode d’action supposé</w:t>
      </w:r>
    </w:p>
    <w:p>
      <w:pPr>
        <w:pStyle w:val="FirstParagraph"/>
      </w:pPr>
      <w:r>
        <w:t xml:space="preserve">Le Pinealon appartient à une famille de peptides très courts (deux à quatre acides aminés) que le groupe de Saint-Pétersbourg appelle « biorégulateurs peptidiques ». L’hypothèse centrale est la suivante : ces mini-peptides parviennent jusqu’au noyau cellulaire, s’y lient à certaines séquences d’ADN et régulent ainsi des gènes – de manière semblable aux facteurs de transcription, c’est-à-dire aux protéines qui activent et désactivent les gènes.</w:t>
      </w:r>
    </w:p>
    <w:p>
      <w:pPr>
        <w:pStyle w:val="BodyText"/>
      </w:pPr>
      <w:r>
        <w:t xml:space="preserve">Les preuves à l’appui proviennent du laboratoire :</w:t>
      </w:r>
    </w:p>
    <w:p>
      <w:pPr>
        <w:numPr>
          <w:ilvl w:val="0"/>
          <w:numId w:val="1222"/>
        </w:numPr>
        <w:pStyle w:val="Compact"/>
      </w:pPr>
      <w:r>
        <w:t xml:space="preserve">Dans des cellules cancéreuses (HeLa), des peptides Pinealon, Epitalon et apparentés marqués par fluorescence ont pénétré dans le cytoplasme, le noyau et les nucléoles ; in vitro, ils ont modifié la fluorescence de fragments d’ADN marqués en fonction de leur séquence</w:t>
      </w:r>
      <w:r>
        <w:rPr>
          <w:rStyle w:val="FootnoteReference"/>
        </w:rPr>
        <w:footnoteReference w:id="1799"/>
      </w:r>
      <w:r>
        <w:t xml:space="preserve">.</w:t>
      </w:r>
    </w:p>
    <w:p>
      <w:pPr>
        <w:numPr>
          <w:ilvl w:val="0"/>
          <w:numId w:val="1222"/>
        </w:numPr>
        <w:pStyle w:val="Compact"/>
      </w:pPr>
      <w:r>
        <w:t xml:space="preserve">Dans des neurones du cervelet de rat et dans d’autres cultures cellulaires, le Pinealon a limité l’accumulation d’espèces réactives de l’oxygène et réduit la mort cellulaire</w:t>
      </w:r>
      <w:r>
        <w:rPr>
          <w:rStyle w:val="FootnoteReference"/>
        </w:rPr>
        <w:footnoteReference w:id="1800"/>
      </w:r>
      <w:r>
        <w:t xml:space="preserve">.</w:t>
      </w:r>
    </w:p>
    <w:p>
      <w:pPr>
        <w:pStyle w:val="FirstParagraph"/>
      </w:pPr>
      <w:r>
        <w:t xml:space="preserve">Une revue des concepteurs résume que le peptide EDR influencerait, dans des expériences cellulaires et animales, des gènes et des protéines qui jouent un rôle dans la maladie d’Alzheimer, par exemple des enzymes de la défense antioxydante et des signaux de mort cellulaire</w:t>
      </w:r>
      <w:r>
        <w:rPr>
          <w:rStyle w:val="FootnoteReference"/>
        </w:rPr>
        <w:footnoteReference w:id="1801"/>
      </w:r>
      <w:r>
        <w:t xml:space="preserve">. Il s’agit d’une hypothèse jusqu’ici à peine vérifiée par d’autres groupes de recherche. On sait en outre en pharmacologie classique que des peptides aussi courts sont rapidement scindés dans le tube digestif et dans le sang ; la quantité de Pinealon inchangé qui atteint les neurones après la prise d’une gélule n’a pas été étudiée.</w:t>
      </w:r>
    </w:p>
    <w:bookmarkEnd w:id="1802"/>
    <w:bookmarkStart w:id="1804" w:name="études-chez-lhumain-40"/>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w:t>
      </w:r>
      <w:r>
        <w:t xml:space="preserve"> </w:t>
      </w:r>
      <w:r>
        <w:rPr>
          <w:bCs/>
          <w:b/>
        </w:rPr>
        <w:t xml:space="preserve">une</w:t>
      </w:r>
      <w:r>
        <w:t xml:space="preserve"> </w:t>
      </w:r>
      <w:r>
        <w:t xml:space="preserve">publication classée comme étude chez l’humain ; au total, PubMed ne recense que 15 travaux comportant « Pinealon » dans le titre ou le résumé. Aucune étude n’est enregistrée sur ClinicalTrials.gov. Une recherche complémentaire a mis au jour trois autres petits travaux russes chez l’humain, tous dans la revue « Uspekhi Gerontologii » (Progrès de la gérontologie).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Bashkireva 2012, PMID 23734521</w:t>
            </w:r>
          </w:p>
        </w:tc>
        <w:tc>
          <w:tcPr/>
          <w:p>
            <w:pPr>
              <w:pStyle w:val="Compact"/>
              <w:jc w:val="left"/>
            </w:pPr>
            <w:r>
              <w:t xml:space="preserve">150 chauffeurs routiers, 150 métallurgistes en comparaison ; peptides dans des sous-groupes</w:t>
            </w:r>
          </w:p>
        </w:tc>
        <w:tc>
          <w:tcPr/>
          <w:p>
            <w:pPr>
              <w:pStyle w:val="Compact"/>
              <w:jc w:val="left"/>
            </w:pPr>
            <w:r>
              <w:t xml:space="preserve">non précisée</w:t>
            </w:r>
          </w:p>
        </w:tc>
        <w:tc>
          <w:tcPr/>
          <w:p>
            <w:pPr>
              <w:pStyle w:val="Compact"/>
              <w:jc w:val="left"/>
            </w:pPr>
            <w:r>
              <w:t xml:space="preserve">selon les auteurs, meilleurs scores psycho-émotionnels, meilleur effet avec l’association de deux peptides</w:t>
            </w:r>
          </w:p>
        </w:tc>
      </w:tr>
      <w:tr>
        <w:tc>
          <w:tcPr/>
          <w:p>
            <w:pPr>
              <w:pStyle w:val="Compact"/>
              <w:jc w:val="left"/>
            </w:pPr>
            <w:r>
              <w:t xml:space="preserve">Nazimko 2012, PMID 22708445</w:t>
            </w:r>
          </w:p>
        </w:tc>
        <w:tc>
          <w:tcPr/>
          <w:p>
            <w:pPr>
              <w:pStyle w:val="Compact"/>
              <w:jc w:val="left"/>
            </w:pPr>
            <w:r>
              <w:t xml:space="preserve">équipes de conducteurs de locomotives, gélules de Pinealon</w:t>
            </w:r>
          </w:p>
        </w:tc>
        <w:tc>
          <w:tcPr/>
          <w:p>
            <w:pPr>
              <w:pStyle w:val="Compact"/>
              <w:jc w:val="left"/>
            </w:pPr>
            <w:r>
              <w:t xml:space="preserve">2 semaines</w:t>
            </w:r>
          </w:p>
        </w:tc>
        <w:tc>
          <w:tcPr/>
          <w:p>
            <w:pPr>
              <w:pStyle w:val="Compact"/>
              <w:jc w:val="left"/>
            </w:pPr>
            <w:r>
              <w:t xml:space="preserve">selon les auteurs, meilleur « âge biologique » et meilleures réactions d’adaptation</w:t>
            </w:r>
          </w:p>
        </w:tc>
      </w:tr>
      <w:tr>
        <w:tc>
          <w:tcPr/>
          <w:p>
            <w:pPr>
              <w:pStyle w:val="Compact"/>
              <w:jc w:val="left"/>
            </w:pPr>
            <w:r>
              <w:t xml:space="preserve">Meshchaninov 2015, PMID 26390612</w:t>
            </w:r>
          </w:p>
        </w:tc>
        <w:tc>
          <w:tcPr/>
          <w:p>
            <w:pPr>
              <w:pStyle w:val="Compact"/>
              <w:jc w:val="left"/>
            </w:pPr>
            <w:r>
              <w:t xml:space="preserve">32 personnes (41–83 ans) polypathologiques avec syndrome psycho-organique</w:t>
            </w:r>
          </w:p>
        </w:tc>
        <w:tc>
          <w:tcPr/>
          <w:p>
            <w:pPr>
              <w:pStyle w:val="Compact"/>
              <w:jc w:val="left"/>
            </w:pPr>
            <w:r>
              <w:t xml:space="preserve">non précisée</w:t>
            </w:r>
          </w:p>
        </w:tc>
        <w:tc>
          <w:tcPr/>
          <w:p>
            <w:pPr>
              <w:pStyle w:val="Compact"/>
              <w:jc w:val="left"/>
            </w:pPr>
            <w:r>
              <w:t xml:space="preserve">effet « anabolique » ; indices d’un effet oxydant et d’une inhibition de l’hématopoïèse</w:t>
            </w:r>
          </w:p>
        </w:tc>
      </w:tr>
      <w:tr>
        <w:tc>
          <w:tcPr/>
          <w:p>
            <w:pPr>
              <w:pStyle w:val="Compact"/>
              <w:jc w:val="left"/>
            </w:pPr>
            <w:r>
              <w:t xml:space="preserve">Myakotnykh 2016, PMID 28539017</w:t>
            </w:r>
          </w:p>
        </w:tc>
        <w:tc>
          <w:tcPr/>
          <w:p>
            <w:pPr>
              <w:pStyle w:val="Compact"/>
              <w:jc w:val="left"/>
            </w:pPr>
            <w:r>
              <w:t xml:space="preserve">110 personnes, comparaison de différentes méthodes « anti-âge »</w:t>
            </w:r>
          </w:p>
        </w:tc>
        <w:tc>
          <w:tcPr/>
          <w:p>
            <w:pPr>
              <w:pStyle w:val="Compact"/>
              <w:jc w:val="left"/>
            </w:pPr>
            <w:r>
              <w:t xml:space="preserve">non précisée</w:t>
            </w:r>
          </w:p>
        </w:tc>
        <w:tc>
          <w:tcPr/>
          <w:p>
            <w:pPr>
              <w:pStyle w:val="Compact"/>
              <w:jc w:val="left"/>
            </w:pPr>
            <w:r>
              <w:t xml:space="preserve">effet le plus marqué sur l’« âge biologique » avec l’association de deux peptides</w:t>
            </w:r>
          </w:p>
        </w:tc>
      </w:tr>
    </w:tbl>
    <w:p>
      <w:pPr>
        <w:pStyle w:val="BodyText"/>
      </w:pPr>
      <w:r>
        <w:t xml:space="preserve">Les quatre travaux présentent des faiblesses communes :</w:t>
      </w:r>
    </w:p>
    <w:p>
      <w:pPr>
        <w:numPr>
          <w:ilvl w:val="0"/>
          <w:numId w:val="1223"/>
        </w:numPr>
        <w:pStyle w:val="Compact"/>
      </w:pPr>
      <w:r>
        <w:rPr>
          <w:bCs/>
          <w:b/>
        </w:rPr>
        <w:t xml:space="preserve">Pas de placebo, pas d’aveugle, pas de répartition aléatoire</w:t>
      </w:r>
      <w:r>
        <w:t xml:space="preserve"> </w:t>
      </w:r>
      <w:r>
        <w:t xml:space="preserve">identifiables. Avec des questionnaires sur l’humeur et le stress, l’effet d’attente est considérable.</w:t>
      </w:r>
    </w:p>
    <w:p>
      <w:pPr>
        <w:numPr>
          <w:ilvl w:val="0"/>
          <w:numId w:val="1223"/>
        </w:numPr>
        <w:pStyle w:val="Compact"/>
      </w:pPr>
      <w:r>
        <w:rPr>
          <w:bCs/>
          <w:b/>
        </w:rPr>
        <w:t xml:space="preserve">Mesures de substitution au lieu de critères cliniques :</w:t>
      </w:r>
      <w:r>
        <w:t xml:space="preserve"> </w:t>
      </w:r>
      <w:r>
        <w:t xml:space="preserve">dans la gérontologie russe, l’« âge biologique » est calculé à partir d’une combinaison de mesures comme la pression artérielle, la fonction pulmonaire, le temps de réaction et l’auto-évaluation. Ce n’est pas une mesure standardisée au niveau international, et une amélioration ne signifie pas automatiquement une meilleure santé ou une vie plus longue.</w:t>
      </w:r>
    </w:p>
    <w:p>
      <w:pPr>
        <w:numPr>
          <w:ilvl w:val="0"/>
          <w:numId w:val="1223"/>
        </w:numPr>
        <w:pStyle w:val="Compact"/>
      </w:pPr>
      <w:r>
        <w:rPr>
          <w:bCs/>
          <w:b/>
        </w:rPr>
        <w:t xml:space="preserve">Associations :</w:t>
      </w:r>
      <w:r>
        <w:t xml:space="preserve"> </w:t>
      </w:r>
      <w:r>
        <w:t xml:space="preserve">dans plusieurs études, le Pinealon a été administré avec le peptide Vesugen (Lys-Glu-Asp), de sorte que l’effet ne peut être attribué à une seule substance.</w:t>
      </w:r>
    </w:p>
    <w:p>
      <w:pPr>
        <w:numPr>
          <w:ilvl w:val="0"/>
          <w:numId w:val="1223"/>
        </w:numPr>
        <w:pStyle w:val="Compact"/>
      </w:pPr>
      <w:r>
        <w:rPr>
          <w:bCs/>
          <w:b/>
        </w:rPr>
        <w:t xml:space="preserve">Chiffres peu clairs :</w:t>
      </w:r>
      <w:r>
        <w:t xml:space="preserve"> </w:t>
      </w:r>
      <w:r>
        <w:t xml:space="preserve">les résumés ne donnent guère de tailles d’effet.</w:t>
      </w:r>
    </w:p>
    <w:p>
      <w:pPr>
        <w:pStyle w:val="FirstParagraph"/>
      </w:pPr>
      <w:r>
        <w:t xml:space="preserve">Un résultat absent de la publicité est remarquable : dans l’étude portant sur 32 personnes âgées, les auteurs ont observé sous Pinealon et Vesugen une activité</w:t>
      </w:r>
      <w:r>
        <w:t xml:space="preserve"> </w:t>
      </w:r>
      <w:r>
        <w:rPr>
          <w:bCs/>
          <w:b/>
        </w:rPr>
        <w:t xml:space="preserve">pro-oxydante</w:t>
      </w:r>
      <w:r>
        <w:t xml:space="preserve"> </w:t>
      </w:r>
      <w:r>
        <w:t xml:space="preserve">– c’est-à-dire l’inverse de l’effet antioxydant allégué – et une diminution des cellules souches hématopoïétiques (CD34+) dans le sang, qu’ils décrivent comme une nette inhibition de l’hématopoïèse. Ils recommandent néanmoins ces peptides pour la pratique gériatrique</w:t>
      </w:r>
      <w:r>
        <w:rPr>
          <w:rStyle w:val="FootnoteReference"/>
        </w:rPr>
        <w:footnoteReference w:id="1803"/>
      </w:r>
      <w:r>
        <w:t xml:space="preserve">.</w:t>
      </w:r>
    </w:p>
    <w:bookmarkEnd w:id="1804"/>
    <w:bookmarkStart w:id="1808" w:name="études-animales-et-de-laboratoire-40"/>
    <w:p>
      <w:pPr>
        <w:pStyle w:val="Heading3"/>
      </w:pPr>
      <w:r>
        <w:t xml:space="preserve">Études animales et de laboratoire</w:t>
      </w:r>
    </w:p>
    <w:p>
      <w:pPr>
        <w:numPr>
          <w:ilvl w:val="0"/>
          <w:numId w:val="1224"/>
        </w:numPr>
        <w:pStyle w:val="Compact"/>
      </w:pPr>
      <w:r>
        <w:t xml:space="preserve">Chez des rats dont les mères avaient eu, pendant la gestation, des taux d’homocystéine élevés en raison d’une alimentation riche en méthionine, le Pinealon (administré aux mères) a amélioré l’orientation et la capacité d’apprentissage de la descendance ; leurs neurones du cervelet étaient plus résistants au stress oxydatif</w:t>
      </w:r>
      <w:r>
        <w:rPr>
          <w:rStyle w:val="FootnoteReference"/>
        </w:rPr>
        <w:footnoteReference w:id="1805"/>
      </w:r>
      <w:r>
        <w:t xml:space="preserve">.</w:t>
      </w:r>
    </w:p>
    <w:p>
      <w:pPr>
        <w:numPr>
          <w:ilvl w:val="0"/>
          <w:numId w:val="1224"/>
        </w:numPr>
        <w:pStyle w:val="Compact"/>
      </w:pPr>
      <w:r>
        <w:t xml:space="preserve">Chez des rats âgés de 18 mois, le Pinealon et le Cortexin (une préparation russe d’extrait cérébral) ont influencé, en conditions de manque d’oxygène et d’hypothermie, le comportement et les messagers cérébraux ; le Cortexin agissait plus fortement sur les processus radicalaires et les enzymes de la mort cellulaire</w:t>
      </w:r>
      <w:r>
        <w:rPr>
          <w:rStyle w:val="FootnoteReference"/>
        </w:rPr>
        <w:footnoteReference w:id="1806"/>
      </w:r>
      <w:r>
        <w:t xml:space="preserve">.</w:t>
      </w:r>
    </w:p>
    <w:p>
      <w:pPr>
        <w:numPr>
          <w:ilvl w:val="0"/>
          <w:numId w:val="1224"/>
        </w:numPr>
        <w:pStyle w:val="Compact"/>
      </w:pPr>
      <w:r>
        <w:t xml:space="preserve">Dans des cultures cellulaires, le Pinealon a protégé différents types de cellules contre le stress oxydatif</w:t>
      </w:r>
      <w:r>
        <w:rPr>
          <w:rStyle w:val="FootnoteReference"/>
        </w:rPr>
        <w:footnoteReference w:id="1807"/>
      </w:r>
      <w:r>
        <w:t xml:space="preserve">.</w:t>
      </w:r>
    </w:p>
    <w:p>
      <w:pPr>
        <w:pStyle w:val="FirstParagraph"/>
      </w:pPr>
      <w:r>
        <w:t xml:space="preserve">Presque tous les travaux proviennent du groupe des concepteurs ou d’instituts russes partenaires.</w:t>
      </w:r>
    </w:p>
    <w:bookmarkEnd w:id="1808"/>
    <w:bookmarkStart w:id="1810" w:name="risques-et-effets-indésirables-40"/>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systématiques. La seule étude qui rapporte plus en détail des valeurs de laboratoire décrit une activité pro-oxydante et une diminution des cellules souches hématopoïétiques dans le sang</w:t>
      </w:r>
      <w:r>
        <w:rPr>
          <w:rStyle w:val="FootnoteReference"/>
        </w:rPr>
        <w:footnoteReference w:id="1809"/>
      </w:r>
      <w:r>
        <w:t xml:space="preserve">. La signification de ce constat est incertaine – mais c’est un signal d’alerte qui n’a pas été approfondi.</w:t>
      </w:r>
    </w:p>
    <w:p>
      <w:pPr>
        <w:pStyle w:val="BodyText"/>
      </w:pPr>
      <w:r>
        <w:rPr>
          <w:bCs/>
          <w:b/>
        </w:rPr>
        <w:t xml:space="preserve">Théorique :</w:t>
      </w:r>
      <w:r>
        <w:t xml:space="preserve"> </w:t>
      </w:r>
      <w:r>
        <w:t xml:space="preserve">si l’hypothèse des concepteurs est exacte et que le Pinealon se lie réellement à l’ADN et régule des gènes, des effets génétiques indésirables seraient également envisageables. Il n’existe pas d’études sur les dommages à l’ADN, le risque de cancer ou les effets à long terme.</w:t>
      </w:r>
    </w:p>
    <w:p>
      <w:pPr>
        <w:pStyle w:val="BodyText"/>
      </w:pPr>
      <w:r>
        <w:rPr>
          <w:bCs/>
          <w:b/>
        </w:rPr>
        <w:t xml:space="preserve">Marché gris :</w:t>
      </w:r>
      <w:r>
        <w:t xml:space="preserve"> </w:t>
      </w:r>
      <w:r>
        <w:t xml:space="preserve">le Pinealon est proposé en ligne sous forme de gélules, de spray nasal ou de poudre pour injection, le plus souvent avec des promesses concernant la mémoire, le sommeil et le « rajeunissement du cerveau ». La teneur et la pureté ne sont pas contrôlées.</w:t>
      </w:r>
    </w:p>
    <w:bookmarkEnd w:id="1810"/>
    <w:bookmarkStart w:id="1811" w:name="statut-juridique-40"/>
    <w:p>
      <w:pPr>
        <w:pStyle w:val="Heading3"/>
      </w:pPr>
      <w:r>
        <w:t xml:space="preserve">Statut juridique</w:t>
      </w:r>
    </w:p>
    <w:p>
      <w:pPr>
        <w:numPr>
          <w:ilvl w:val="0"/>
          <w:numId w:val="1225"/>
        </w:numPr>
        <w:pStyle w:val="Compact"/>
      </w:pPr>
      <w:r>
        <w:rPr>
          <w:bCs/>
          <w:b/>
        </w:rPr>
        <w:t xml:space="preserve">UE / Autriche / Allemagne :</w:t>
      </w:r>
      <w:r>
        <w:t xml:space="preserve"> </w:t>
      </w:r>
      <w:r>
        <w:t xml:space="preserve">pas autorisé comme médicament. Une vente comme complément alimentaire ne serait licite que si la substance est autorisée par le droit alimentaire ; en tant que substance de synthèse nouvelle à effet pharmacologique recherché, ce n’est pas le cas selon notre appréciation.</w:t>
      </w:r>
    </w:p>
    <w:p>
      <w:pPr>
        <w:numPr>
          <w:ilvl w:val="0"/>
          <w:numId w:val="1225"/>
        </w:numPr>
        <w:pStyle w:val="Compact"/>
      </w:pPr>
      <w:r>
        <w:rPr>
          <w:bCs/>
          <w:b/>
        </w:rPr>
        <w:t xml:space="preserve">États-Unis :</w:t>
      </w:r>
      <w:r>
        <w:t xml:space="preserve"> </w:t>
      </w:r>
      <w:r>
        <w:t xml:space="preserve">non autorisé.</w:t>
      </w:r>
    </w:p>
    <w:p>
      <w:pPr>
        <w:numPr>
          <w:ilvl w:val="0"/>
          <w:numId w:val="1225"/>
        </w:numPr>
        <w:pStyle w:val="Compact"/>
      </w:pPr>
      <w:r>
        <w:rPr>
          <w:bCs/>
          <w:b/>
        </w:rPr>
        <w:t xml:space="preserve">Russie :</w:t>
      </w:r>
      <w:r>
        <w:t xml:space="preserve"> </w:t>
      </w:r>
      <w:r>
        <w:t xml:space="preserve">commercialisé comme composant de préparations peptidiques qui n’ont pas suivi la procédure d’autorisation des médicaments.</w:t>
      </w:r>
    </w:p>
    <w:p>
      <w:pPr>
        <w:numPr>
          <w:ilvl w:val="0"/>
          <w:numId w:val="1225"/>
        </w:numPr>
        <w:pStyle w:val="Compact"/>
      </w:pPr>
      <w:r>
        <w:rPr>
          <w:bCs/>
          <w:b/>
        </w:rPr>
        <w:t xml:space="preserve">Sport :</w:t>
      </w:r>
      <w:r>
        <w:t xml:space="preserve"> </w:t>
      </w:r>
      <w:r>
        <w:t xml:space="preserve">pas nommément listé ; couverture possible par la catégorie S0 de l’AMA (état 2026, à vérifier).</w:t>
      </w:r>
    </w:p>
    <w:bookmarkEnd w:id="1811"/>
    <w:bookmarkStart w:id="1812" w:name="études-en-cours-et-perspectives-40"/>
    <w:p>
      <w:pPr>
        <w:pStyle w:val="Heading3"/>
      </w:pPr>
      <w:r>
        <w:t xml:space="preserve">Études en cours et perspectives</w:t>
      </w:r>
    </w:p>
    <w:p>
      <w:pPr>
        <w:pStyle w:val="FirstParagraph"/>
      </w:pPr>
      <w:r>
        <w:rPr>
          <w:bCs/>
          <w:b/>
        </w:rPr>
        <w:t xml:space="preserve">Établi :</w:t>
      </w:r>
      <w:r>
        <w:t xml:space="preserve"> </w:t>
      </w:r>
      <w:r>
        <w:t xml:space="preserve">aucune étude enregistrée (requête d’octobre 2026).</w:t>
      </w:r>
    </w:p>
    <w:p>
      <w:pPr>
        <w:pStyle w:val="BodyText"/>
      </w:pPr>
      <w:r>
        <w:rPr>
          <w:bCs/>
          <w:b/>
        </w:rPr>
        <w:t xml:space="preserve">Appréciation :</w:t>
      </w:r>
      <w:r>
        <w:t xml:space="preserve"> </w:t>
      </w:r>
      <w:r>
        <w:t xml:space="preserve">tant que la recherche restera limitée à un petit cercle d’instituts russes et qu’aucune étude randomisée contrôlée contre placebo avec critères cliniques ne sera menée, le Pinealon restera un concept de laboratoire habillé de marketing.</w:t>
      </w:r>
    </w:p>
    <w:bookmarkEnd w:id="1812"/>
    <w:bookmarkStart w:id="1813" w:name="conclusion-40"/>
    <w:p>
      <w:pPr>
        <w:pStyle w:val="Heading3"/>
      </w:pPr>
      <w:r>
        <w:t xml:space="preserve">Conclusion</w:t>
      </w:r>
    </w:p>
    <w:p>
      <w:pPr>
        <w:pStyle w:val="FirstParagraph"/>
      </w:pPr>
      <w:r>
        <w:t xml:space="preserve">Le Pinealon est un tripeptide de synthèse de Saint-Pétersbourg qui a protégé des neurones contre le stress oxydatif dans des cultures cellulaires et chez le rat ; ses concepteurs supposent un effet direct sur les gènes. Les rares études chez l’humain sont petites, non contrôlées et mesurent surtout un « âge biologique » non standardisé. L’une d’elles a même trouvé des indices d’un effet pro-oxydant et d’une inhibition de l’hématopoïèse. Les données ne suffisent pas pour juger d’un bénéfice ou de la sécurité chez l’humain.</w:t>
      </w:r>
    </w:p>
    <w:bookmarkEnd w:id="1813"/>
    <w:bookmarkEnd w:id="1814"/>
    <w:bookmarkStart w:id="1843" w:name="mots-c"/>
    <w:p>
      <w:pPr>
        <w:pStyle w:val="Heading2"/>
      </w:pPr>
      <w:r>
        <w:t xml:space="preserve">MOTS-c</w:t>
      </w:r>
    </w:p>
    <w:bookmarkStart w:id="1815" w:name="fiche-signalétique-41"/>
    <w:p>
      <w:pPr>
        <w:pStyle w:val="Heading3"/>
      </w:pPr>
      <w:r>
        <w:t xml:space="preserve">Fiche signalétique</w:t>
      </w:r>
    </w:p>
    <w:p>
      <w:pPr>
        <w:numPr>
          <w:ilvl w:val="0"/>
          <w:numId w:val="1226"/>
        </w:numPr>
        <w:pStyle w:val="Compact"/>
      </w:pPr>
      <w:r>
        <w:rPr>
          <w:bCs/>
          <w:b/>
        </w:rPr>
        <w:t xml:space="preserve">Nature et structure :</w:t>
      </w:r>
      <w:r>
        <w:t xml:space="preserve"> </w:t>
      </w:r>
      <w:r>
        <w:t xml:space="preserve">peptide de 16 acides aminés. Le nom signifie</w:t>
      </w:r>
      <w:r>
        <w:t xml:space="preserve"> </w:t>
      </w:r>
      <w:r>
        <w:rPr>
          <w:iCs/>
          <w:i/>
        </w:rPr>
        <w:t xml:space="preserve">mitochondrial open reading frame of the 12S rRNA-c</w:t>
      </w:r>
      <w:r>
        <w:t xml:space="preserve"> </w:t>
      </w:r>
      <w:r>
        <w:t xml:space="preserve">– il n’est pas codé dans le noyau cellulaire, mais dans le génome des mitochondries, les « centrales énergétiques » de la cellule.</w:t>
      </w:r>
    </w:p>
    <w:p>
      <w:pPr>
        <w:numPr>
          <w:ilvl w:val="0"/>
          <w:numId w:val="1226"/>
        </w:numPr>
        <w:pStyle w:val="Compact"/>
      </w:pPr>
      <w:r>
        <w:rPr>
          <w:bCs/>
          <w:b/>
        </w:rPr>
        <w:t xml:space="preserve">Origine :</w:t>
      </w:r>
      <w:r>
        <w:t xml:space="preserve"> </w:t>
      </w:r>
      <w:r>
        <w:t xml:space="preserve">décrit en 2015 par un groupe de recherche dirigé par Pinchas Cohen à la University of Southern California. L’organisme le produit lui-même, surtout dans le muscle squelettique.</w:t>
      </w:r>
    </w:p>
    <w:p>
      <w:pPr>
        <w:numPr>
          <w:ilvl w:val="0"/>
          <w:numId w:val="1226"/>
        </w:numPr>
        <w:pStyle w:val="Compact"/>
      </w:pPr>
      <w:r>
        <w:rPr>
          <w:bCs/>
          <w:b/>
        </w:rPr>
        <w:t xml:space="preserve">Principe d’action :</w:t>
      </w:r>
      <w:r>
        <w:t xml:space="preserve"> </w:t>
      </w:r>
      <w:r>
        <w:t xml:space="preserve">considéré comme une « mitokine » – une molécule de signalisation des mitochondries. Chez la souris, il a activé le capteur énergétique AMPK, amélioré la sensibilité à l’insuline et la capacité physique ; c’est pourquoi il est discuté comme « mimétique de l’exercice » (exercise mimetic).</w:t>
      </w:r>
    </w:p>
    <w:p>
      <w:pPr>
        <w:numPr>
          <w:ilvl w:val="0"/>
          <w:numId w:val="1226"/>
        </w:numPr>
        <w:pStyle w:val="Compact"/>
      </w:pPr>
      <w:r>
        <w:rPr>
          <w:bCs/>
          <w:b/>
        </w:rPr>
        <w:t xml:space="preserve">Autorisation UE :</w:t>
      </w:r>
      <w:r>
        <w:t xml:space="preserve"> </w:t>
      </w:r>
      <w:r>
        <w:t xml:space="preserve">non.</w:t>
      </w:r>
    </w:p>
    <w:p>
      <w:pPr>
        <w:numPr>
          <w:ilvl w:val="0"/>
          <w:numId w:val="1226"/>
        </w:numPr>
        <w:pStyle w:val="Compact"/>
      </w:pPr>
      <w:r>
        <w:rPr>
          <w:bCs/>
          <w:b/>
        </w:rPr>
        <w:t xml:space="preserve">Autorisation États-Unis :</w:t>
      </w:r>
      <w:r>
        <w:t xml:space="preserve"> </w:t>
      </w:r>
      <w:r>
        <w:t xml:space="preserve">non. Retiré de la « catégorie 2 » de la FDA en avril 2026 ; le comité consultatif PCAC a voté en juillet 2026, par 7 voix contre 5, pour l’inscription sur la liste des substances autorisées en préparation magistrale (état octobre 2026, à vérifier).</w:t>
      </w:r>
    </w:p>
    <w:p>
      <w:pPr>
        <w:numPr>
          <w:ilvl w:val="0"/>
          <w:numId w:val="1226"/>
        </w:numPr>
        <w:pStyle w:val="Compact"/>
      </w:pPr>
      <w:r>
        <w:rPr>
          <w:bCs/>
          <w:b/>
        </w:rPr>
        <w:t xml:space="preserve">AMA (WADA) :</w:t>
      </w:r>
      <w:r>
        <w:t xml:space="preserve"> </w:t>
      </w:r>
      <w:r>
        <w:rPr>
          <w:bCs/>
          <w:b/>
        </w:rPr>
        <w:t xml:space="preserve">interdit</w:t>
      </w:r>
      <w:r>
        <w:t xml:space="preserve"> </w:t>
      </w:r>
      <w:r>
        <w:t xml:space="preserve">– expressément cité dans la catégorie S4 (modulateurs hormonaux et métaboliques) comme exemple d’activateur de l’AMPK, en compétition et hors compétition.</w:t>
      </w:r>
    </w:p>
    <w:p>
      <w:pPr>
        <w:numPr>
          <w:ilvl w:val="0"/>
          <w:numId w:val="1226"/>
        </w:numPr>
        <w:pStyle w:val="Compact"/>
      </w:pPr>
      <w:r>
        <w:rPr>
          <w:bCs/>
          <w:b/>
        </w:rPr>
        <w:t xml:space="preserve">Niveau de preuve :</w:t>
      </w:r>
      <w:r>
        <w:t xml:space="preserve"> </w:t>
      </w:r>
      <w:r>
        <w:rPr>
          <w:bCs/>
          <w:b/>
        </w:rPr>
        <w:t xml:space="preserve">D</w:t>
      </w:r>
      <w:r>
        <w:t xml:space="preserve"> </w:t>
      </w:r>
      <w:r>
        <w:t xml:space="preserve">pour l’administration comme substance active – il n’existe pas de résultats publiés d’études contrôlées chez l’humain ; chez l’humain, seules existent des études observationnelles sur les taux endogènes.</w:t>
      </w:r>
    </w:p>
    <w:bookmarkEnd w:id="1815"/>
    <w:bookmarkStart w:id="1819" w:name="mode-daction-supposé-41"/>
    <w:p>
      <w:pPr>
        <w:pStyle w:val="Heading3"/>
      </w:pPr>
      <w:r>
        <w:t xml:space="preserve">Mode d’action supposé</w:t>
      </w:r>
    </w:p>
    <w:p>
      <w:pPr>
        <w:pStyle w:val="FirstParagraph"/>
      </w:pPr>
      <w:r>
        <w:t xml:space="preserve">Les mitochondries possèdent leur propre petit génome. Pendant longtemps, il a été considéré comme le « plan de construction » de seulement 13 protéines de la production d’énergie. Depuis le début des années 2000, on y a découvert en plus de courtes séquences de lecture qui codent de petits peptides de signalisation – d’abord l’humanine (voir chapitre suivant), puis le MOTS-c.</w:t>
      </w:r>
    </w:p>
    <w:p>
      <w:pPr>
        <w:pStyle w:val="BodyText"/>
      </w:pPr>
      <w:r>
        <w:t xml:space="preserve">La première description a montré chez la souris que le MOTS-c agit surtout sur le muscle squelettique : il inhibe une voie métabolique (cycle des folates et synthèse de novo des purines), ce qui entraîne l’accumulation du messager AICAR et l’activation de l’enzyme AMPK – le même capteur énergétique sur lequel agissent l’exercice physique et le médicament antidiabétique metformine. Les souris auxquelles on injectait du MOTS-c développaient, sous régime riche en graisses, moins de surpoids et moins de résistance à l’insuline</w:t>
      </w:r>
      <w:r>
        <w:rPr>
          <w:rStyle w:val="FootnoteReference"/>
        </w:rPr>
        <w:footnoteReference w:id="1816"/>
      </w:r>
      <w:r>
        <w:t xml:space="preserve">. Sous stress métabolique, le MOTS-c migrait dans des cultures cellulaires vers le noyau et y influençait des gènes</w:t>
      </w:r>
      <w:r>
        <w:rPr>
          <w:rStyle w:val="FootnoteReference"/>
        </w:rPr>
        <w:footnoteReference w:id="1817"/>
      </w:r>
      <w:r>
        <w:t xml:space="preserve">.</w:t>
      </w:r>
    </w:p>
    <w:p>
      <w:pPr>
        <w:pStyle w:val="BodyText"/>
      </w:pPr>
      <w:r>
        <w:t xml:space="preserve">Dans un deuxième grand travail, le MOTS-c a augmenté la capacité physique de souris jeunes, d’âge moyen et âgées ; un traitement commencé seulement à un âge avancé a amélioré la capacité physique et l’« espérance de vie en bonne santé ». Chez l’humain, les taux de MOTS-c dans le muscle et le sang augmentaient après un effort physique</w:t>
      </w:r>
      <w:r>
        <w:rPr>
          <w:rStyle w:val="FootnoteReference"/>
        </w:rPr>
        <w:footnoteReference w:id="1818"/>
      </w:r>
      <w:r>
        <w:t xml:space="preserve">.</w:t>
      </w:r>
    </w:p>
    <w:p>
      <w:pPr>
        <w:pStyle w:val="BodyText"/>
      </w:pPr>
      <w:r>
        <w:t xml:space="preserve">C’est de là qu’est née l’image du MOTS-c comme « sport en seringue ». L’ordre logique est toutefois important : que l’exercice augmente le MOTS-c ne signifie pas que des injections de MOTS-c reproduisent les effets de l’exercice chez l’humain.</w:t>
      </w:r>
    </w:p>
    <w:bookmarkEnd w:id="1819"/>
    <w:bookmarkStart w:id="1829" w:name="études-chez-lhumain-41"/>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5 publications classées comme études chez l’humain ; aucune n’a administré de MOTS-c. Au total, PubMed recense environ 260 travaux sur le « MOTS-c », principalement des expériences animales et cellulaires ainsi que des études observationnelles sur les taux sanguins endogènes. Sur ClinicalTrials.gov, la recherche a donné 5 entrées. Quatre d’entre elles ne mesurent que des taux ou portent sur d’autres questions. La cinquième, une prétendue étude de phase 2 avec le MOTS-c dans le prédiabète, émane d’un promoteur sous le nom duquel figurent manifestement des entrées d’exemple fictives dans le registre. Nous ne la considérons donc pas comme une véritable étude et ne la comptons pas ; une étude enregistrée avec le MOTS-c lui-même comme substance active n’est donc pas attestée. S’y ajoute une étude terminée avec le dérivé du MOTS-c CB4211</w:t>
      </w:r>
      <w:r>
        <w:rPr>
          <w:rStyle w:val="FootnoteReference"/>
        </w:rPr>
        <w:footnoteReference w:id="1820"/>
      </w:r>
      <w:r>
        <w:t xml:space="preserve">.</w:t>
      </w:r>
    </w:p>
    <w:p>
      <w:pPr>
        <w:pStyle w:val="BodyText"/>
      </w:pPr>
      <w:r>
        <w:t xml:space="preserve">Pour comprendre ce chapitre, une distinction est essentielle :</w:t>
      </w:r>
    </w:p>
    <w:p>
      <w:pPr>
        <w:numPr>
          <w:ilvl w:val="0"/>
          <w:numId w:val="1227"/>
        </w:numPr>
        <w:pStyle w:val="Compact"/>
      </w:pPr>
      <w:r>
        <w:rPr>
          <w:bCs/>
          <w:b/>
        </w:rPr>
        <w:t xml:space="preserve">Études observationnelles sur les taux endogènes :</w:t>
      </w:r>
      <w:r>
        <w:t xml:space="preserve"> </w:t>
      </w:r>
      <w:r>
        <w:t xml:space="preserve">on mesure ici la quantité de MOTS-c que les personnes ont dans le sang et on la met en relation avec des maladies ou des comportements.</w:t>
      </w:r>
    </w:p>
    <w:p>
      <w:pPr>
        <w:numPr>
          <w:ilvl w:val="0"/>
          <w:numId w:val="1227"/>
        </w:numPr>
        <w:pStyle w:val="Compact"/>
      </w:pPr>
      <w:r>
        <w:rPr>
          <w:bCs/>
          <w:b/>
        </w:rPr>
        <w:t xml:space="preserve">Études dans lesquelles le MOTS-c (ou un dérivé) est administré comme substance active :</w:t>
      </w:r>
      <w:r>
        <w:t xml:space="preserve"> </w:t>
      </w:r>
      <w:r>
        <w:t xml:space="preserve">seules celles-ci peuvent montrer si un apport a un effet.</w:t>
      </w:r>
    </w:p>
    <w:p>
      <w:pPr>
        <w:pStyle w:val="FirstParagraph"/>
      </w:pPr>
      <w:r>
        <w:t xml:space="preserve">Les résultats du premier type sont souvent présentés sur Internet comme s’ils démontraient l’effet du second type. C’est un raccourci.</w:t>
      </w:r>
    </w:p>
    <w:bookmarkStart w:id="1826" w:name="taux-endogènes-observations"/>
    <w:p>
      <w:pPr>
        <w:pStyle w:val="Heading4"/>
      </w:pPr>
      <w:r>
        <w:t xml:space="preserve">1. Taux endogènes : observations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Du 2018, PMID 29691953</w:t>
            </w:r>
          </w:p>
        </w:tc>
        <w:tc>
          <w:tcPr/>
          <w:p>
            <w:pPr>
              <w:pStyle w:val="Compact"/>
              <w:jc w:val="left"/>
            </w:pPr>
            <w:r>
              <w:t xml:space="preserve">40 enfants et adolescents en surpoids, 57 témoins, étude cas-témoins</w:t>
            </w:r>
          </w:p>
        </w:tc>
        <w:tc>
          <w:tcPr/>
          <w:p>
            <w:pPr>
              <w:pStyle w:val="Compact"/>
              <w:jc w:val="left"/>
            </w:pPr>
            <w:r>
              <w:t xml:space="preserve">transversale</w:t>
            </w:r>
          </w:p>
        </w:tc>
        <w:tc>
          <w:tcPr/>
          <w:p>
            <w:pPr>
              <w:pStyle w:val="Compact"/>
              <w:jc w:val="left"/>
            </w:pPr>
            <w:r>
              <w:t xml:space="preserve">taux plus faibles chez les garçons en surpoids, pas chez les filles</w:t>
            </w:r>
          </w:p>
        </w:tc>
      </w:tr>
      <w:tr>
        <w:tc>
          <w:tcPr/>
          <w:p>
            <w:pPr>
              <w:pStyle w:val="Compact"/>
              <w:jc w:val="left"/>
            </w:pPr>
            <w:r>
              <w:t xml:space="preserve">Kirik 2023, PMID 37750635</w:t>
            </w:r>
          </w:p>
        </w:tc>
        <w:tc>
          <w:tcPr/>
          <w:p>
            <w:pPr>
              <w:pStyle w:val="Compact"/>
              <w:jc w:val="left"/>
            </w:pPr>
            <w:r>
              <w:t xml:space="preserve">150 personnes atteintes de stéatose hépatique, 84 personnes en bonne santé</w:t>
            </w:r>
          </w:p>
        </w:tc>
        <w:tc>
          <w:tcPr/>
          <w:p>
            <w:pPr>
              <w:pStyle w:val="Compact"/>
              <w:jc w:val="left"/>
            </w:pPr>
            <w:r>
              <w:t xml:space="preserve">transversale</w:t>
            </w:r>
          </w:p>
        </w:tc>
        <w:tc>
          <w:tcPr/>
          <w:p>
            <w:pPr>
              <w:pStyle w:val="Compact"/>
              <w:jc w:val="left"/>
            </w:pPr>
            <w:r>
              <w:t xml:space="preserve">taux plus faibles en cas de stéatose hépatique et de syndrome métabolique</w:t>
            </w:r>
          </w:p>
        </w:tc>
      </w:tr>
      <w:tr>
        <w:tc>
          <w:tcPr/>
          <w:p>
            <w:pPr>
              <w:pStyle w:val="Compact"/>
              <w:jc w:val="left"/>
            </w:pPr>
            <w:r>
              <w:t xml:space="preserve">Ikonomidis 2020, PMID 32052315</w:t>
            </w:r>
          </w:p>
        </w:tc>
        <w:tc>
          <w:tcPr/>
          <w:p>
            <w:pPr>
              <w:pStyle w:val="Compact"/>
              <w:jc w:val="left"/>
            </w:pPr>
            <w:r>
              <w:t xml:space="preserve">121 personnes atteintes de diabète de type 2 après intervention vasculaire</w:t>
            </w:r>
          </w:p>
        </w:tc>
        <w:tc>
          <w:tcPr/>
          <w:p>
            <w:pPr>
              <w:pStyle w:val="Compact"/>
              <w:jc w:val="left"/>
            </w:pPr>
            <w:r>
              <w:t xml:space="preserve">2 ans</w:t>
            </w:r>
          </w:p>
        </w:tc>
        <w:tc>
          <w:tcPr/>
          <w:p>
            <w:pPr>
              <w:pStyle w:val="Compact"/>
              <w:jc w:val="left"/>
            </w:pPr>
            <w:r>
              <w:t xml:space="preserve">un MOTS-c bas (inférieur à 167 ng/ml) prédisait des événements cardiovasculaires (risque relatif 3,8)</w:t>
            </w:r>
          </w:p>
        </w:tc>
      </w:tr>
      <w:tr>
        <w:tc>
          <w:tcPr/>
          <w:p>
            <w:pPr>
              <w:pStyle w:val="Compact"/>
              <w:jc w:val="left"/>
            </w:pPr>
            <w:r>
              <w:t xml:space="preserve">von Walden 2021, PMID 34351816</w:t>
            </w:r>
          </w:p>
        </w:tc>
        <w:tc>
          <w:tcPr/>
          <w:p>
            <w:pPr>
              <w:pStyle w:val="Compact"/>
              <w:jc w:val="left"/>
            </w:pPr>
            <w:r>
              <w:t xml:space="preserve">30 personnes, entraînement d’endurance ou de force ou témoin, randomisée</w:t>
            </w:r>
          </w:p>
        </w:tc>
        <w:tc>
          <w:tcPr/>
          <w:p>
            <w:pPr>
              <w:pStyle w:val="Compact"/>
              <w:jc w:val="left"/>
            </w:pPr>
            <w:r>
              <w:t xml:space="preserve">effort unique</w:t>
            </w:r>
          </w:p>
        </w:tc>
        <w:tc>
          <w:tcPr/>
          <w:p>
            <w:pPr>
              <w:pStyle w:val="Compact"/>
              <w:jc w:val="left"/>
            </w:pPr>
            <w:r>
              <w:t xml:space="preserve">l’humanine augmentait après un effort d’endurance, le MOTS-c ne montrait qu’une tendance</w:t>
            </w:r>
          </w:p>
        </w:tc>
      </w:tr>
      <w:tr>
        <w:tc>
          <w:tcPr/>
          <w:p>
            <w:pPr>
              <w:pStyle w:val="Compact"/>
              <w:jc w:val="left"/>
            </w:pPr>
            <w:r>
              <w:t xml:space="preserve">Dieli-Conwright 2021, PMID 34413391</w:t>
            </w:r>
          </w:p>
        </w:tc>
        <w:tc>
          <w:tcPr/>
          <w:p>
            <w:pPr>
              <w:pStyle w:val="Compact"/>
              <w:jc w:val="left"/>
            </w:pPr>
            <w:r>
              <w:t xml:space="preserve">49 femmes après un cancer du sein, entraînement ou prise en charge standard, randomisée</w:t>
            </w:r>
          </w:p>
        </w:tc>
        <w:tc>
          <w:tcPr/>
          <w:p>
            <w:pPr>
              <w:pStyle w:val="Compact"/>
              <w:jc w:val="left"/>
            </w:pPr>
            <w:r>
              <w:t xml:space="preserve">16 semaines</w:t>
            </w:r>
          </w:p>
        </w:tc>
        <w:tc>
          <w:tcPr/>
          <w:p>
            <w:pPr>
              <w:pStyle w:val="Compact"/>
              <w:jc w:val="left"/>
            </w:pPr>
            <w:r>
              <w:t xml:space="preserve">hausse du MOTS-c chez les femmes blanches non hispaniques, pas chez les femmes hispaniques</w:t>
            </w:r>
          </w:p>
        </w:tc>
      </w:tr>
      <w:tr>
        <w:tc>
          <w:tcPr/>
          <w:p>
            <w:pPr>
              <w:pStyle w:val="Compact"/>
              <w:jc w:val="left"/>
            </w:pPr>
            <w:r>
              <w:t xml:space="preserve">Elhusseiny 2025, PMID 40674654</w:t>
            </w:r>
          </w:p>
        </w:tc>
        <w:tc>
          <w:tcPr/>
          <w:p>
            <w:pPr>
              <w:pStyle w:val="Compact"/>
              <w:jc w:val="left"/>
            </w:pPr>
            <w:r>
              <w:t xml:space="preserve">19 hommes actifs avec jambe immobilisée, traitement par la chaleur ou simulé</w:t>
            </w:r>
          </w:p>
        </w:tc>
        <w:tc>
          <w:tcPr/>
          <w:p>
            <w:pPr>
              <w:pStyle w:val="Compact"/>
              <w:jc w:val="left"/>
            </w:pPr>
            <w:r>
              <w:t xml:space="preserve">2 semaines</w:t>
            </w:r>
          </w:p>
        </w:tc>
        <w:tc>
          <w:tcPr/>
          <w:p>
            <w:pPr>
              <w:pStyle w:val="Compact"/>
              <w:jc w:val="left"/>
            </w:pPr>
            <w:r>
              <w:t xml:space="preserve">la chaleur a augmenté le MOTS-c sanguin</w:t>
            </w:r>
          </w:p>
        </w:tc>
      </w:tr>
    </w:tbl>
    <w:p>
      <w:pPr>
        <w:pStyle w:val="BodyText"/>
      </w:pPr>
      <w:r>
        <w:t xml:space="preserve">Ces études montrent que des taux bas de MOTS-c vont souvent de pair avec le surpoids, la résistance à l’insuline, la stéatose hépatique ou des problèmes vasculaires</w:t>
      </w:r>
      <w:r>
        <w:rPr>
          <w:rStyle w:val="FootnoteReference"/>
        </w:rPr>
        <w:footnoteReference w:id="1821"/>
      </w:r>
      <w:r>
        <w:t xml:space="preserve"> </w:t>
      </w:r>
      <w:r>
        <w:t xml:space="preserve">et que l’exercice physique ou la chaleur peuvent augmenter les taux. Ce qu’elles ne montrent</w:t>
      </w:r>
      <w:r>
        <w:t xml:space="preserve"> </w:t>
      </w:r>
      <w:r>
        <w:rPr>
          <w:bCs/>
          <w:b/>
        </w:rPr>
        <w:t xml:space="preserve">pas</w:t>
      </w:r>
      <w:r>
        <w:t xml:space="preserve"> </w:t>
      </w:r>
      <w:r>
        <w:t xml:space="preserve">: que des taux bas causent les maladies, ou que du MOTS-c apporté les prévient. L’inverse peut tout aussi bien être vrai – la maladie fait baisser le taux.</w:t>
      </w:r>
    </w:p>
    <w:p>
      <w:pPr>
        <w:pStyle w:val="BodyText"/>
      </w:pPr>
      <w:r>
        <w:t xml:space="preserve">Une autre difficulté tient à la mesure elle-même. Les études utilisent différents tests (ELISA), dont les résultats varient fortement : chez les enfants, les moyennes se situaient autour de 470 à 560 ng/ml</w:t>
      </w:r>
      <w:r>
        <w:rPr>
          <w:rStyle w:val="FootnoteReference"/>
        </w:rPr>
        <w:footnoteReference w:id="1822"/>
      </w:r>
      <w:r>
        <w:t xml:space="preserve">, tandis que dans l’étude sur le diabète, une valeur inférieure à 167 ng/ml était considérée comme basse</w:t>
      </w:r>
      <w:r>
        <w:rPr>
          <w:rStyle w:val="FootnoteReference"/>
        </w:rPr>
        <w:footnoteReference w:id="1823"/>
      </w:r>
      <w:r>
        <w:t xml:space="preserve">. Dans une étude chez des patientes atteintes de cancer du sein, même la metformine – qui agit sur le même capteur énergétique – n’a pas modifié les taux mesurés avec un test du commerce</w:t>
      </w:r>
      <w:r>
        <w:rPr>
          <w:rStyle w:val="FootnoteReference"/>
        </w:rPr>
        <w:footnoteReference w:id="1824"/>
      </w:r>
      <w:r>
        <w:t xml:space="preserve">.</w:t>
      </w:r>
    </w:p>
    <w:p>
      <w:pPr>
        <w:pStyle w:val="BodyText"/>
      </w:pPr>
      <w:r>
        <w:rPr>
          <w:bCs/>
          <w:b/>
        </w:rPr>
        <w:t xml:space="preserve">Indices génétiques :</w:t>
      </w:r>
      <w:r>
        <w:t xml:space="preserve"> </w:t>
      </w:r>
      <w:r>
        <w:t xml:space="preserve">un variant du génome mitochondrial présent uniquement en Asie modifie un élément du MOTS-c (K14Q). Dans trois cohortes totalisant 27 527 personnes, les hommes porteurs de ce variant avaient plus souvent un diabète de type 2, surtout lorsqu’ils étaient peu actifs physiquement. Chez la souris, la forme modifiée du MOTS-c agissait plus faiblement</w:t>
      </w:r>
      <w:r>
        <w:rPr>
          <w:rStyle w:val="FootnoteReference"/>
        </w:rPr>
        <w:footnoteReference w:id="1825"/>
      </w:r>
      <w:r>
        <w:t xml:space="preserve">. C’est un indice intéressant que le MOTS-c pourrait jouer un rôle dans le métabolisme chez l’humain – mais pas une preuve du bénéfice d’un apport.</w:t>
      </w:r>
    </w:p>
    <w:bookmarkEnd w:id="1826"/>
    <w:bookmarkStart w:id="1828" w:name="X0ad321cfe6ca5c8e265669a71e65a142dde2725"/>
    <w:p>
      <w:pPr>
        <w:pStyle w:val="Heading4"/>
      </w:pPr>
      <w:r>
        <w:t xml:space="preserve">2. Administration comme substance active : CB4211</w:t>
      </w:r>
    </w:p>
    <w:p>
      <w:pPr>
        <w:pStyle w:val="FirstParagraph"/>
      </w:pPr>
      <w:r>
        <w:t xml:space="preserve">Le</w:t>
      </w:r>
      <w:r>
        <w:t xml:space="preserve"> </w:t>
      </w:r>
      <w:r>
        <w:rPr>
          <w:bCs/>
          <w:b/>
        </w:rPr>
        <w:t xml:space="preserve">CB4211</w:t>
      </w:r>
      <w:r>
        <w:t xml:space="preserve"> </w:t>
      </w:r>
      <w:r>
        <w:t xml:space="preserve">est un dérivé du MOTS-c développé par la société CohBar. L’étude de phase 1a/1b</w:t>
      </w:r>
      <w:r>
        <w:rPr>
          <w:rStyle w:val="FootnoteReference"/>
        </w:rPr>
        <w:footnoteReference w:id="1827"/>
      </w:r>
      <w:r>
        <w:t xml:space="preserve"> </w:t>
      </w:r>
      <w:r>
        <w:t xml:space="preserve">était randomisée, en double aveugle et contrôlée contre placebo et portait sur 88 participants : des personnes en bonne santé ont reçu des injections sous-cutanées uniques ou quotidiennes pendant sept jours, et des personnes obèses atteintes de stéatose hépatique pendant 28 jours. Les critères principaux étaient la sécurité et la tolérance ; les objectifs secondaires comprenaient notamment la graisse hépatique et le poids corporel. L’étude s’est achevée en avril 2021. Aucun résultat n’est déposé dans le registre, et notre recherche n’a pas permis de trouver de publication dans une revue spécialisée. En 2021, l’entreprise a annoncé par communiqué de presse des modifications favorables de certaines valeurs hépatiques et glycémiques, avec une bonne tolérance ; ces communiqués ne sont pas évalués de manière indépendante. Aucun développement ultérieur dans des études plus vastes n’est connu.</w:t>
      </w:r>
    </w:p>
    <w:p>
      <w:pPr>
        <w:pStyle w:val="BodyText"/>
      </w:pPr>
      <w:r>
        <w:t xml:space="preserve">Le</w:t>
      </w:r>
      <w:r>
        <w:t xml:space="preserve"> </w:t>
      </w:r>
      <w:r>
        <w:rPr>
          <w:bCs/>
          <w:b/>
        </w:rPr>
        <w:t xml:space="preserve">MOTS-c lui-même</w:t>
      </w:r>
      <w:r>
        <w:t xml:space="preserve"> </w:t>
      </w:r>
      <w:r>
        <w:t xml:space="preserve">n’a, selon notre recherche, été administré comme substance active chez l’humain dans aucune étude publiée ou enregistrée de façon fiable à ce jour. Une entrée de registre décrivant une telle étude de phase 2 s’est révélée douteuse (voir plus haut).</w:t>
      </w:r>
    </w:p>
    <w:p>
      <w:pPr>
        <w:pStyle w:val="BodyText"/>
      </w:pPr>
      <w:r>
        <w:t xml:space="preserve">D’ici là, il faut retenir : il n’existe</w:t>
      </w:r>
      <w:r>
        <w:t xml:space="preserve"> </w:t>
      </w:r>
      <w:r>
        <w:rPr>
          <w:bCs/>
          <w:b/>
        </w:rPr>
        <w:t xml:space="preserve">aucune donnée publiée</w:t>
      </w:r>
      <w:r>
        <w:t xml:space="preserve"> </w:t>
      </w:r>
      <w:r>
        <w:t xml:space="preserve">sur la question de savoir si des injections de MOTS-c influencent le métabolisme, les performances ou le vieillissement chez l’humain.</w:t>
      </w:r>
    </w:p>
    <w:bookmarkEnd w:id="1828"/>
    <w:bookmarkEnd w:id="1829"/>
    <w:bookmarkStart w:id="1834" w:name="études-animales-et-de-laboratoire-41"/>
    <w:p>
      <w:pPr>
        <w:pStyle w:val="Heading3"/>
      </w:pPr>
      <w:r>
        <w:t xml:space="preserve">Études animales et de laboratoire</w:t>
      </w:r>
    </w:p>
    <w:p>
      <w:pPr>
        <w:pStyle w:val="FirstParagraph"/>
      </w:pPr>
      <w:r>
        <w:t xml:space="preserve">La recherche préclinique est abondante et progresse rapidement :</w:t>
      </w:r>
    </w:p>
    <w:p>
      <w:pPr>
        <w:numPr>
          <w:ilvl w:val="0"/>
          <w:numId w:val="1228"/>
        </w:numPr>
        <w:pStyle w:val="Compact"/>
      </w:pPr>
      <w:r>
        <w:rPr>
          <w:bCs/>
          <w:b/>
        </w:rPr>
        <w:t xml:space="preserve">Métabolisme :</w:t>
      </w:r>
      <w:r>
        <w:t xml:space="preserve"> </w:t>
      </w:r>
      <w:r>
        <w:t xml:space="preserve">chez la souris, le MOTS-c a empêché le surpoids et la résistance à l’insuline d’origine alimentaire</w:t>
      </w:r>
      <w:r>
        <w:rPr>
          <w:rStyle w:val="FootnoteReference"/>
        </w:rPr>
        <w:footnoteReference w:id="1830"/>
      </w:r>
      <w:r>
        <w:t xml:space="preserve">.</w:t>
      </w:r>
    </w:p>
    <w:p>
      <w:pPr>
        <w:numPr>
          <w:ilvl w:val="0"/>
          <w:numId w:val="1228"/>
        </w:numPr>
        <w:pStyle w:val="Compact"/>
      </w:pPr>
      <w:r>
        <w:rPr>
          <w:bCs/>
          <w:b/>
        </w:rPr>
        <w:t xml:space="preserve">Muscle :</w:t>
      </w:r>
      <w:r>
        <w:t xml:space="preserve"> </w:t>
      </w:r>
      <w:r>
        <w:t xml:space="preserve">le MOTS-c a réduit chez des souris en surpoids la myostatine, messager de la dégradation musculaire ; chez l’humain, les taux sanguins de MOTS-c et de myostatine évoluaient en sens inverse</w:t>
      </w:r>
      <w:r>
        <w:rPr>
          <w:rStyle w:val="FootnoteReference"/>
        </w:rPr>
        <w:footnoteReference w:id="1831"/>
      </w:r>
      <w:r>
        <w:t xml:space="preserve">.</w:t>
      </w:r>
    </w:p>
    <w:p>
      <w:pPr>
        <w:numPr>
          <w:ilvl w:val="0"/>
          <w:numId w:val="1228"/>
        </w:numPr>
        <w:pStyle w:val="Compact"/>
      </w:pPr>
      <w:r>
        <w:rPr>
          <w:bCs/>
          <w:b/>
        </w:rPr>
        <w:t xml:space="preserve">Performance et âge :</w:t>
      </w:r>
      <w:r>
        <w:t xml:space="preserve"> </w:t>
      </w:r>
      <w:r>
        <w:t xml:space="preserve">le MOTS-c a augmenté la capacité physique de souris d’âges différents</w:t>
      </w:r>
      <w:r>
        <w:rPr>
          <w:rStyle w:val="FootnoteReference"/>
        </w:rPr>
        <w:footnoteReference w:id="1832"/>
      </w:r>
      <w:r>
        <w:t xml:space="preserve">.</w:t>
      </w:r>
    </w:p>
    <w:p>
      <w:pPr>
        <w:numPr>
          <w:ilvl w:val="0"/>
          <w:numId w:val="1228"/>
        </w:numPr>
        <w:pStyle w:val="Compact"/>
      </w:pPr>
      <w:r>
        <w:rPr>
          <w:bCs/>
          <w:b/>
        </w:rPr>
        <w:t xml:space="preserve">Pancréas :</w:t>
      </w:r>
      <w:r>
        <w:t xml:space="preserve"> </w:t>
      </w:r>
      <w:r>
        <w:t xml:space="preserve">chez la souris, le MOTS-c a retardé le vieillissement des cellules productrices d’insuline et l’apparition d’un diabète</w:t>
      </w:r>
      <w:r>
        <w:rPr>
          <w:rStyle w:val="FootnoteReference"/>
        </w:rPr>
        <w:footnoteReference w:id="1833"/>
      </w:r>
      <w:r>
        <w:t xml:space="preserve">.</w:t>
      </w:r>
    </w:p>
    <w:p>
      <w:pPr>
        <w:numPr>
          <w:ilvl w:val="0"/>
          <w:numId w:val="1228"/>
        </w:numPr>
        <w:pStyle w:val="Compact"/>
      </w:pPr>
      <w:r>
        <w:t xml:space="preserve">De nombreux autres travaux, principalement chinois, décrivent des effets protecteurs dans des modèles de lésions pulmonaires, cardiaques, hépatiques, osseuses et rénales.</w:t>
      </w:r>
    </w:p>
    <w:p>
      <w:pPr>
        <w:pStyle w:val="FirstParagraph"/>
      </w:pPr>
      <w:r>
        <w:t xml:space="preserve">L’abondance d’études animales positives est frappante. Elle montre que le MOTS-c est biologiquement actif ; elle dit peu de chose de son efficacité et de sa sécurité chez l’humain.</w:t>
      </w:r>
    </w:p>
    <w:bookmarkEnd w:id="1834"/>
    <w:bookmarkStart w:id="1837" w:name="risques-et-effets-indésirables-41"/>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publiées sur l’administration de MOTS-c chez l’humain.</w:t>
      </w:r>
    </w:p>
    <w:p>
      <w:pPr>
        <w:pStyle w:val="BodyText"/>
      </w:pPr>
      <w:r>
        <w:rPr>
          <w:bCs/>
          <w:b/>
        </w:rPr>
        <w:t xml:space="preserve">Théorique :</w:t>
      </w:r>
    </w:p>
    <w:p>
      <w:pPr>
        <w:numPr>
          <w:ilvl w:val="0"/>
          <w:numId w:val="1229"/>
        </w:numPr>
        <w:pStyle w:val="Compact"/>
      </w:pPr>
      <w:r>
        <w:rPr>
          <w:bCs/>
          <w:b/>
        </w:rPr>
        <w:t xml:space="preserve">Glycémie :</w:t>
      </w:r>
      <w:r>
        <w:t xml:space="preserve"> </w:t>
      </w:r>
      <w:r>
        <w:t xml:space="preserve">une substance qui augmente la sensibilité à l’insuline pourrait favoriser des hypoglycémies en association avec des médicaments antidiabétiques.</w:t>
      </w:r>
    </w:p>
    <w:p>
      <w:pPr>
        <w:numPr>
          <w:ilvl w:val="0"/>
          <w:numId w:val="1229"/>
        </w:numPr>
        <w:pStyle w:val="Compact"/>
      </w:pPr>
      <w:r>
        <w:rPr>
          <w:bCs/>
          <w:b/>
        </w:rPr>
        <w:t xml:space="preserve">Cancer :</w:t>
      </w:r>
      <w:r>
        <w:t xml:space="preserve"> </w:t>
      </w:r>
      <w:r>
        <w:t xml:space="preserve">dans des études de laboratoire, le MOTS-c freinait plutôt les cellules cancéreuses : il a inhibé la croissance de cellules de cancer de l’ovaire</w:t>
      </w:r>
      <w:r>
        <w:rPr>
          <w:rStyle w:val="FootnoteReference"/>
        </w:rPr>
        <w:footnoteReference w:id="1835"/>
      </w:r>
      <w:r>
        <w:t xml:space="preserve"> </w:t>
      </w:r>
      <w:r>
        <w:t xml:space="preserve">et a rendu des cellules de cancer du foie plus sensibles à la mort cellulaire programmée en cas de manque d’oxygène</w:t>
      </w:r>
      <w:r>
        <w:rPr>
          <w:rStyle w:val="FootnoteReference"/>
        </w:rPr>
        <w:footnoteReference w:id="1836"/>
      </w:r>
      <w:r>
        <w:t xml:space="preserve">. On n’a pas étudié si cela vaut chez l’humain ni quels sont les effets d’un apport pendant des années d’une molécule de signalisation métaboliquement active.</w:t>
      </w:r>
    </w:p>
    <w:p>
      <w:pPr>
        <w:numPr>
          <w:ilvl w:val="0"/>
          <w:numId w:val="1229"/>
        </w:numPr>
        <w:pStyle w:val="Compact"/>
      </w:pPr>
      <w:r>
        <w:rPr>
          <w:bCs/>
          <w:b/>
        </w:rPr>
        <w:t xml:space="preserve">Réactions immunitaires :</w:t>
      </w:r>
      <w:r>
        <w:t xml:space="preserve"> </w:t>
      </w:r>
      <w:r>
        <w:t xml:space="preserve">en cas d’injections répétées d’un peptide, des anticorps peuvent se former ; cela n’a pas été étudié pour le MOTS-c.</w:t>
      </w:r>
    </w:p>
    <w:p>
      <w:pPr>
        <w:pStyle w:val="FirstParagraph"/>
      </w:pPr>
      <w:r>
        <w:rPr>
          <w:bCs/>
          <w:b/>
        </w:rPr>
        <w:t xml:space="preserve">Marché gris et sport :</w:t>
      </w:r>
      <w:r>
        <w:t xml:space="preserve"> </w:t>
      </w:r>
      <w:r>
        <w:t xml:space="preserve">le MOTS-c fait partie des peptides de « longévité » et de fitness les plus populaires sur Internet et est vendu sous forme de poudre pour injection. La pureté et la teneur ne sont pas contrôlées. Pour les sportives et sportifs, son utilisation est expressément interdite (AMA S4).</w:t>
      </w:r>
    </w:p>
    <w:bookmarkEnd w:id="1837"/>
    <w:bookmarkStart w:id="1838" w:name="statut-juridique-41"/>
    <w:p>
      <w:pPr>
        <w:pStyle w:val="Heading3"/>
      </w:pPr>
      <w:r>
        <w:t xml:space="preserve">Statut juridique</w:t>
      </w:r>
    </w:p>
    <w:p>
      <w:pPr>
        <w:numPr>
          <w:ilvl w:val="0"/>
          <w:numId w:val="1230"/>
        </w:numPr>
        <w:pStyle w:val="Compact"/>
      </w:pPr>
      <w:r>
        <w:rPr>
          <w:bCs/>
          <w:b/>
        </w:rPr>
        <w:t xml:space="preserve">UE / Autriche / Allemagne :</w:t>
      </w:r>
      <w:r>
        <w:t xml:space="preserve"> </w:t>
      </w:r>
      <w:r>
        <w:t xml:space="preserve">non autorisé ; en tant que substance à effet pharmacologique, le MOTS-c est considéré comme un médicament, et sa vente en vue d’un usage humain n’est pas permise.</w:t>
      </w:r>
    </w:p>
    <w:p>
      <w:pPr>
        <w:numPr>
          <w:ilvl w:val="0"/>
          <w:numId w:val="1230"/>
        </w:numPr>
        <w:pStyle w:val="Compact"/>
      </w:pPr>
      <w:r>
        <w:rPr>
          <w:bCs/>
          <w:b/>
        </w:rPr>
        <w:t xml:space="preserve">États-Unis :</w:t>
      </w:r>
      <w:r>
        <w:t xml:space="preserve"> </w:t>
      </w:r>
      <w:r>
        <w:t xml:space="preserve">non autorisé. Après le vote favorable du PCAC en juillet 2026, le MOTS-c pourrait à l’avenir être utilisé dans des préparations magistrales en pharmacie, si la FDA suit cet avis ; la décision était en attente au moment de la clôture de la rédaction (état octobre 2026, à vérifier).</w:t>
      </w:r>
    </w:p>
    <w:p>
      <w:pPr>
        <w:numPr>
          <w:ilvl w:val="0"/>
          <w:numId w:val="1230"/>
        </w:numPr>
        <w:pStyle w:val="Compact"/>
      </w:pPr>
      <w:r>
        <w:rPr>
          <w:bCs/>
          <w:b/>
        </w:rPr>
        <w:t xml:space="preserve">Sport :</w:t>
      </w:r>
      <w:r>
        <w:t xml:space="preserve"> </w:t>
      </w:r>
      <w:r>
        <w:t xml:space="preserve">interdit selon la liste de l’AMA, catégorie S4 (état 2026, à vérifier).</w:t>
      </w:r>
    </w:p>
    <w:bookmarkEnd w:id="1838"/>
    <w:bookmarkStart w:id="1841" w:name="études-en-cours-et-perspectives-41"/>
    <w:p>
      <w:pPr>
        <w:pStyle w:val="Heading3"/>
      </w:pPr>
      <w:r>
        <w:t xml:space="preserve">Études en cours et perspectives</w:t>
      </w:r>
    </w:p>
    <w:p>
      <w:pPr>
        <w:pStyle w:val="FirstParagraph"/>
      </w:pPr>
      <w:r>
        <w:rPr>
          <w:bCs/>
          <w:b/>
        </w:rPr>
        <w:t xml:space="preserve">Établi (études enregistrées, état octobre 2026) :</w:t>
      </w:r>
    </w:p>
    <w:p>
      <w:pPr>
        <w:numPr>
          <w:ilvl w:val="0"/>
          <w:numId w:val="1231"/>
        </w:numPr>
        <w:pStyle w:val="Compact"/>
      </w:pPr>
      <w:r>
        <w:t xml:space="preserve">Il n’existe aucune étude enregistrée de façon fiable dans laquelle le MOTS-c est administré comme substance active.</w:t>
      </w:r>
    </w:p>
    <w:p>
      <w:pPr>
        <w:numPr>
          <w:ilvl w:val="0"/>
          <w:numId w:val="1231"/>
        </w:numPr>
        <w:pStyle w:val="Compact"/>
      </w:pPr>
      <w:r>
        <w:t xml:space="preserve">Plusieurs études observationnelles mesurent les taux de MOTS-c, par exemple lors d’une transplantation rénale</w:t>
      </w:r>
      <w:r>
        <w:rPr>
          <w:rStyle w:val="FootnoteReference"/>
        </w:rPr>
        <w:footnoteReference w:id="1839"/>
      </w:r>
      <w:r>
        <w:t xml:space="preserve"> </w:t>
      </w:r>
      <w:r>
        <w:t xml:space="preserve">ou dans le diabète sous différents médicaments</w:t>
      </w:r>
      <w:r>
        <w:rPr>
          <w:rStyle w:val="FootnoteReference"/>
        </w:rPr>
        <w:footnoteReference w:id="1840"/>
      </w:r>
      <w:r>
        <w:t xml:space="preserve">.</w:t>
      </w:r>
    </w:p>
    <w:p>
      <w:pPr>
        <w:pStyle w:val="FirstParagraph"/>
      </w:pPr>
      <w:r>
        <w:rPr>
          <w:bCs/>
          <w:b/>
        </w:rPr>
        <w:t xml:space="preserve">Appréciation :</w:t>
      </w:r>
      <w:r>
        <w:t xml:space="preserve"> </w:t>
      </w:r>
      <w:r>
        <w:t xml:space="preserve">la question centrale – le MOTS-c apporté améliore-t-il la sensibilité à l’insuline chez l’humain ? – n’a jusqu’ici été examinée par personne dans une étude publiée. Il faudrait d’abord pour cela une étude contrôlée de phase 1/2 avec des résultats publiés. D’ici là, toute affirmation sur un effet chez l’humain repose sur des expérimentations animales et des mesures de taux.</w:t>
      </w:r>
    </w:p>
    <w:bookmarkEnd w:id="1841"/>
    <w:bookmarkStart w:id="1842" w:name="conclusion-41"/>
    <w:p>
      <w:pPr>
        <w:pStyle w:val="Heading3"/>
      </w:pPr>
      <w:r>
        <w:t xml:space="preserve">Conclusion</w:t>
      </w:r>
    </w:p>
    <w:p>
      <w:pPr>
        <w:pStyle w:val="FirstParagraph"/>
      </w:pPr>
      <w:r>
        <w:t xml:space="preserve">Le MOTS-c est un peptide endogène codé dans le génome mitochondrial, qui a amélioré le métabolisme et la capacité physique chez la souris et dont le taux augmente chez l’humain après l’exercice. Les études observationnelles montrent des taux plus bas en cas de surpoids, de stéatose hépatique et de maladies vasculaires, mais ne démontrent ni une cause ni le bénéfice d’un apport. La seule étude terminée avec un dérivé du MOTS-c (CB4211) n’a pas été publiée dans une revue spécialisée, et il n’existe aucune étude publiée chez l’humain avec le MOTS-c lui-même. Les données ne suffisent pas pour juger du bénéfice ou de la sécurité chez l’humain ; dans le sport, le MOTS-c est interdit.</w:t>
      </w:r>
    </w:p>
    <w:bookmarkEnd w:id="1842"/>
    <w:bookmarkEnd w:id="1843"/>
    <w:bookmarkStart w:id="1866" w:name="humanine"/>
    <w:p>
      <w:pPr>
        <w:pStyle w:val="Heading2"/>
      </w:pPr>
      <w:r>
        <w:t xml:space="preserve">Humanine</w:t>
      </w:r>
    </w:p>
    <w:bookmarkStart w:id="1844" w:name="fiche-signalétique-42"/>
    <w:p>
      <w:pPr>
        <w:pStyle w:val="Heading3"/>
      </w:pPr>
      <w:r>
        <w:t xml:space="preserve">Fiche signalétique</w:t>
      </w:r>
    </w:p>
    <w:p>
      <w:pPr>
        <w:numPr>
          <w:ilvl w:val="0"/>
          <w:numId w:val="1232"/>
        </w:numPr>
        <w:pStyle w:val="Compact"/>
      </w:pPr>
      <w:r>
        <w:rPr>
          <w:bCs/>
          <w:b/>
        </w:rPr>
        <w:t xml:space="preserve">Nature et structure :</w:t>
      </w:r>
      <w:r>
        <w:t xml:space="preserve"> </w:t>
      </w:r>
      <w:r>
        <w:t xml:space="preserve">peptide endogène de 24 acides aminés. Sur le marché gris et en recherche, on utilise le plus souvent la forme modifiée</w:t>
      </w:r>
      <w:r>
        <w:t xml:space="preserve"> </w:t>
      </w:r>
      <w:r>
        <w:rPr>
          <w:bCs/>
          <w:b/>
        </w:rPr>
        <w:t xml:space="preserve">HNG</w:t>
      </w:r>
      <w:r>
        <w:t xml:space="preserve"> </w:t>
      </w:r>
      <w:r>
        <w:t xml:space="preserve">(humanine-G, aussi S14G-humanine), dans laquelle la sérine en position 14 est remplacée par une glycine ; elle agit nettement plus fortement dans les expériences de laboratoire.</w:t>
      </w:r>
    </w:p>
    <w:p>
      <w:pPr>
        <w:numPr>
          <w:ilvl w:val="0"/>
          <w:numId w:val="1232"/>
        </w:numPr>
        <w:pStyle w:val="Compact"/>
      </w:pPr>
      <w:r>
        <w:rPr>
          <w:bCs/>
          <w:b/>
        </w:rPr>
        <w:t xml:space="preserve">Origine :</w:t>
      </w:r>
      <w:r>
        <w:t xml:space="preserve"> </w:t>
      </w:r>
      <w:r>
        <w:t xml:space="preserve">découverte en 2001 par des chercheurs japonais alors qu’ils cherchaient, dans le tissu cérébral d’une personne atteinte de la maladie d’Alzheimer, des facteurs protégeant les neurones de la mort – d’où son nom. Elle est codée dans le génome des mitochondries ; des séquences semblables existent aussi dans le génome du noyau cellulaire.</w:t>
      </w:r>
    </w:p>
    <w:p>
      <w:pPr>
        <w:numPr>
          <w:ilvl w:val="0"/>
          <w:numId w:val="1232"/>
        </w:numPr>
        <w:pStyle w:val="Compact"/>
      </w:pPr>
      <w:r>
        <w:rPr>
          <w:bCs/>
          <w:b/>
        </w:rPr>
        <w:t xml:space="preserve">Principe d’action :</w:t>
      </w:r>
      <w:r>
        <w:t xml:space="preserve"> </w:t>
      </w:r>
      <w:r>
        <w:t xml:space="preserve">« mitokine » (molécule de signalisation des mitochondries) censée protéger les cellules de la mort cellulaire programmée. Elle se lie notamment à un complexe de récepteurs formé du récepteur du CNTF, de WSX-1 et de gp130 à la surface des cellules.</w:t>
      </w:r>
    </w:p>
    <w:p>
      <w:pPr>
        <w:numPr>
          <w:ilvl w:val="0"/>
          <w:numId w:val="1232"/>
        </w:numPr>
        <w:pStyle w:val="Compact"/>
      </w:pPr>
      <w:r>
        <w:rPr>
          <w:bCs/>
          <w:b/>
        </w:rPr>
        <w:t xml:space="preserve">Autorisation UE :</w:t>
      </w:r>
      <w:r>
        <w:t xml:space="preserve"> </w:t>
      </w:r>
      <w:r>
        <w:t xml:space="preserve">non.</w:t>
      </w:r>
    </w:p>
    <w:p>
      <w:pPr>
        <w:numPr>
          <w:ilvl w:val="0"/>
          <w:numId w:val="1232"/>
        </w:numPr>
        <w:pStyle w:val="Compact"/>
      </w:pPr>
      <w:r>
        <w:rPr>
          <w:bCs/>
          <w:b/>
        </w:rPr>
        <w:t xml:space="preserve">Autorisation États-Unis :</w:t>
      </w:r>
      <w:r>
        <w:t xml:space="preserve"> </w:t>
      </w:r>
      <w:r>
        <w:t xml:space="preserve">non.</w:t>
      </w:r>
    </w:p>
    <w:p>
      <w:pPr>
        <w:numPr>
          <w:ilvl w:val="0"/>
          <w:numId w:val="1232"/>
        </w:numPr>
        <w:pStyle w:val="Compact"/>
      </w:pPr>
      <w:r>
        <w:rPr>
          <w:bCs/>
          <w:b/>
        </w:rPr>
        <w:t xml:space="preserve">AMA (WADA) :</w:t>
      </w:r>
      <w:r>
        <w:t xml:space="preserve"> </w:t>
      </w:r>
      <w:r>
        <w:t xml:space="preserve">pas nommément listée ; en tant que substance autorisée nulle part, l’humanine ou la HNG relève selon notre appréciation de la catégorie générale S0.</w:t>
      </w:r>
    </w:p>
    <w:p>
      <w:pPr>
        <w:numPr>
          <w:ilvl w:val="0"/>
          <w:numId w:val="1232"/>
        </w:numPr>
        <w:pStyle w:val="Compact"/>
      </w:pPr>
      <w:r>
        <w:rPr>
          <w:bCs/>
          <w:b/>
        </w:rPr>
        <w:t xml:space="preserve">Niveau de preuve :</w:t>
      </w:r>
      <w:r>
        <w:t xml:space="preserve"> </w:t>
      </w:r>
      <w:r>
        <w:rPr>
          <w:bCs/>
          <w:b/>
        </w:rPr>
        <w:t xml:space="preserve">D</w:t>
      </w:r>
      <w:r>
        <w:t xml:space="preserve"> </w:t>
      </w:r>
      <w:r>
        <w:t xml:space="preserve">pour l’administration comme substance active – pas une seule étude dans laquelle des personnes ont reçu de l’humanine ou de la HNG ; chez l’humain, il n’existe que des mesures des taux endogènes.</w:t>
      </w:r>
    </w:p>
    <w:bookmarkEnd w:id="1844"/>
    <w:bookmarkStart w:id="1848" w:name="mode-daction-supposé-42"/>
    <w:p>
      <w:pPr>
        <w:pStyle w:val="Heading3"/>
      </w:pPr>
      <w:r>
        <w:t xml:space="preserve">Mode d’action supposé</w:t>
      </w:r>
    </w:p>
    <w:p>
      <w:pPr>
        <w:pStyle w:val="FirstParagraph"/>
      </w:pPr>
      <w:r>
        <w:t xml:space="preserve">En 2001, les découvreurs ont cherché, dans une banque de gènes issue de tissu cérébral, des séquences protégeant les neurones contre les effets toxiques des gènes de la maladie d’Alzheimer. Ils ont trouvé un peptide court qui, dans des cultures cellulaires, préservait les neurones de nombreuses lésions typiques de la maladie d’Alzheimer – contre l’amyloïde-bêta et contre l’effet de plusieurs mutations héréditaires de la maladie d’Alzheimer, mais pas contre d’autres substances toxiques comme le glutamate ou des fragments de prions</w:t>
      </w:r>
      <w:r>
        <w:rPr>
          <w:rStyle w:val="FootnoteReference"/>
        </w:rPr>
        <w:footnoteReference w:id="1845"/>
      </w:r>
      <w:r>
        <w:t xml:space="preserve">. La variante HNG s’est alors montrée plus efficace que d’autres facteurs protecteurs testés.</w:t>
      </w:r>
    </w:p>
    <w:p>
      <w:pPr>
        <w:pStyle w:val="BodyText"/>
      </w:pPr>
      <w:r>
        <w:t xml:space="preserve">Le même groupe a montré plus tard que l’humanine se lie à un complexe de récepteurs appartenant à la famille des récepteurs de cytokines (récepteur du CNTF, WSX-1 et gp130) et agit par l’intermédiaire de la molécule de signalisation STAT3</w:t>
      </w:r>
      <w:r>
        <w:rPr>
          <w:rStyle w:val="FootnoteReference"/>
        </w:rPr>
        <w:footnoteReference w:id="1846"/>
      </w:r>
      <w:r>
        <w:t xml:space="preserve">. En outre, des études de laboratoire décrivent des liaisons à des protéines qui pilotent la mort cellulaire et au partenaire de liaison des facteurs de croissance IGFBP-3.</w:t>
      </w:r>
    </w:p>
    <w:p>
      <w:pPr>
        <w:pStyle w:val="BodyText"/>
      </w:pPr>
      <w:r>
        <w:t xml:space="preserve">Une particularité : l’humanine est, comme le MOTS-c (voir chapitre précédent), codée dans le génome des mitochondries. Ces « peptides mitochondriaux » sont considérés comme un nouveau niveau de signalisation par lequel les mitochondries communiquent avec le reste de l’organisme</w:t>
      </w:r>
      <w:r>
        <w:rPr>
          <w:rStyle w:val="FootnoteReference"/>
        </w:rPr>
        <w:footnoteReference w:id="1847"/>
      </w:r>
      <w:r>
        <w:t xml:space="preserve">.</w:t>
      </w:r>
    </w:p>
    <w:bookmarkEnd w:id="1848"/>
    <w:bookmarkStart w:id="1852" w:name="études-chez-lhumain-42"/>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8 publications classées comme études chez l’humain ; dans aucune d’elles l’humanine n’a été administrée. Elles examinent comment les taux endogènes évoluent sous l’effet de l’entraînement, de l’oxygénothérapie ou de compléments alimentaires, ou concernent des cellules de patientes et patients en laboratoire. Au total, PubMed recense environ 550 travaux sur l’humanine. Sur ClinicalTrials.gov, 3 études sont enregistrées, toutes des études observationnelles sur les taux d’humanine (lors d’opérations cardiaques, d’insuffisance rénale aiguë et de transplantation rénale).</w:t>
      </w:r>
    </w:p>
    <w:bookmarkStart w:id="1850" w:name="taux-et-âge"/>
    <w:p>
      <w:pPr>
        <w:pStyle w:val="Heading4"/>
      </w:pPr>
      <w:r>
        <w:t xml:space="preserve">Taux et âge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Lee 2014, PMID 25040290</w:t>
            </w:r>
          </w:p>
        </w:tc>
        <w:tc>
          <w:tcPr/>
          <w:p>
            <w:pPr>
              <w:pStyle w:val="Compact"/>
              <w:jc w:val="left"/>
            </w:pPr>
            <w:r>
              <w:t xml:space="preserve">souris et humains, observation et administration d’hormones</w:t>
            </w:r>
          </w:p>
        </w:tc>
        <w:tc>
          <w:tcPr/>
          <w:p>
            <w:pPr>
              <w:pStyle w:val="Compact"/>
              <w:jc w:val="left"/>
            </w:pPr>
            <w:r>
              <w:t xml:space="preserve">–</w:t>
            </w:r>
          </w:p>
        </w:tc>
        <w:tc>
          <w:tcPr/>
          <w:p>
            <w:pPr>
              <w:pStyle w:val="Compact"/>
              <w:jc w:val="left"/>
            </w:pPr>
            <w:r>
              <w:t xml:space="preserve">les taux d’humanine baissent avec l’âge ; l’hormone de croissance et l’IGF-1 les ont abaissés chez la souris et chez l’humain</w:t>
            </w:r>
          </w:p>
        </w:tc>
      </w:tr>
      <w:tr>
        <w:tc>
          <w:tcPr/>
          <w:p>
            <w:pPr>
              <w:pStyle w:val="Compact"/>
              <w:jc w:val="left"/>
            </w:pPr>
            <w:r>
              <w:t xml:space="preserve">Yen 2020, PMID 32575074</w:t>
            </w:r>
          </w:p>
        </w:tc>
        <w:tc>
          <w:tcPr/>
          <w:p>
            <w:pPr>
              <w:pStyle w:val="Compact"/>
              <w:jc w:val="left"/>
            </w:pPr>
            <w:r>
              <w:t xml:space="preserve">enfants de centenaires et témoins ; modèles animaux</w:t>
            </w:r>
          </w:p>
        </w:tc>
        <w:tc>
          <w:tcPr/>
          <w:p>
            <w:pPr>
              <w:pStyle w:val="Compact"/>
              <w:jc w:val="left"/>
            </w:pPr>
            <w:r>
              <w:t xml:space="preserve">transversale</w:t>
            </w:r>
          </w:p>
        </w:tc>
        <w:tc>
          <w:tcPr/>
          <w:p>
            <w:pPr>
              <w:pStyle w:val="Compact"/>
              <w:jc w:val="left"/>
            </w:pPr>
            <w:r>
              <w:t xml:space="preserve">taux nettement plus élevés chez les enfants de centenaires ; plus faibles dans la maladie d’Alzheimer et le MELAS</w:t>
            </w:r>
          </w:p>
        </w:tc>
      </w:tr>
      <w:tr>
        <w:tc>
          <w:tcPr/>
          <w:p>
            <w:pPr>
              <w:pStyle w:val="Compact"/>
              <w:jc w:val="left"/>
            </w:pPr>
            <w:r>
              <w:t xml:space="preserve">Miller 2024, PMID 38520065</w:t>
            </w:r>
          </w:p>
        </w:tc>
        <w:tc>
          <w:tcPr/>
          <w:p>
            <w:pPr>
              <w:pStyle w:val="Compact"/>
              <w:jc w:val="left"/>
            </w:pPr>
            <w:r>
              <w:t xml:space="preserve">centenaires porteurs du gène de risque de la maladie d’Alzheimer APOE4 ; modèle murin</w:t>
            </w:r>
          </w:p>
        </w:tc>
        <w:tc>
          <w:tcPr/>
          <w:p>
            <w:pPr>
              <w:pStyle w:val="Compact"/>
              <w:jc w:val="left"/>
            </w:pPr>
            <w:r>
              <w:t xml:space="preserve">analyse génétique</w:t>
            </w:r>
          </w:p>
        </w:tc>
        <w:tc>
          <w:tcPr/>
          <w:p>
            <w:pPr>
              <w:pStyle w:val="Compact"/>
              <w:jc w:val="left"/>
            </w:pPr>
            <w:r>
              <w:t xml:space="preserve">variant rare de l’humanine P3S plus fréquent chez les porteurs d’APOE4 longévifs</w:t>
            </w:r>
          </w:p>
        </w:tc>
      </w:tr>
      <w:tr>
        <w:tc>
          <w:tcPr/>
          <w:p>
            <w:pPr>
              <w:pStyle w:val="Compact"/>
              <w:jc w:val="left"/>
            </w:pPr>
            <w:r>
              <w:t xml:space="preserve">Gidlund 2016, PMID 27923980</w:t>
            </w:r>
          </w:p>
        </w:tc>
        <w:tc>
          <w:tcPr/>
          <w:p>
            <w:pPr>
              <w:pStyle w:val="Compact"/>
              <w:jc w:val="left"/>
            </w:pPr>
            <w:r>
              <w:t xml:space="preserve">55 hommes avec trouble du métabolisme glucidique, musculation, marche nordique ou témoin, randomisée</w:t>
            </w:r>
          </w:p>
        </w:tc>
        <w:tc>
          <w:tcPr/>
          <w:p>
            <w:pPr>
              <w:pStyle w:val="Compact"/>
              <w:jc w:val="left"/>
            </w:pPr>
            <w:r>
              <w:t xml:space="preserve">12 semaines</w:t>
            </w:r>
          </w:p>
        </w:tc>
        <w:tc>
          <w:tcPr/>
          <w:p>
            <w:pPr>
              <w:pStyle w:val="Compact"/>
              <w:jc w:val="left"/>
            </w:pPr>
            <w:r>
              <w:t xml:space="preserve">humanine musculaire 35 % plus élevée après musculation, inchangée dans le sang</w:t>
            </w:r>
          </w:p>
        </w:tc>
      </w:tr>
      <w:tr>
        <w:tc>
          <w:tcPr/>
          <w:p>
            <w:pPr>
              <w:pStyle w:val="Compact"/>
              <w:jc w:val="left"/>
            </w:pPr>
            <w:r>
              <w:t xml:space="preserve">von Walden 2021, PMID 34351816</w:t>
            </w:r>
          </w:p>
        </w:tc>
        <w:tc>
          <w:tcPr/>
          <w:p>
            <w:pPr>
              <w:pStyle w:val="Compact"/>
              <w:jc w:val="left"/>
            </w:pPr>
            <w:r>
              <w:t xml:space="preserve">30 personnes, une séance d’endurance ou de force ou témoin, randomisée</w:t>
            </w:r>
          </w:p>
        </w:tc>
        <w:tc>
          <w:tcPr/>
          <w:p>
            <w:pPr>
              <w:pStyle w:val="Compact"/>
              <w:jc w:val="left"/>
            </w:pPr>
            <w:r>
              <w:t xml:space="preserve">unique</w:t>
            </w:r>
          </w:p>
        </w:tc>
        <w:tc>
          <w:tcPr/>
          <w:p>
            <w:pPr>
              <w:pStyle w:val="Compact"/>
              <w:jc w:val="left"/>
            </w:pPr>
            <w:r>
              <w:t xml:space="preserve">humanine sanguine augmentée après un effort d’endurance</w:t>
            </w:r>
          </w:p>
        </w:tc>
      </w:tr>
      <w:tr>
        <w:tc>
          <w:tcPr/>
          <w:p>
            <w:pPr>
              <w:pStyle w:val="Compact"/>
              <w:jc w:val="left"/>
            </w:pPr>
            <w:r>
              <w:t xml:space="preserve">Xu 2019, PMID 31134827</w:t>
            </w:r>
          </w:p>
        </w:tc>
        <w:tc>
          <w:tcPr/>
          <w:p>
            <w:pPr>
              <w:pStyle w:val="Compact"/>
              <w:jc w:val="left"/>
            </w:pPr>
            <w:r>
              <w:t xml:space="preserve">158 personnes atteintes de démence vasculaire, oxygénothérapie hyperbare ou standard</w:t>
            </w:r>
          </w:p>
        </w:tc>
        <w:tc>
          <w:tcPr/>
          <w:p>
            <w:pPr>
              <w:pStyle w:val="Compact"/>
              <w:jc w:val="left"/>
            </w:pPr>
            <w:r>
              <w:t xml:space="preserve">12 semaines</w:t>
            </w:r>
          </w:p>
        </w:tc>
        <w:tc>
          <w:tcPr/>
          <w:p>
            <w:pPr>
              <w:pStyle w:val="Compact"/>
              <w:jc w:val="left"/>
            </w:pPr>
            <w:r>
              <w:t xml:space="preserve">taux d’humanine et scores au MMSE plus élevés sous oxygénothérapie hyperbare</w:t>
            </w:r>
          </w:p>
        </w:tc>
      </w:tr>
    </w:tbl>
    <w:p>
      <w:pPr>
        <w:pStyle w:val="BodyText"/>
      </w:pPr>
      <w:r>
        <w:t xml:space="preserve">Les observations donnent un tableau cohérent : les taux d’humanine baissent avec l’âge, sont plus élevés chez les enfants de personnes très âgées, plus faibles dans certaines maladies et augmentent avec l’exercice. Le lien avec le système de l’hormone de croissance est intéressant : l’hormone de croissance et l’IGF-1 ont abaissé les taux d’humanine chez la souris et chez l’humain, et des souris longévives présentant un déficit en hormone de croissance avaient des taux élevés</w:t>
      </w:r>
      <w:r>
        <w:rPr>
          <w:rStyle w:val="FootnoteReference"/>
        </w:rPr>
        <w:footnoteReference w:id="1849"/>
      </w:r>
      <w:r>
        <w:t xml:space="preserve">. C’est remarquable, car des sécrétagogues de l’hormone de croissance sont souvent proposés sur ce même marché gris (voir la partie II · C).</w:t>
      </w:r>
    </w:p>
    <w:p>
      <w:pPr>
        <w:pStyle w:val="BodyText"/>
      </w:pPr>
      <w:r>
        <w:t xml:space="preserve">Mais ici aussi, il faut le rappeler : un taux associé à la santé ne prouve pas qu’un apport rende plus sain. L’humanine pourrait tout aussi bien être un signe concomitant de mitochondries en bonne santé, sans en être elle-même la cause.</w:t>
      </w:r>
    </w:p>
    <w:bookmarkEnd w:id="1850"/>
    <w:bookmarkStart w:id="1851" w:name="administration-comme-substance-active"/>
    <w:p>
      <w:pPr>
        <w:pStyle w:val="Heading4"/>
      </w:pPr>
      <w:r>
        <w:t xml:space="preserve">Administration comme substance active</w:t>
      </w:r>
    </w:p>
    <w:p>
      <w:pPr>
        <w:pStyle w:val="FirstParagraph"/>
      </w:pPr>
      <w:r>
        <w:t xml:space="preserve">Il n’existe aucune étude publiée ni aucune entrée de registre dans laquelle des personnes ont reçu de l’humanine ou de la HNG (requête d’octobre 2026). Aucun rapport de cas d’effets indésirables après auto-administration n’a non plus été trouvé.</w:t>
      </w:r>
    </w:p>
    <w:bookmarkEnd w:id="1851"/>
    <w:bookmarkEnd w:id="1852"/>
    <w:bookmarkStart w:id="1858" w:name="études-animales-et-de-laboratoire-42"/>
    <w:p>
      <w:pPr>
        <w:pStyle w:val="Heading3"/>
      </w:pPr>
      <w:r>
        <w:t xml:space="preserve">Études animales et de laboratoire</w:t>
      </w:r>
    </w:p>
    <w:p>
      <w:pPr>
        <w:pStyle w:val="FirstParagraph"/>
      </w:pPr>
      <w:r>
        <w:t xml:space="preserve">La littérature préclinique est abondante :</w:t>
      </w:r>
    </w:p>
    <w:p>
      <w:pPr>
        <w:numPr>
          <w:ilvl w:val="0"/>
          <w:numId w:val="1233"/>
        </w:numPr>
        <w:pStyle w:val="Compact"/>
      </w:pPr>
      <w:r>
        <w:rPr>
          <w:bCs/>
          <w:b/>
        </w:rPr>
        <w:t xml:space="preserve">Durée de vie :</w:t>
      </w:r>
      <w:r>
        <w:t xml:space="preserve"> </w:t>
      </w:r>
      <w:r>
        <w:t xml:space="preserve">chez des nématodes, une production accrue d’humanine a prolongé la durée de vie ; chez des souris d’âge moyen, la HNG a amélioré des paramètres métaboliques et abaissé des marqueurs de l’inflammation</w:t>
      </w:r>
      <w:r>
        <w:rPr>
          <w:rStyle w:val="FootnoteReference"/>
        </w:rPr>
        <w:footnoteReference w:id="1853"/>
      </w:r>
      <w:r>
        <w:t xml:space="preserve">.</w:t>
      </w:r>
    </w:p>
    <w:p>
      <w:pPr>
        <w:numPr>
          <w:ilvl w:val="0"/>
          <w:numId w:val="1233"/>
        </w:numPr>
        <w:pStyle w:val="Compact"/>
      </w:pPr>
      <w:r>
        <w:rPr>
          <w:bCs/>
          <w:b/>
        </w:rPr>
        <w:t xml:space="preserve">Cœur :</w:t>
      </w:r>
      <w:r>
        <w:t xml:space="preserve"> </w:t>
      </w:r>
      <w:r>
        <w:t xml:space="preserve">chez la souris, la HNG a réduit la taille de l’infarctus après un infarctus provoqué artificiellement</w:t>
      </w:r>
      <w:r>
        <w:rPr>
          <w:rStyle w:val="FootnoteReference"/>
        </w:rPr>
        <w:footnoteReference w:id="1854"/>
      </w:r>
      <w:r>
        <w:t xml:space="preserve"> </w:t>
      </w:r>
      <w:r>
        <w:t xml:space="preserve">; un traitement de 14 mois chez des souris âgées a réduit la fibrose du muscle cardiaque liée à l’âge</w:t>
      </w:r>
      <w:r>
        <w:rPr>
          <w:rStyle w:val="FootnoteReference"/>
        </w:rPr>
        <w:footnoteReference w:id="1855"/>
      </w:r>
      <w:r>
        <w:t xml:space="preserve">.</w:t>
      </w:r>
    </w:p>
    <w:p>
      <w:pPr>
        <w:numPr>
          <w:ilvl w:val="0"/>
          <w:numId w:val="1233"/>
        </w:numPr>
        <w:pStyle w:val="Compact"/>
      </w:pPr>
      <w:r>
        <w:rPr>
          <w:bCs/>
          <w:b/>
        </w:rPr>
        <w:t xml:space="preserve">Modèles de la maladie d’Alzheimer :</w:t>
      </w:r>
      <w:r>
        <w:t xml:space="preserve"> </w:t>
      </w:r>
      <w:r>
        <w:t xml:space="preserve">le variant rare P3S a réduit chez des souris porteuses d’APOE4 les dépôts amyloïdes plus fortement que l’humanine normale</w:t>
      </w:r>
      <w:r>
        <w:rPr>
          <w:rStyle w:val="FootnoteReference"/>
        </w:rPr>
        <w:footnoteReference w:id="1856"/>
      </w:r>
      <w:r>
        <w:t xml:space="preserve">.</w:t>
      </w:r>
    </w:p>
    <w:p>
      <w:pPr>
        <w:numPr>
          <w:ilvl w:val="0"/>
          <w:numId w:val="1233"/>
        </w:numPr>
        <w:pStyle w:val="Compact"/>
      </w:pPr>
      <w:r>
        <w:rPr>
          <w:bCs/>
          <w:b/>
        </w:rPr>
        <w:t xml:space="preserve">Rétine :</w:t>
      </w:r>
      <w:r>
        <w:t xml:space="preserve"> </w:t>
      </w:r>
      <w:r>
        <w:t xml:space="preserve">dans des modèles cellulaires contenant des mitochondries de personnes atteintes de dégénérescence maculaire liée à l’âge, la HNG a protégé contre les lésions cellulaires</w:t>
      </w:r>
      <w:r>
        <w:rPr>
          <w:rStyle w:val="FootnoteReference"/>
        </w:rPr>
        <w:footnoteReference w:id="1857"/>
      </w:r>
      <w:r>
        <w:t xml:space="preserve">.</w:t>
      </w:r>
    </w:p>
    <w:bookmarkEnd w:id="1858"/>
    <w:bookmarkStart w:id="1861" w:name="risques-et-effets-indésirables-42"/>
    <w:p>
      <w:pPr>
        <w:pStyle w:val="Heading3"/>
      </w:pPr>
      <w:r>
        <w:t xml:space="preserve">Risques et effets indésirables</w:t>
      </w:r>
    </w:p>
    <w:p>
      <w:pPr>
        <w:pStyle w:val="FirstParagraph"/>
      </w:pPr>
      <w:r>
        <w:rPr>
          <w:bCs/>
          <w:b/>
        </w:rPr>
        <w:t xml:space="preserve">Établi :</w:t>
      </w:r>
      <w:r>
        <w:t xml:space="preserve"> </w:t>
      </w:r>
      <w:r>
        <w:t xml:space="preserve">il n’existe pas de données de sécurité sur l’administration chez l’humain.</w:t>
      </w:r>
    </w:p>
    <w:p>
      <w:pPr>
        <w:pStyle w:val="BodyText"/>
      </w:pPr>
      <w:r>
        <w:rPr>
          <w:bCs/>
          <w:b/>
        </w:rPr>
        <w:t xml:space="preserve">Théorique – avec des signaux d’alerte concrets issus du laboratoire :</w:t>
      </w:r>
    </w:p>
    <w:p>
      <w:pPr>
        <w:numPr>
          <w:ilvl w:val="0"/>
          <w:numId w:val="1234"/>
        </w:numPr>
        <w:pStyle w:val="Compact"/>
      </w:pPr>
      <w:r>
        <w:rPr>
          <w:bCs/>
          <w:b/>
        </w:rPr>
        <w:t xml:space="preserve">Cancer :</w:t>
      </w:r>
      <w:r>
        <w:t xml:space="preserve"> </w:t>
      </w:r>
      <w:r>
        <w:t xml:space="preserve">l’humanine protège les cellules de la mort cellulaire programmée – et cela vaut aussi pour les cellules cancéreuses. Chez des souris atteintes de cancer du sein triple négatif, l’humanine apportée a réduit la mort cellulaire dans la tumeur, affaibli l’effet de la chimiothérapie et accéléré la croissance tumorale et les métastases pulmonaires. Dans des biopsies de ce type de cancer du sein, l’humanine était détectable en quantité accrue. Les auteurs recommandent expressément la prudence quant à l’utilisation de l’humanine contre les maladies dégénératives</w:t>
      </w:r>
      <w:r>
        <w:rPr>
          <w:rStyle w:val="FootnoteReference"/>
        </w:rPr>
        <w:footnoteReference w:id="1859"/>
      </w:r>
      <w:r>
        <w:t xml:space="preserve">.</w:t>
      </w:r>
    </w:p>
    <w:p>
      <w:pPr>
        <w:numPr>
          <w:ilvl w:val="0"/>
          <w:numId w:val="1234"/>
        </w:numPr>
        <w:pStyle w:val="Compact"/>
      </w:pPr>
      <w:r>
        <w:rPr>
          <w:bCs/>
          <w:b/>
        </w:rPr>
        <w:t xml:space="preserve">Inflammation des cellules vieillies :</w:t>
      </w:r>
      <w:r>
        <w:t xml:space="preserve"> </w:t>
      </w:r>
      <w:r>
        <w:t xml:space="preserve">dans des expériences cellulaires, l’humanine et le MOTS-c ont renforcé la sécrétion de messagers inflammatoires par des cellules vieillies (« sénescentes »)</w:t>
      </w:r>
      <w:r>
        <w:rPr>
          <w:rStyle w:val="FootnoteReference"/>
        </w:rPr>
        <w:footnoteReference w:id="1860"/>
      </w:r>
      <w:r>
        <w:t xml:space="preserve">.</w:t>
      </w:r>
    </w:p>
    <w:p>
      <w:pPr>
        <w:numPr>
          <w:ilvl w:val="0"/>
          <w:numId w:val="1234"/>
        </w:numPr>
        <w:pStyle w:val="Compact"/>
      </w:pPr>
      <w:r>
        <w:rPr>
          <w:bCs/>
          <w:b/>
        </w:rPr>
        <w:t xml:space="preserve">Réactions immunitaires :</w:t>
      </w:r>
      <w:r>
        <w:t xml:space="preserve"> </w:t>
      </w:r>
      <w:r>
        <w:t xml:space="preserve">en cas d’injection répétée d’un peptide, des anticorps peuvent se former ; non étudié.</w:t>
      </w:r>
    </w:p>
    <w:p>
      <w:pPr>
        <w:pStyle w:val="FirstParagraph"/>
      </w:pPr>
      <w:r>
        <w:rPr>
          <w:bCs/>
          <w:b/>
        </w:rPr>
        <w:t xml:space="preserve">Marché gris :</w:t>
      </w:r>
      <w:r>
        <w:t xml:space="preserve"> </w:t>
      </w:r>
      <w:r>
        <w:t xml:space="preserve">l’humanine et la HNG sont proposées comme « peptides de longévité » pour injection. La teneur, la pureté et la stérilité ne sont pas contrôlées.</w:t>
      </w:r>
    </w:p>
    <w:bookmarkEnd w:id="1861"/>
    <w:bookmarkStart w:id="1862" w:name="statut-juridique-42"/>
    <w:p>
      <w:pPr>
        <w:pStyle w:val="Heading3"/>
      </w:pPr>
      <w:r>
        <w:t xml:space="preserve">Statut juridique</w:t>
      </w:r>
    </w:p>
    <w:p>
      <w:pPr>
        <w:numPr>
          <w:ilvl w:val="0"/>
          <w:numId w:val="1235"/>
        </w:numPr>
        <w:pStyle w:val="Compact"/>
      </w:pPr>
      <w:r>
        <w:rPr>
          <w:bCs/>
          <w:b/>
        </w:rPr>
        <w:t xml:space="preserve">UE / Autriche / Allemagne :</w:t>
      </w:r>
      <w:r>
        <w:t xml:space="preserve"> </w:t>
      </w:r>
      <w:r>
        <w:t xml:space="preserve">non autorisée ; en tant que substance à effet pharmacologique, l’humanine est considérée comme un médicament, et sa vente en vue d’un usage humain n’est pas permise.</w:t>
      </w:r>
    </w:p>
    <w:p>
      <w:pPr>
        <w:numPr>
          <w:ilvl w:val="0"/>
          <w:numId w:val="1235"/>
        </w:numPr>
        <w:pStyle w:val="Compact"/>
      </w:pPr>
      <w:r>
        <w:rPr>
          <w:bCs/>
          <w:b/>
        </w:rPr>
        <w:t xml:space="preserve">États-Unis :</w:t>
      </w:r>
      <w:r>
        <w:t xml:space="preserve"> </w:t>
      </w:r>
      <w:r>
        <w:t xml:space="preserve">non autorisée.</w:t>
      </w:r>
    </w:p>
    <w:p>
      <w:pPr>
        <w:numPr>
          <w:ilvl w:val="0"/>
          <w:numId w:val="1235"/>
        </w:numPr>
        <w:pStyle w:val="Compact"/>
      </w:pPr>
      <w:r>
        <w:rPr>
          <w:bCs/>
          <w:b/>
        </w:rPr>
        <w:t xml:space="preserve">Sport :</w:t>
      </w:r>
      <w:r>
        <w:t xml:space="preserve"> </w:t>
      </w:r>
      <w:r>
        <w:t xml:space="preserve">selon notre appréciation, catégorie S0 de l’AMA (état 2026, à vérifier).</w:t>
      </w:r>
    </w:p>
    <w:bookmarkEnd w:id="1862"/>
    <w:bookmarkStart w:id="1864" w:name="études-en-cours-et-perspectives-42"/>
    <w:p>
      <w:pPr>
        <w:pStyle w:val="Heading3"/>
      </w:pPr>
      <w:r>
        <w:t xml:space="preserve">Études en cours et perspectives</w:t>
      </w:r>
    </w:p>
    <w:p>
      <w:pPr>
        <w:pStyle w:val="FirstParagraph"/>
      </w:pPr>
      <w:r>
        <w:rPr>
          <w:bCs/>
          <w:b/>
        </w:rPr>
        <w:t xml:space="preserve">Établi :</w:t>
      </w:r>
      <w:r>
        <w:t xml:space="preserve"> </w:t>
      </w:r>
      <w:r>
        <w:t xml:space="preserve">seules des études observationnelles sur les taux d’humanine sont enregistrées, par exemple après des opérations cardiaques (NCT03431844, 106 participants, terminée) et lors de transplantations rénales</w:t>
      </w:r>
      <w:r>
        <w:rPr>
          <w:rStyle w:val="FootnoteReference"/>
        </w:rPr>
        <w:footnoteReference w:id="1863"/>
      </w:r>
      <w:r>
        <w:t xml:space="preserve">. Il n’existe aucune étude sur l’administration d’humanine.</w:t>
      </w:r>
    </w:p>
    <w:p>
      <w:pPr>
        <w:pStyle w:val="BodyText"/>
      </w:pPr>
      <w:r>
        <w:rPr>
          <w:bCs/>
          <w:b/>
        </w:rPr>
        <w:t xml:space="preserve">Appréciation :</w:t>
      </w:r>
      <w:r>
        <w:t xml:space="preserve"> </w:t>
      </w:r>
      <w:r>
        <w:t xml:space="preserve">l’humanine est un peptide de signalisation scientifiquement passionnant et un biomarqueur possible du vieillissement. On ignore si elle sera un jour testée comme médicament ; les résultats sur le cancer issus du modèle animal devraient être soigneusement élucidés avant toute utilisation chez l’humain.</w:t>
      </w:r>
    </w:p>
    <w:bookmarkEnd w:id="1864"/>
    <w:bookmarkStart w:id="1865" w:name="conclusion-42"/>
    <w:p>
      <w:pPr>
        <w:pStyle w:val="Heading3"/>
      </w:pPr>
      <w:r>
        <w:t xml:space="preserve">Conclusion</w:t>
      </w:r>
    </w:p>
    <w:p>
      <w:pPr>
        <w:pStyle w:val="FirstParagraph"/>
      </w:pPr>
      <w:r>
        <w:t xml:space="preserve">L’humanine est un peptide mitochondrial endogène, découvert en 2001 comme facteur protecteur des neurones. Ses taux baissent avec l’âge, sont plus élevés chez les enfants de centenaires et augmentent avec l’exercice ; dans les expérimentations animales, la variante HNG a protégé le cœur, le cerveau et le métabolisme. Chez l’humain, l’humanine n’a jamais été administrée comme substance active, et chez la souris elle a favorisé la croissance d’un cancer du sein. Les données ne suffisent pas pour juger du bénéfice ou de la sécurité d’un apport.</w:t>
      </w:r>
    </w:p>
    <w:bookmarkEnd w:id="1865"/>
    <w:bookmarkEnd w:id="1866"/>
    <w:bookmarkStart w:id="1906" w:name="ss-31-élamipretide"/>
    <w:p>
      <w:pPr>
        <w:pStyle w:val="Heading2"/>
      </w:pPr>
      <w:r>
        <w:t xml:space="preserve">SS-31 (élamipretide)</w:t>
      </w:r>
    </w:p>
    <w:bookmarkStart w:id="1867" w:name="fiche-signalétique-43"/>
    <w:p>
      <w:pPr>
        <w:pStyle w:val="Heading3"/>
      </w:pPr>
      <w:r>
        <w:t xml:space="preserve">Fiche signalétique</w:t>
      </w:r>
    </w:p>
    <w:p>
      <w:pPr>
        <w:numPr>
          <w:ilvl w:val="0"/>
          <w:numId w:val="1236"/>
        </w:numPr>
        <w:pStyle w:val="Compact"/>
      </w:pPr>
      <w:r>
        <w:rPr>
          <w:bCs/>
          <w:b/>
        </w:rPr>
        <w:t xml:space="preserve">Nature et structure :</w:t>
      </w:r>
      <w:r>
        <w:t xml:space="preserve"> </w:t>
      </w:r>
      <w:r>
        <w:t xml:space="preserve">tétrapeptide de synthèse de quatre éléments (D-arginine, diméthyltyrosine, lysine, phénylalanine), qui traverse les membranes cellulaires grâce à une succession inhabituelle d’acides aminés chargés positivement et cycliques. Noms de recherche SS-31, MTP-131 et Bendavia ; dénomination de la substance élamipretide ; nom commercial Forzinity.</w:t>
      </w:r>
    </w:p>
    <w:p>
      <w:pPr>
        <w:numPr>
          <w:ilvl w:val="0"/>
          <w:numId w:val="1236"/>
        </w:numPr>
        <w:pStyle w:val="Compact"/>
      </w:pPr>
      <w:r>
        <w:rPr>
          <w:bCs/>
          <w:b/>
        </w:rPr>
        <w:t xml:space="preserve">Origine :</w:t>
      </w:r>
      <w:r>
        <w:t xml:space="preserve"> </w:t>
      </w:r>
      <w:r>
        <w:t xml:space="preserve">développé par Hazel Szeto et Peter Schiller (d’où les peptides « SS »), développement clinique poursuivi par la société américaine Stealth BioTherapeutics.</w:t>
      </w:r>
    </w:p>
    <w:p>
      <w:pPr>
        <w:numPr>
          <w:ilvl w:val="0"/>
          <w:numId w:val="1236"/>
        </w:numPr>
        <w:pStyle w:val="Compact"/>
      </w:pPr>
      <w:r>
        <w:rPr>
          <w:bCs/>
          <w:b/>
        </w:rPr>
        <w:t xml:space="preserve">Principe d’action :</w:t>
      </w:r>
      <w:r>
        <w:t xml:space="preserve"> </w:t>
      </w:r>
      <w:r>
        <w:t xml:space="preserve">s’accumule sur la membrane interne des mitochondries et s’y lie à la cardiolipine, un lipide indispensable à la production d’énergie. Il stabiliserait la chaîne respiratoire et limiterait une oxydation nocive.</w:t>
      </w:r>
    </w:p>
    <w:p>
      <w:pPr>
        <w:numPr>
          <w:ilvl w:val="0"/>
          <w:numId w:val="1236"/>
        </w:numPr>
        <w:pStyle w:val="Compact"/>
      </w:pPr>
      <w:r>
        <w:rPr>
          <w:bCs/>
          <w:b/>
        </w:rPr>
        <w:t xml:space="preserve">Autorisation UE :</w:t>
      </w:r>
      <w:r>
        <w:t xml:space="preserve"> </w:t>
      </w:r>
      <w:r>
        <w:t xml:space="preserve">non.</w:t>
      </w:r>
    </w:p>
    <w:p>
      <w:pPr>
        <w:numPr>
          <w:ilvl w:val="0"/>
          <w:numId w:val="1236"/>
        </w:numPr>
        <w:pStyle w:val="Compact"/>
      </w:pPr>
      <w:r>
        <w:rPr>
          <w:bCs/>
          <w:b/>
        </w:rPr>
        <w:t xml:space="preserve">Autorisation États-Unis :</w:t>
      </w:r>
      <w:r>
        <w:t xml:space="preserve"> </w:t>
      </w:r>
      <w:r>
        <w:t xml:space="preserve">oui – en septembre 2025,</w:t>
      </w:r>
      <w:r>
        <w:t xml:space="preserve"> </w:t>
      </w:r>
      <w:r>
        <w:rPr>
          <w:bCs/>
          <w:b/>
        </w:rPr>
        <w:t xml:space="preserve">autorisation accélérée</w:t>
      </w:r>
      <w:r>
        <w:t xml:space="preserve"> </w:t>
      </w:r>
      <w:r>
        <w:t xml:space="preserve">(accelerated approval) sous le nom de Forzinity pour améliorer la force musculaire dans le syndrome de Barth chez les adultes et les enfants de 30 kg ou plus. L’autorisation est subordonnée à une étude de confirmation.</w:t>
      </w:r>
    </w:p>
    <w:p>
      <w:pPr>
        <w:numPr>
          <w:ilvl w:val="0"/>
          <w:numId w:val="1236"/>
        </w:numPr>
        <w:pStyle w:val="Compact"/>
      </w:pPr>
      <w:r>
        <w:rPr>
          <w:bCs/>
          <w:b/>
        </w:rPr>
        <w:t xml:space="preserve">AMA (WADA) :</w:t>
      </w:r>
      <w:r>
        <w:t xml:space="preserve"> </w:t>
      </w:r>
      <w:r>
        <w:t xml:space="preserve">pas nommément listé.</w:t>
      </w:r>
    </w:p>
    <w:p>
      <w:pPr>
        <w:numPr>
          <w:ilvl w:val="0"/>
          <w:numId w:val="1236"/>
        </w:numPr>
        <w:pStyle w:val="Compact"/>
      </w:pPr>
      <w:r>
        <w:rPr>
          <w:bCs/>
          <w:b/>
        </w:rPr>
        <w:t xml:space="preserve">Niveau de preuve :</w:t>
      </w:r>
      <w:r>
        <w:t xml:space="preserve"> </w:t>
      </w:r>
      <w:r>
        <w:rPr>
          <w:bCs/>
          <w:b/>
        </w:rPr>
        <w:t xml:space="preserve">B</w:t>
      </w:r>
      <w:r>
        <w:t xml:space="preserve"> </w:t>
      </w:r>
      <w:r>
        <w:t xml:space="preserve">– de nombreuses études randomisées, dont une étude de phase 3 portant sur 218 participants ; la plupart des grandes études ont toutefois manqué leur critère principal, et l’autorisation repose sur une très petite étude dans une maladie extrêmement rare.</w:t>
      </w:r>
    </w:p>
    <w:bookmarkEnd w:id="1867"/>
    <w:bookmarkStart w:id="1869" w:name="mode-daction-supposé-43"/>
    <w:p>
      <w:pPr>
        <w:pStyle w:val="Heading3"/>
      </w:pPr>
      <w:r>
        <w:t xml:space="preserve">Mode d’action supposé</w:t>
      </w:r>
    </w:p>
    <w:p>
      <w:pPr>
        <w:pStyle w:val="FirstParagraph"/>
      </w:pPr>
      <w:r>
        <w:t xml:space="preserve">Les mitochondries produisent de l’énergie au moyen d’une chaîne de complexes protéiques situés dans leur membrane interne. Pour que ces complexes fonctionnent correctement ensemble, il faut de la cardiolipine – un lipide particulier présent uniquement dans cette membrane. Si la cardiolipine est endommagée ou absente, la chaîne respiratoire fonctionne moins bien, et la protéine cytochrome c peut passer du rôle de transporteur d’électrons à celui d’enzyme nocive (une peroxydase).</w:t>
      </w:r>
    </w:p>
    <w:p>
      <w:pPr>
        <w:pStyle w:val="BodyText"/>
      </w:pPr>
      <w:r>
        <w:t xml:space="preserve">Selon sa conceptrice, le SS-31 se lie sélectivement à la cardiolipine par des forces électriques et hydrophobes, empêche cette transformation du cytochrome c et protège ainsi la structure des mitochondries</w:t>
      </w:r>
      <w:r>
        <w:rPr>
          <w:rStyle w:val="FootnoteReference"/>
        </w:rPr>
        <w:footnoteReference w:id="1868"/>
      </w:r>
      <w:r>
        <w:t xml:space="preserve">. Ce principe a été étudié dans de nombreux modèles animaux de maladies cardiaques, rénales, musculaires et oculaires.</w:t>
      </w:r>
    </w:p>
    <w:p>
      <w:pPr>
        <w:pStyle w:val="BodyText"/>
      </w:pPr>
      <w:r>
        <w:t xml:space="preserve">Le lien est le plus clair dans le</w:t>
      </w:r>
      <w:r>
        <w:t xml:space="preserve"> </w:t>
      </w:r>
      <w:r>
        <w:rPr>
          <w:bCs/>
          <w:b/>
        </w:rPr>
        <w:t xml:space="preserve">syndrome de Barth</w:t>
      </w:r>
      <w:r>
        <w:t xml:space="preserve"> </w:t>
      </w:r>
      <w:r>
        <w:t xml:space="preserve">: dans cette maladie très rare, à transmission liée à l’X, qui touche presque exclusivement des garçons et des hommes, le gène</w:t>
      </w:r>
      <w:r>
        <w:t xml:space="preserve"> </w:t>
      </w:r>
      <w:r>
        <w:rPr>
          <w:iCs/>
          <w:i/>
        </w:rPr>
        <w:t xml:space="preserve">TAZ</w:t>
      </w:r>
      <w:r>
        <w:t xml:space="preserve">, nécessaire au remodelage de la cardiolipine, est défectueux. Les personnes atteintes présentent une insuffisance du muscle cardiaque, une faiblesse musculaire, une fatigabilité importante et un nombre réduit de certains globules blancs. Une substance qui cible spécifiquement la cardiolipine y est biologiquement particulièrement pertinente.</w:t>
      </w:r>
    </w:p>
    <w:bookmarkEnd w:id="1869"/>
    <w:bookmarkStart w:id="1888" w:name="études-chez-lhumain-43"/>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19 publications classées comme études chez l’humain ; quatre d’entre elles concernent, à l’examen, d’autres substances (le sigle « SS-31 » apparaît aussi ailleurs). Sur ClinicalTrials.gov, 21 études étaient enregistrées, presque toutes promues par le fabricant, sur le syndrome de Barth, les myopathies mitochondriales, l’insuffisance cardiaque, l’infarctus du myocarde, la sténose de l’artère rénale, la dégénérescence maculaire sèche et des maladies oculaires. L’élamipretide est ainsi le peptide le mieux étudié de cette partie.</w:t>
      </w:r>
    </w:p>
    <w:bookmarkStart w:id="1877" w:name="X64c2333661817c69c082b75803b38bc0068138f"/>
    <w:p>
      <w:pPr>
        <w:pStyle w:val="Heading4"/>
      </w:pPr>
      <w:r>
        <w:t xml:space="preserve">Syndrome de Barth : TAZPOWER et l’autorisation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TAZPOWER partie 1 (Reid Thompson 2021), PMID 33077895</w:t>
            </w:r>
          </w:p>
        </w:tc>
        <w:tc>
          <w:tcPr/>
          <w:p>
            <w:pPr>
              <w:pStyle w:val="Compact"/>
              <w:jc w:val="left"/>
            </w:pPr>
            <w:r>
              <w:t xml:space="preserve">12 personnes, double aveugle, plan croisé contre placebo</w:t>
            </w:r>
          </w:p>
        </w:tc>
        <w:tc>
          <w:tcPr/>
          <w:p>
            <w:pPr>
              <w:pStyle w:val="Compact"/>
              <w:jc w:val="left"/>
            </w:pPr>
            <w:r>
              <w:t xml:space="preserve">12 semaines chacune</w:t>
            </w:r>
          </w:p>
        </w:tc>
        <w:tc>
          <w:tcPr/>
          <w:p>
            <w:pPr>
              <w:pStyle w:val="Compact"/>
              <w:jc w:val="left"/>
            </w:pPr>
            <w:r>
              <w:t xml:space="preserve">les deux critères principaux (test de marche de 6 minutes, échelle de symptômes) manqués</w:t>
            </w:r>
          </w:p>
        </w:tc>
      </w:tr>
      <w:tr>
        <w:tc>
          <w:tcPr/>
          <w:p>
            <w:pPr>
              <w:pStyle w:val="Compact"/>
              <w:jc w:val="left"/>
            </w:pPr>
            <w:r>
              <w:t xml:space="preserve">TAZPOWER prolongation ouverte, PMID 33077895</w:t>
            </w:r>
          </w:p>
        </w:tc>
        <w:tc>
          <w:tcPr/>
          <w:p>
            <w:pPr>
              <w:pStyle w:val="Compact"/>
              <w:jc w:val="left"/>
            </w:pPr>
            <w:r>
              <w:t xml:space="preserve">10 personnes, toutes sous élamipretide</w:t>
            </w:r>
          </w:p>
        </w:tc>
        <w:tc>
          <w:tcPr/>
          <w:p>
            <w:pPr>
              <w:pStyle w:val="Compact"/>
              <w:jc w:val="left"/>
            </w:pPr>
            <w:r>
              <w:t xml:space="preserve">36 semaines</w:t>
            </w:r>
          </w:p>
        </w:tc>
        <w:tc>
          <w:tcPr/>
          <w:p>
            <w:pPr>
              <w:pStyle w:val="Compact"/>
              <w:jc w:val="left"/>
            </w:pPr>
            <w:r>
              <w:t xml:space="preserve">distance de marche +95,9 m, échelle de symptômes −2,1 points</w:t>
            </w:r>
          </w:p>
        </w:tc>
      </w:tr>
      <w:tr>
        <w:tc>
          <w:tcPr/>
          <w:p>
            <w:pPr>
              <w:pStyle w:val="Compact"/>
              <w:jc w:val="left"/>
            </w:pPr>
            <w:r>
              <w:t xml:space="preserve">Prolongation jusqu’à 168 semaines (Thompson 2024), PMID 38602181</w:t>
            </w:r>
          </w:p>
        </w:tc>
        <w:tc>
          <w:tcPr/>
          <w:p>
            <w:pPr>
              <w:pStyle w:val="Compact"/>
              <w:jc w:val="left"/>
            </w:pPr>
            <w:r>
              <w:t xml:space="preserve">10 incluses, 8 jusqu’à la semaine 168</w:t>
            </w:r>
          </w:p>
        </w:tc>
        <w:tc>
          <w:tcPr/>
          <w:p>
            <w:pPr>
              <w:pStyle w:val="Compact"/>
              <w:jc w:val="left"/>
            </w:pPr>
            <w:r>
              <w:t xml:space="preserve">168 semaines</w:t>
            </w:r>
          </w:p>
        </w:tc>
        <w:tc>
          <w:tcPr/>
          <w:p>
            <w:pPr>
              <w:pStyle w:val="Compact"/>
              <w:jc w:val="left"/>
            </w:pPr>
            <w:r>
              <w:t xml:space="preserve">distance de marche cumulée +96,1 m ; volumes cardiaques améliorés</w:t>
            </w:r>
          </w:p>
        </w:tc>
      </w:tr>
      <w:tr>
        <w:tc>
          <w:tcPr/>
          <w:p>
            <w:pPr>
              <w:pStyle w:val="Compact"/>
              <w:jc w:val="left"/>
            </w:pPr>
            <w:r>
              <w:t xml:space="preserve">Comparaison avec l’évolution naturelle (Hornby 2022), PMID 36056411</w:t>
            </w:r>
          </w:p>
        </w:tc>
        <w:tc>
          <w:tcPr/>
          <w:p>
            <w:pPr>
              <w:pStyle w:val="Compact"/>
              <w:jc w:val="left"/>
            </w:pPr>
            <w:r>
              <w:t xml:space="preserve">8 personnes traitées vs 19 non traitées issues d’un registre de la maladie</w:t>
            </w:r>
          </w:p>
        </w:tc>
        <w:tc>
          <w:tcPr/>
          <w:p>
            <w:pPr>
              <w:pStyle w:val="Compact"/>
              <w:jc w:val="left"/>
            </w:pPr>
            <w:r>
              <w:t xml:space="preserve">64–76 semaines</w:t>
            </w:r>
          </w:p>
        </w:tc>
        <w:tc>
          <w:tcPr/>
          <w:p>
            <w:pPr>
              <w:pStyle w:val="Compact"/>
              <w:jc w:val="left"/>
            </w:pPr>
            <w:r>
              <w:t xml:space="preserve">différence au test de marche de 79,7 et 91,0 m en faveur de l’élamipretide</w:t>
            </w:r>
          </w:p>
        </w:tc>
      </w:tr>
    </w:tbl>
    <w:p>
      <w:pPr>
        <w:pStyle w:val="BodyText"/>
      </w:pPr>
      <w:r>
        <w:t xml:space="preserve">L’histoire de l’autorisation illustre de manière exemplaire comment les décisions sont prises pour les maladies extrêmement rares :</w:t>
      </w:r>
    </w:p>
    <w:p>
      <w:pPr>
        <w:pStyle w:val="BodyText"/>
      </w:pPr>
      <w:r>
        <w:rPr>
          <w:bCs/>
          <w:b/>
        </w:rPr>
        <w:t xml:space="preserve">La partie contrôlée a échoué.</w:t>
      </w:r>
      <w:r>
        <w:t xml:space="preserve"> </w:t>
      </w:r>
      <w:r>
        <w:t xml:space="preserve">Dans TAZPOWER</w:t>
      </w:r>
      <w:r>
        <w:rPr>
          <w:rStyle w:val="FootnoteReference"/>
        </w:rPr>
        <w:footnoteReference w:id="1870"/>
      </w:r>
      <w:r>
        <w:t xml:space="preserve">, douze personnes atteintes du syndrome de Barth ont reçu pendant douze semaines, chaque jour par voie sous-cutanée, de l’élamipretide ou un placebo, puis l’autre traitement. Dans cette partie en aveugle, aucune différence significative n’a été atteinte, ni au test de marche de 6 minutes ni sur l’échelle de symptômes</w:t>
      </w:r>
      <w:r>
        <w:rPr>
          <w:rStyle w:val="FootnoteReference"/>
        </w:rPr>
        <w:footnoteReference w:id="1871"/>
      </w:r>
      <w:r>
        <w:t xml:space="preserve">.</w:t>
      </w:r>
    </w:p>
    <w:p>
      <w:pPr>
        <w:pStyle w:val="BodyText"/>
      </w:pPr>
      <w:r>
        <w:rPr>
          <w:bCs/>
          <w:b/>
        </w:rPr>
        <w:t xml:space="preserve">La prolongation ouverte a été positive.</w:t>
      </w:r>
      <w:r>
        <w:t xml:space="preserve"> </w:t>
      </w:r>
      <w:r>
        <w:t xml:space="preserve">Dix personnes ont poursuivi le traitement en ouvert. Après 36 semaines, elles marchaient en moyenne 95,9 m de plus qu’au début ; la force d’extension du genou et certains paramètres cardiaques se sont aussi améliorés</w:t>
      </w:r>
      <w:r>
        <w:rPr>
          <w:rStyle w:val="FootnoteReference"/>
        </w:rPr>
        <w:footnoteReference w:id="1872"/>
      </w:r>
      <w:r>
        <w:t xml:space="preserve">. L’amélioration s’est maintenue jusqu’à la semaine 168 ; huit personnes ont atteint ce point</w:t>
      </w:r>
      <w:r>
        <w:rPr>
          <w:rStyle w:val="FootnoteReference"/>
        </w:rPr>
        <w:footnoteReference w:id="1873"/>
      </w:r>
      <w:r>
        <w:t xml:space="preserve">. Sans groupe témoin, on ne peut toutefois pas distinguer quelle part revient au médicament et quelle part à l’habituation au test, à la motivation ou au hasard.</w:t>
      </w:r>
    </w:p>
    <w:p>
      <w:pPr>
        <w:pStyle w:val="BodyText"/>
      </w:pPr>
      <w:r>
        <w:rPr>
          <w:bCs/>
          <w:b/>
        </w:rPr>
        <w:t xml:space="preserve">Comparaison avec un témoin issu d’un registre.</w:t>
      </w:r>
      <w:r>
        <w:t xml:space="preserve"> </w:t>
      </w:r>
      <w:r>
        <w:t xml:space="preserve">Pour éclaircir ce point, une autre étude a comparé huit personnes traitées à 19 personnes non traitées issues d’une observation de l’évolution de la maladie. L’avantage au test de marche était de 79,7 m après 64 semaines</w:t>
      </w:r>
      <w:r>
        <w:rPr>
          <w:rStyle w:val="FootnoteReference"/>
        </w:rPr>
        <w:footnoteReference w:id="1874"/>
      </w:r>
      <w:r>
        <w:t xml:space="preserve">. De tels « témoins historiques » sont souvent la seule possibilité dans les maladies rares, mais sont considérés comme nettement moins solides qu’une randomisation.</w:t>
      </w:r>
    </w:p>
    <w:p>
      <w:pPr>
        <w:pStyle w:val="BodyText"/>
      </w:pPr>
      <w:r>
        <w:rPr>
          <w:bCs/>
          <w:b/>
        </w:rPr>
        <w:t xml:space="preserve">La décision de la FDA en 2025.</w:t>
      </w:r>
      <w:r>
        <w:t xml:space="preserve"> </w:t>
      </w:r>
      <w:r>
        <w:t xml:space="preserve">L’autorité américaine du médicament a d’abord rejeté la demande en mai 2025 (Complete Response Letter). En septembre 2025, elle a ensuite accordé une</w:t>
      </w:r>
      <w:r>
        <w:t xml:space="preserve"> </w:t>
      </w:r>
      <w:r>
        <w:rPr>
          <w:bCs/>
          <w:b/>
        </w:rPr>
        <w:t xml:space="preserve">autorisation accélérée</w:t>
      </w:r>
      <w:r>
        <w:t xml:space="preserve"> </w:t>
      </w:r>
      <w:r>
        <w:t xml:space="preserve">à l’élamipretide (Forzinity) pour améliorer la force musculaire dans le syndrome de Barth chez les patientes et patients de 30 kg ou plus – premier traitement spécifique de cette maladie</w:t>
      </w:r>
      <w:r>
        <w:rPr>
          <w:rStyle w:val="FootnoteReference"/>
        </w:rPr>
        <w:footnoteReference w:id="1875"/>
      </w:r>
      <w:r>
        <w:t xml:space="preserve">. La base en était l’amélioration de la force d’extension du genou, que l’autorité considère comme un critère de substitution rendant un bénéfice clinique « raisonnablement probable ». Une autorisation accélérée oblige le fabricant à mener une étude de confirmation ; si le bénéfice n’y est pas confirmé, l’autorisation peut être retirée. Une étude correspondante, avec 48 participants prévus, recrute depuis juillet 2026</w:t>
      </w:r>
      <w:r>
        <w:rPr>
          <w:rStyle w:val="FootnoteReference"/>
        </w:rPr>
        <w:footnoteReference w:id="1876"/>
      </w:r>
      <w:r>
        <w:t xml:space="preserve">.</w:t>
      </w:r>
    </w:p>
    <w:bookmarkEnd w:id="1877"/>
    <w:bookmarkStart w:id="1882" w:name="X44e5149b43941d2d203f6e3280f3126bc4d2aee"/>
    <w:p>
      <w:pPr>
        <w:pStyle w:val="Heading4"/>
      </w:pPr>
      <w:r>
        <w:t xml:space="preserve">Myopathie mitochondriale primaire : MMPOWER-3</w:t>
      </w:r>
    </w:p>
    <w:p>
      <w:pPr>
        <w:pStyle w:val="FirstParagraph"/>
      </w:pPr>
      <w:r>
        <w:t xml:space="preserve">Les myopathies mitochondriales sont des maladies héréditaires dans lesquelles la production d’énergie dans les muscles est perturbée ; les personnes atteintes souffrent de faiblesse musculaire et d’une fatigabilité importante.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MMPOWER (Karaa 2018), PMID 29500292</w:t>
            </w:r>
          </w:p>
        </w:tc>
        <w:tc>
          <w:tcPr/>
          <w:p>
            <w:pPr>
              <w:pStyle w:val="Compact"/>
              <w:jc w:val="left"/>
            </w:pPr>
            <w:r>
              <w:t xml:space="preserve">36 personnes, perfusion à doses croissantes contre placebo</w:t>
            </w:r>
          </w:p>
        </w:tc>
        <w:tc>
          <w:tcPr/>
          <w:p>
            <w:pPr>
              <w:pStyle w:val="Compact"/>
              <w:jc w:val="left"/>
            </w:pPr>
            <w:r>
              <w:t xml:space="preserve">5 jours</w:t>
            </w:r>
          </w:p>
        </w:tc>
        <w:tc>
          <w:tcPr/>
          <w:p>
            <w:pPr>
              <w:pStyle w:val="Compact"/>
              <w:jc w:val="left"/>
            </w:pPr>
            <w:r>
              <w:t xml:space="preserve">dose la plus élevée +64,5 m au test de marche vs +20,4 m (p = 0,053)</w:t>
            </w:r>
          </w:p>
        </w:tc>
      </w:tr>
      <w:tr>
        <w:tc>
          <w:tcPr/>
          <w:p>
            <w:pPr>
              <w:pStyle w:val="Compact"/>
              <w:jc w:val="left"/>
            </w:pPr>
            <w:r>
              <w:t xml:space="preserve">MMPOWER-2 (Karaa 2020), PMID 32096613</w:t>
            </w:r>
          </w:p>
        </w:tc>
        <w:tc>
          <w:tcPr/>
          <w:p>
            <w:pPr>
              <w:pStyle w:val="Compact"/>
              <w:jc w:val="left"/>
            </w:pPr>
            <w:r>
              <w:t xml:space="preserve">30 personnes, plan croisé contre placebo</w:t>
            </w:r>
          </w:p>
        </w:tc>
        <w:tc>
          <w:tcPr/>
          <w:p>
            <w:pPr>
              <w:pStyle w:val="Compact"/>
              <w:jc w:val="left"/>
            </w:pPr>
            <w:r>
              <w:t xml:space="preserve">4 semaines chacune</w:t>
            </w:r>
          </w:p>
        </w:tc>
        <w:tc>
          <w:tcPr/>
          <w:p>
            <w:pPr>
              <w:pStyle w:val="Compact"/>
              <w:jc w:val="left"/>
            </w:pPr>
            <w:r>
              <w:t xml:space="preserve">test de marche +19,8 m (non significatif) ; moins de fatigue</w:t>
            </w:r>
          </w:p>
        </w:tc>
      </w:tr>
      <w:tr>
        <w:tc>
          <w:tcPr/>
          <w:p>
            <w:pPr>
              <w:pStyle w:val="Compact"/>
              <w:jc w:val="left"/>
            </w:pPr>
            <w:r>
              <w:t xml:space="preserve">MMPOWER-3 (Karaa 2023), PMID 37268435</w:t>
            </w:r>
          </w:p>
        </w:tc>
        <w:tc>
          <w:tcPr/>
          <w:p>
            <w:pPr>
              <w:pStyle w:val="Compact"/>
              <w:jc w:val="left"/>
            </w:pPr>
            <w:r>
              <w:t xml:space="preserve">218 personnes, phase 3 contre placebo</w:t>
            </w:r>
          </w:p>
        </w:tc>
        <w:tc>
          <w:tcPr/>
          <w:p>
            <w:pPr>
              <w:pStyle w:val="Compact"/>
              <w:jc w:val="left"/>
            </w:pPr>
            <w:r>
              <w:t xml:space="preserve">24 semaines</w:t>
            </w:r>
          </w:p>
        </w:tc>
        <w:tc>
          <w:tcPr/>
          <w:p>
            <w:pPr>
              <w:pStyle w:val="Compact"/>
              <w:jc w:val="left"/>
            </w:pPr>
            <w:r>
              <w:t xml:space="preserve">les deux critères principaux manqués ; différence au test de marche −3,2 m</w:t>
            </w:r>
          </w:p>
        </w:tc>
      </w:tr>
    </w:tbl>
    <w:p>
      <w:pPr>
        <w:pStyle w:val="BodyText"/>
      </w:pPr>
      <w:r>
        <w:t xml:space="preserve">Après de petites études encourageantes,</w:t>
      </w:r>
      <w:r>
        <w:t xml:space="preserve"> </w:t>
      </w:r>
      <w:r>
        <w:rPr>
          <w:bCs/>
          <w:b/>
        </w:rPr>
        <w:t xml:space="preserve">MMPOWER-3</w:t>
      </w:r>
      <w:r>
        <w:rPr>
          <w:rStyle w:val="FootnoteReference"/>
        </w:rPr>
        <w:footnoteReference w:id="1878"/>
      </w:r>
      <w:r>
        <w:t xml:space="preserve"> </w:t>
      </w:r>
      <w:r>
        <w:t xml:space="preserve">devait démontrer l’efficacité. 218 adultes atteints d’une myopathie mitochondriale confirmée génétiquement ont reçu pendant 24 semaines de l’élamipretide ou un placebo. L’étude a manqué ses deux critères principaux : au test de marche de 6 minutes, la différence était de −3,2 m (IC à 95 % −18,7 à 12,3), et il n’y avait pas non plus de différence sur l’échelle de fatigue. La tolérance était bonne</w:t>
      </w:r>
      <w:r>
        <w:rPr>
          <w:rStyle w:val="FootnoteReference"/>
        </w:rPr>
        <w:footnoteReference w:id="1879"/>
      </w:r>
      <w:r>
        <w:t xml:space="preserve">. Les auteures et auteurs considèrent qu’il s’agit d’une preuve de la plus haute classe que l’élamipretide n’améliore ni la distance de marche ni la fatigue dans ce groupe.</w:t>
      </w:r>
    </w:p>
    <w:p>
      <w:pPr>
        <w:pStyle w:val="BodyText"/>
      </w:pPr>
      <w:r>
        <w:t xml:space="preserve">Une analyse a posteriori a trouvé des indices d’un bénéfice dans un sous-groupe : les personnes présentant des défauts dans des gènes nucléaires nécessaires à la réplication de l’ADN mitochondrial (comme</w:t>
      </w:r>
      <w:r>
        <w:t xml:space="preserve"> </w:t>
      </w:r>
      <w:r>
        <w:rPr>
          <w:iCs/>
          <w:i/>
        </w:rPr>
        <w:t xml:space="preserve">POLG</w:t>
      </w:r>
      <w:r>
        <w:t xml:space="preserve"> </w:t>
      </w:r>
      <w:r>
        <w:t xml:space="preserve">et</w:t>
      </w:r>
      <w:r>
        <w:t xml:space="preserve"> </w:t>
      </w:r>
      <w:r>
        <w:rPr>
          <w:iCs/>
          <w:i/>
        </w:rPr>
        <w:t xml:space="preserve">TWNK</w:t>
      </w:r>
      <w:r>
        <w:t xml:space="preserve">) marchaient sous élamipretide 25,2 m de plus, contre 2,0 m sous placebo (p = 0,06)</w:t>
      </w:r>
      <w:r>
        <w:rPr>
          <w:rStyle w:val="FootnoteReference"/>
        </w:rPr>
        <w:footnoteReference w:id="1880"/>
      </w:r>
      <w:r>
        <w:t xml:space="preserve">. Les analyses de sous-groupes a posteriori génèrent des hypothèses, pas des preuves. Sur cette base a été menée l’étude de phase 3 NuPOWER</w:t>
      </w:r>
      <w:r>
        <w:rPr>
          <w:rStyle w:val="FootnoteReference"/>
        </w:rPr>
        <w:footnoteReference w:id="1881"/>
      </w:r>
      <w:r>
        <w:t xml:space="preserve">, avec 102 participants ; selon le registre, elle est terminée depuis décembre 2024, et les résultats n’étaient pas publiés au moment de notre recherche.</w:t>
      </w:r>
    </w:p>
    <w:bookmarkEnd w:id="1882"/>
    <w:bookmarkStart w:id="1887" w:name="cœur-rein-œil-et-vieillissement"/>
    <w:p>
      <w:pPr>
        <w:pStyle w:val="Heading4"/>
      </w:pPr>
      <w:r>
        <w:t xml:space="preserve">Cœur, rein, œil et vieillissement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EMBRACE STEMI (Gibson 2016), PMID 26586786</w:t>
            </w:r>
          </w:p>
        </w:tc>
        <w:tc>
          <w:tcPr/>
          <w:p>
            <w:pPr>
              <w:pStyle w:val="Compact"/>
              <w:jc w:val="left"/>
            </w:pPr>
            <w:r>
              <w:t xml:space="preserve">personnes avec premier infarctus antérieur, perfusion lors du traitement par cathéter, double aveugle</w:t>
            </w:r>
          </w:p>
        </w:tc>
        <w:tc>
          <w:tcPr/>
          <w:p>
            <w:pPr>
              <w:pStyle w:val="Compact"/>
              <w:jc w:val="left"/>
            </w:pPr>
            <w:r>
              <w:t xml:space="preserve">72 heures</w:t>
            </w:r>
          </w:p>
        </w:tc>
        <w:tc>
          <w:tcPr/>
          <w:p>
            <w:pPr>
              <w:pStyle w:val="Compact"/>
              <w:jc w:val="left"/>
            </w:pPr>
            <w:r>
              <w:t xml:space="preserve">taille de l’infarctus non réduite</w:t>
            </w:r>
          </w:p>
        </w:tc>
      </w:tr>
      <w:tr>
        <w:tc>
          <w:tcPr/>
          <w:p>
            <w:pPr>
              <w:pStyle w:val="Compact"/>
              <w:jc w:val="left"/>
            </w:pPr>
            <w:r>
              <w:t xml:space="preserve">PROGRESS-HF (Butler 2020), PMID 32068002</w:t>
            </w:r>
          </w:p>
        </w:tc>
        <w:tc>
          <w:tcPr/>
          <w:p>
            <w:pPr>
              <w:pStyle w:val="Compact"/>
              <w:jc w:val="left"/>
            </w:pPr>
            <w:r>
              <w:t xml:space="preserve">71 personnes atteintes d’insuffisance cardiaque (HFrEF), contre placebo</w:t>
            </w:r>
          </w:p>
        </w:tc>
        <w:tc>
          <w:tcPr/>
          <w:p>
            <w:pPr>
              <w:pStyle w:val="Compact"/>
              <w:jc w:val="left"/>
            </w:pPr>
            <w:r>
              <w:t xml:space="preserve">4 semaines</w:t>
            </w:r>
          </w:p>
        </w:tc>
        <w:tc>
          <w:tcPr/>
          <w:p>
            <w:pPr>
              <w:pStyle w:val="Compact"/>
              <w:jc w:val="left"/>
            </w:pPr>
            <w:r>
              <w:t xml:space="preserve">pas d’amélioration des volumes cardiaques</w:t>
            </w:r>
          </w:p>
        </w:tc>
      </w:tr>
      <w:tr>
        <w:tc>
          <w:tcPr/>
          <w:p>
            <w:pPr>
              <w:pStyle w:val="Compact"/>
              <w:jc w:val="left"/>
            </w:pPr>
            <w:r>
              <w:t xml:space="preserve">Daubert 2017, PMID 29217757</w:t>
            </w:r>
          </w:p>
        </w:tc>
        <w:tc>
          <w:tcPr/>
          <w:p>
            <w:pPr>
              <w:pStyle w:val="Compact"/>
              <w:jc w:val="left"/>
            </w:pPr>
            <w:r>
              <w:t xml:space="preserve">36 personnes atteintes d’insuffisance cardiaque, perfusion unique</w:t>
            </w:r>
          </w:p>
        </w:tc>
        <w:tc>
          <w:tcPr/>
          <w:p>
            <w:pPr>
              <w:pStyle w:val="Compact"/>
              <w:jc w:val="left"/>
            </w:pPr>
            <w:r>
              <w:t xml:space="preserve">24 heures</w:t>
            </w:r>
          </w:p>
        </w:tc>
        <w:tc>
          <w:tcPr/>
          <w:p>
            <w:pPr>
              <w:pStyle w:val="Compact"/>
              <w:jc w:val="left"/>
            </w:pPr>
            <w:r>
              <w:t xml:space="preserve">volumes cardiaques réduits à court terme à la dose la plus élevée</w:t>
            </w:r>
          </w:p>
        </w:tc>
      </w:tr>
      <w:tr>
        <w:tc>
          <w:tcPr/>
          <w:p>
            <w:pPr>
              <w:pStyle w:val="Compact"/>
              <w:jc w:val="left"/>
            </w:pPr>
            <w:r>
              <w:t xml:space="preserve">Saad 2017, PMID 28916603</w:t>
            </w:r>
          </w:p>
        </w:tc>
        <w:tc>
          <w:tcPr/>
          <w:p>
            <w:pPr>
              <w:pStyle w:val="Compact"/>
              <w:jc w:val="left"/>
            </w:pPr>
            <w:r>
              <w:t xml:space="preserve">14 personnes avec sténose de l’artère rénale lors de la pose d’un stent</w:t>
            </w:r>
          </w:p>
        </w:tc>
        <w:tc>
          <w:tcPr/>
          <w:p>
            <w:pPr>
              <w:pStyle w:val="Compact"/>
              <w:jc w:val="left"/>
            </w:pPr>
            <w:r>
              <w:t xml:space="preserve">3 mois</w:t>
            </w:r>
          </w:p>
        </w:tc>
        <w:tc>
          <w:tcPr/>
          <w:p>
            <w:pPr>
              <w:pStyle w:val="Compact"/>
              <w:jc w:val="left"/>
            </w:pPr>
            <w:r>
              <w:t xml:space="preserve">moins de manque d’oxygène, meilleure perfusion rénale (étude pilote)</w:t>
            </w:r>
          </w:p>
        </w:tc>
      </w:tr>
      <w:tr>
        <w:tc>
          <w:tcPr/>
          <w:p>
            <w:pPr>
              <w:pStyle w:val="Compact"/>
              <w:jc w:val="left"/>
            </w:pPr>
            <w:r>
              <w:t xml:space="preserve">ReCLAIM-2 (Ehlers 2025), PMID 39605874</w:t>
            </w:r>
          </w:p>
        </w:tc>
        <w:tc>
          <w:tcPr/>
          <w:p>
            <w:pPr>
              <w:pStyle w:val="Compact"/>
              <w:jc w:val="left"/>
            </w:pPr>
            <w:r>
              <w:t xml:space="preserve">176 personnes atteintes de dégénérescence maculaire sèche, contre placebo</w:t>
            </w:r>
          </w:p>
        </w:tc>
        <w:tc>
          <w:tcPr/>
          <w:p>
            <w:pPr>
              <w:pStyle w:val="Compact"/>
              <w:jc w:val="left"/>
            </w:pPr>
            <w:r>
              <w:t xml:space="preserve">48 semaines</w:t>
            </w:r>
          </w:p>
        </w:tc>
        <w:tc>
          <w:tcPr/>
          <w:p>
            <w:pPr>
              <w:pStyle w:val="Compact"/>
              <w:jc w:val="left"/>
            </w:pPr>
            <w:r>
              <w:t xml:space="preserve">critères principaux manqués ; perte plus lente des structures des photorécepteurs (critère secondaire)</w:t>
            </w:r>
          </w:p>
        </w:tc>
      </w:tr>
      <w:tr>
        <w:tc>
          <w:tcPr/>
          <w:p>
            <w:pPr>
              <w:pStyle w:val="Compact"/>
              <w:jc w:val="left"/>
            </w:pPr>
            <w:r>
              <w:t xml:space="preserve">Roshanravan 2021, PMID 34264994</w:t>
            </w:r>
          </w:p>
        </w:tc>
        <w:tc>
          <w:tcPr/>
          <w:p>
            <w:pPr>
              <w:pStyle w:val="Compact"/>
              <w:jc w:val="left"/>
            </w:pPr>
            <w:r>
              <w:t xml:space="preserve">39 personnes âgées en bonne santé, perfusion unique contre placebo</w:t>
            </w:r>
          </w:p>
        </w:tc>
        <w:tc>
          <w:tcPr/>
          <w:p>
            <w:pPr>
              <w:pStyle w:val="Compact"/>
              <w:jc w:val="left"/>
            </w:pPr>
            <w:r>
              <w:t xml:space="preserve">7 jours</w:t>
            </w:r>
          </w:p>
        </w:tc>
        <w:tc>
          <w:tcPr/>
          <w:p>
            <w:pPr>
              <w:pStyle w:val="Compact"/>
              <w:jc w:val="left"/>
            </w:pPr>
            <w:r>
              <w:t xml:space="preserve">capacité énergétique d’un muscle de la main plus élevée à court terme, mais pas de meilleure résistance à la fatigue</w:t>
            </w:r>
          </w:p>
        </w:tc>
      </w:tr>
    </w:tbl>
    <w:p>
      <w:pPr>
        <w:pStyle w:val="BodyText"/>
      </w:pPr>
      <w:r>
        <w:t xml:space="preserve">Le schéma est frappant : dans l’</w:t>
      </w:r>
      <w:r>
        <w:rPr>
          <w:bCs/>
          <w:b/>
        </w:rPr>
        <w:t xml:space="preserve">infarctus du myocarde</w:t>
      </w:r>
      <w:r>
        <w:t xml:space="preserve"> </w:t>
      </w:r>
      <w:r>
        <w:t xml:space="preserve">et l’</w:t>
      </w:r>
      <w:r>
        <w:rPr>
          <w:bCs/>
          <w:b/>
        </w:rPr>
        <w:t xml:space="preserve">insuffisance cardiaque</w:t>
      </w:r>
      <w:r>
        <w:t xml:space="preserve">, les études contrôlées les plus vastes n’ont montré aucun bénéfice</w:t>
      </w:r>
      <w:r>
        <w:rPr>
          <w:rStyle w:val="FootnoteReference"/>
        </w:rPr>
        <w:footnoteReference w:id="1883"/>
      </w:r>
      <w:r>
        <w:t xml:space="preserve">. Dans la</w:t>
      </w:r>
      <w:r>
        <w:t xml:space="preserve"> </w:t>
      </w:r>
      <w:r>
        <w:rPr>
          <w:bCs/>
          <w:b/>
        </w:rPr>
        <w:t xml:space="preserve">dégénérescence maculaire sèche</w:t>
      </w:r>
      <w:r>
        <w:t xml:space="preserve">, cause fréquente de perte de vision avec l’âge, ReCLAIM-2 a manqué ses deux critères principaux (acuité visuelle en faible luminosité et extension de la zone rétinienne lésée) ; un critère secondaire fixé à l’avance – la perte de la couche des photorécepteurs – progressait plus lentement sous élamipretide</w:t>
      </w:r>
      <w:r>
        <w:rPr>
          <w:rStyle w:val="FootnoteReference"/>
        </w:rPr>
        <w:footnoteReference w:id="1884"/>
      </w:r>
      <w:r>
        <w:t xml:space="preserve">. Cette mesure sert désormais de critère principal à l’étude de phase 3 en cours ReNEW</w:t>
      </w:r>
      <w:r>
        <w:rPr>
          <w:rStyle w:val="FootnoteReference"/>
        </w:rPr>
        <w:footnoteReference w:id="1885"/>
      </w:r>
      <w:r>
        <w:t xml:space="preserve">.</w:t>
      </w:r>
    </w:p>
    <w:p>
      <w:pPr>
        <w:pStyle w:val="BodyText"/>
      </w:pPr>
      <w:r>
        <w:t xml:space="preserve">Pour la scène de la longévité, l’étude chez des personnes âgées est intéressante : une seule perfusion a augmenté la capacité énergétique d’un muscle de la main immédiatement après ; au bout de sept jours, l’effet avait disparu, et l’endurance musculaire ne s’était pas améliorée</w:t>
      </w:r>
      <w:r>
        <w:rPr>
          <w:rStyle w:val="FootnoteReference"/>
        </w:rPr>
        <w:footnoteReference w:id="1886"/>
      </w:r>
      <w:r>
        <w:t xml:space="preserve">. On ne peut en déduire aucun bénéfice « anti-âge ».</w:t>
      </w:r>
    </w:p>
    <w:bookmarkEnd w:id="1887"/>
    <w:bookmarkEnd w:id="1888"/>
    <w:bookmarkStart w:id="1892" w:name="études-animales-et-de-laboratoire-43"/>
    <w:p>
      <w:pPr>
        <w:pStyle w:val="Heading3"/>
      </w:pPr>
      <w:r>
        <w:t xml:space="preserve">Études animales et de laboratoire</w:t>
      </w:r>
    </w:p>
    <w:p>
      <w:pPr>
        <w:pStyle w:val="FirstParagraph"/>
      </w:pPr>
      <w:r>
        <w:t xml:space="preserve">Dans des modèles animaux, des effets favorables ont été décrits dans l’insuffisance cardiaque, les lésions rénales, la faiblesse musculaire, les maladies oculaires et nerveuses</w:t>
      </w:r>
      <w:r>
        <w:rPr>
          <w:rStyle w:val="FootnoteReference"/>
        </w:rPr>
        <w:footnoteReference w:id="1889"/>
      </w:r>
      <w:r>
        <w:t xml:space="preserve">. Chez des chiens atteints d’insuffisance cardiaque avancée, un traitement prolongé a amélioré la fonction de pompe et la fonction mitochondriale</w:t>
      </w:r>
      <w:r>
        <w:rPr>
          <w:rStyle w:val="FootnoteReference"/>
        </w:rPr>
        <w:footnoteReference w:id="1890"/>
      </w:r>
      <w:r>
        <w:t xml:space="preserve">. Dans un modèle de rat d’insuffisance cardiaque à fraction d’éjection préservée, l’élamipretide a certes amélioré le métabolisme énergétique du muscle cardiaque, mais pas la fonction cardiaque</w:t>
      </w:r>
      <w:r>
        <w:rPr>
          <w:rStyle w:val="FootnoteReference"/>
        </w:rPr>
        <w:footnoteReference w:id="1891"/>
      </w:r>
      <w:r>
        <w:t xml:space="preserve">. Ce décalage entre un meilleur métabolisme énergétique et l’absence de bénéfice clinique se retrouve dans les études chez l’humain.</w:t>
      </w:r>
    </w:p>
    <w:bookmarkEnd w:id="1892"/>
    <w:bookmarkStart w:id="1897" w:name="risques-et-effets-indésirables-43"/>
    <w:p>
      <w:pPr>
        <w:pStyle w:val="Heading3"/>
      </w:pPr>
      <w:r>
        <w:t xml:space="preserve">Risques et effets indésirables</w:t>
      </w:r>
    </w:p>
    <w:p>
      <w:pPr>
        <w:pStyle w:val="FirstParagraph"/>
      </w:pPr>
      <w:r>
        <w:rPr>
          <w:bCs/>
          <w:b/>
        </w:rPr>
        <w:t xml:space="preserve">Établi :</w:t>
      </w:r>
    </w:p>
    <w:p>
      <w:pPr>
        <w:numPr>
          <w:ilvl w:val="0"/>
          <w:numId w:val="1237"/>
        </w:numPr>
        <w:pStyle w:val="Compact"/>
      </w:pPr>
      <w:r>
        <w:t xml:space="preserve">Les effets indésirables les plus fréquents sont des</w:t>
      </w:r>
      <w:r>
        <w:t xml:space="preserve"> </w:t>
      </w:r>
      <w:r>
        <w:rPr>
          <w:bCs/>
          <w:b/>
        </w:rPr>
        <w:t xml:space="preserve">réactions au point d’injection</w:t>
      </w:r>
      <w:r>
        <w:t xml:space="preserve"> </w:t>
      </w:r>
      <w:r>
        <w:t xml:space="preserve">(démangeaisons, douleurs, hématomes, rougeurs). Dans MMPOWER-2, elles sont survenues chez 80 % des personnes traitées, le plus souvent légères</w:t>
      </w:r>
      <w:r>
        <w:rPr>
          <w:rStyle w:val="FootnoteReference"/>
        </w:rPr>
        <w:footnoteReference w:id="1893"/>
      </w:r>
      <w:r>
        <w:t xml:space="preserve">. Dans ReCLAIM-2, 86 % des participants sous élamipretide et 71 % sous placebo ont signalé un événement indésirable quelconque</w:t>
      </w:r>
      <w:r>
        <w:rPr>
          <w:rStyle w:val="FootnoteReference"/>
        </w:rPr>
        <w:footnoteReference w:id="1894"/>
      </w:r>
      <w:r>
        <w:t xml:space="preserve">.</w:t>
      </w:r>
    </w:p>
    <w:p>
      <w:pPr>
        <w:numPr>
          <w:ilvl w:val="0"/>
          <w:numId w:val="1237"/>
        </w:numPr>
        <w:pStyle w:val="Compact"/>
      </w:pPr>
      <w:r>
        <w:t xml:space="preserve">Les effets indésirables graves n’étaient pas plus fréquents dans les études ; dans MMPOWER-3, les événements étaient majoritairement légers à modérés</w:t>
      </w:r>
      <w:r>
        <w:rPr>
          <w:rStyle w:val="FootnoteReference"/>
        </w:rPr>
        <w:footnoteReference w:id="1895"/>
      </w:r>
      <w:r>
        <w:t xml:space="preserve">.</w:t>
      </w:r>
    </w:p>
    <w:p>
      <w:pPr>
        <w:numPr>
          <w:ilvl w:val="0"/>
          <w:numId w:val="1237"/>
        </w:numPr>
        <w:pStyle w:val="Compact"/>
      </w:pPr>
      <w:r>
        <w:t xml:space="preserve">Des données à long terme n’existent que pour quelques personnes atteintes du syndrome de Barth, sur un peu plus de trois ans</w:t>
      </w:r>
      <w:r>
        <w:rPr>
          <w:rStyle w:val="FootnoteReference"/>
        </w:rPr>
        <w:footnoteReference w:id="1896"/>
      </w:r>
      <w:r>
        <w:t xml:space="preserve">.</w:t>
      </w:r>
    </w:p>
    <w:p>
      <w:pPr>
        <w:pStyle w:val="FirstParagraph"/>
      </w:pPr>
      <w:r>
        <w:rPr>
          <w:bCs/>
          <w:b/>
        </w:rPr>
        <w:t xml:space="preserve">Théorique :</w:t>
      </w:r>
      <w:r>
        <w:t xml:space="preserve"> </w:t>
      </w:r>
      <w:r>
        <w:t xml:space="preserve">une substance qui intervient durablement dans les mitochondries de toutes les cellules de l’organisme pourrait avoir des effets inconnus en cas d’utilisation pendant des années chez des personnes en bonne santé ; il n’existe pas de données à ce sujet.</w:t>
      </w:r>
    </w:p>
    <w:p>
      <w:pPr>
        <w:pStyle w:val="BodyText"/>
      </w:pPr>
      <w:r>
        <w:rPr>
          <w:bCs/>
          <w:b/>
        </w:rPr>
        <w:t xml:space="preserve">Marché gris :</w:t>
      </w:r>
      <w:r>
        <w:t xml:space="preserve"> </w:t>
      </w:r>
      <w:r>
        <w:t xml:space="preserve">le « SS-31 » est vendu en ligne sous forme de poudre pour injection en vue d’un « rajeunissement des mitochondries ». Ces produits ne sont pas le médicament autorisé ; la teneur et la pureté ne sont pas contrôlées. Pour les personnes en bonne santé, aucun bénéfice n’est démontré.</w:t>
      </w:r>
    </w:p>
    <w:bookmarkEnd w:id="1897"/>
    <w:bookmarkStart w:id="1899" w:name="statut-juridique-43"/>
    <w:p>
      <w:pPr>
        <w:pStyle w:val="Heading3"/>
      </w:pPr>
      <w:r>
        <w:t xml:space="preserve">Statut juridique</w:t>
      </w:r>
    </w:p>
    <w:p>
      <w:pPr>
        <w:numPr>
          <w:ilvl w:val="0"/>
          <w:numId w:val="1238"/>
        </w:numPr>
        <w:pStyle w:val="Compact"/>
      </w:pPr>
      <w:r>
        <w:rPr>
          <w:bCs/>
          <w:b/>
        </w:rPr>
        <w:t xml:space="preserve">UE / Autriche / Allemagne :</w:t>
      </w:r>
      <w:r>
        <w:t xml:space="preserve"> </w:t>
      </w:r>
      <w:r>
        <w:t xml:space="preserve">non autorisé. L’élamipretide est un médicament ; une utilisation n’est possible que dans le cadre d’études ou de programmes d’usage compassionnel.</w:t>
      </w:r>
    </w:p>
    <w:p>
      <w:pPr>
        <w:numPr>
          <w:ilvl w:val="0"/>
          <w:numId w:val="1238"/>
        </w:numPr>
        <w:pStyle w:val="Compact"/>
      </w:pPr>
      <w:r>
        <w:rPr>
          <w:bCs/>
          <w:b/>
        </w:rPr>
        <w:t xml:space="preserve">États-Unis :</w:t>
      </w:r>
      <w:r>
        <w:t xml:space="preserve"> </w:t>
      </w:r>
      <w:r>
        <w:t xml:space="preserve">autorisation accélérée (Forzinity, septembre 2025) uniquement pour le syndrome de Barth à partir de 30 kg de poids corporel ; se référer au résumé des caractéristiques du produit et à un encadrement médical. Pour d’autres maladies, il existe un programme d’usage compassionnel</w:t>
      </w:r>
      <w:r>
        <w:rPr>
          <w:rStyle w:val="FootnoteReference"/>
        </w:rPr>
        <w:footnoteReference w:id="1898"/>
      </w:r>
      <w:r>
        <w:t xml:space="preserve">.</w:t>
      </w:r>
    </w:p>
    <w:p>
      <w:pPr>
        <w:numPr>
          <w:ilvl w:val="0"/>
          <w:numId w:val="1238"/>
        </w:numPr>
        <w:pStyle w:val="Compact"/>
      </w:pPr>
      <w:r>
        <w:rPr>
          <w:bCs/>
          <w:b/>
        </w:rPr>
        <w:t xml:space="preserve">Sport :</w:t>
      </w:r>
      <w:r>
        <w:t xml:space="preserve"> </w:t>
      </w:r>
      <w:r>
        <w:t xml:space="preserve">pas nommément sur la liste de l’AMA (état 2026, à vérifier).</w:t>
      </w:r>
    </w:p>
    <w:bookmarkEnd w:id="1899"/>
    <w:bookmarkStart w:id="1904" w:name="études-en-cours-et-perspectives-43"/>
    <w:p>
      <w:pPr>
        <w:pStyle w:val="Heading3"/>
      </w:pPr>
      <w:r>
        <w:t xml:space="preserve">Études en cours et perspectives</w:t>
      </w:r>
    </w:p>
    <w:p>
      <w:pPr>
        <w:pStyle w:val="FirstParagraph"/>
      </w:pPr>
      <w:r>
        <w:rPr>
          <w:bCs/>
          <w:b/>
        </w:rPr>
        <w:t xml:space="preserve">Établi (études enregistrées, état octobre 2026) :</w:t>
      </w:r>
    </w:p>
    <w:p>
      <w:pPr>
        <w:numPr>
          <w:ilvl w:val="0"/>
          <w:numId w:val="1239"/>
        </w:numPr>
        <w:pStyle w:val="Compact"/>
      </w:pPr>
      <w:r>
        <w:rPr>
          <w:bCs/>
          <w:b/>
        </w:rPr>
        <w:t xml:space="preserve">ReNEW</w:t>
      </w:r>
      <w:r>
        <w:rPr>
          <w:rStyle w:val="FootnoteReference"/>
        </w:rPr>
        <w:footnoteReference w:id="1900"/>
      </w:r>
      <w:r>
        <w:t xml:space="preserve"> </w:t>
      </w:r>
      <w:r>
        <w:t xml:space="preserve">: phase 3 dans la dégénérescence maculaire sèche, 313 participants, recrutement terminé, fin prévue en 2027.</w:t>
      </w:r>
    </w:p>
    <w:p>
      <w:pPr>
        <w:numPr>
          <w:ilvl w:val="0"/>
          <w:numId w:val="1239"/>
        </w:numPr>
        <w:pStyle w:val="Compact"/>
      </w:pPr>
      <w:r>
        <w:rPr>
          <w:bCs/>
          <w:b/>
        </w:rPr>
        <w:t xml:space="preserve">4TAZPower</w:t>
      </w:r>
      <w:r>
        <w:rPr>
          <w:rStyle w:val="FootnoteReference"/>
        </w:rPr>
        <w:footnoteReference w:id="1901"/>
      </w:r>
      <w:r>
        <w:t xml:space="preserve"> </w:t>
      </w:r>
      <w:r>
        <w:t xml:space="preserve">: étude de confirmation dans le syndrome de Barth avec 48 participants prévus, en recrutement.</w:t>
      </w:r>
    </w:p>
    <w:p>
      <w:pPr>
        <w:numPr>
          <w:ilvl w:val="0"/>
          <w:numId w:val="1239"/>
        </w:numPr>
        <w:pStyle w:val="Compact"/>
      </w:pPr>
      <w:r>
        <w:rPr>
          <w:bCs/>
          <w:b/>
        </w:rPr>
        <w:t xml:space="preserve">NuPOWER</w:t>
      </w:r>
      <w:r>
        <w:rPr>
          <w:rStyle w:val="FootnoteReference"/>
        </w:rPr>
        <w:footnoteReference w:id="1902"/>
      </w:r>
      <w:r>
        <w:t xml:space="preserve"> </w:t>
      </w:r>
      <w:r>
        <w:t xml:space="preserve">: phase 3 dans une maladie mitochondriale due à des mutations de l’ADN nucléaire, 102 participants, terminée ; résultats en attente.</w:t>
      </w:r>
    </w:p>
    <w:p>
      <w:pPr>
        <w:numPr>
          <w:ilvl w:val="0"/>
          <w:numId w:val="1239"/>
        </w:numPr>
        <w:pStyle w:val="Compact"/>
      </w:pPr>
      <w:r>
        <w:t xml:space="preserve">Une petite étude de phase 2 chez des personnes âgées en bonne santé examine la fonction physique</w:t>
      </w:r>
      <w:r>
        <w:rPr>
          <w:rStyle w:val="FootnoteReference"/>
        </w:rPr>
        <w:footnoteReference w:id="1903"/>
      </w:r>
      <w:r>
        <w:t xml:space="preserve">.</w:t>
      </w:r>
    </w:p>
    <w:p>
      <w:pPr>
        <w:pStyle w:val="FirstParagraph"/>
      </w:pPr>
      <w:r>
        <w:rPr>
          <w:bCs/>
          <w:b/>
        </w:rPr>
        <w:t xml:space="preserve">Appréciation :</w:t>
      </w:r>
      <w:r>
        <w:t xml:space="preserve"> </w:t>
      </w:r>
      <w:r>
        <w:t xml:space="preserve">ReNEW et NuPOWER décideront si l’élamipretide trouve une place au-delà du syndrome de Barth. L’expérience de MMPOWER-3, EMBRACE et PROGRESS-HF invite à la prudence : un mécanisme convaincant ne garantit pas un bénéfice clinique.</w:t>
      </w:r>
    </w:p>
    <w:bookmarkEnd w:id="1904"/>
    <w:bookmarkStart w:id="1905" w:name="conclusion-43"/>
    <w:p>
      <w:pPr>
        <w:pStyle w:val="Heading3"/>
      </w:pPr>
      <w:r>
        <w:t xml:space="preserve">Conclusion</w:t>
      </w:r>
    </w:p>
    <w:p>
      <w:pPr>
        <w:pStyle w:val="FirstParagraph"/>
      </w:pPr>
      <w:r>
        <w:t xml:space="preserve">L’élamipretide (SS-31) est un tétrapeptide qui se lie à la cardiolipine dans les mitochondries et qui a obtenu en 2025 aux États-Unis, en tant que premier médicament mitochondrial, une autorisation accélérée pour le très rare syndrome de Barth – sur la base d’une étude portant sur douze personnes, dont la partie contrôlée a manqué ses critères principaux, et de données ouvertes à long terme. Dans des études randomisées plus vastes sur la myopathie mitochondriale, l’infarctus du myocarde, l’insuffisance cardiaque et la dégénérescence maculaire, les critères principaux n’ont pas été atteints. Le médicament est bien toléré ; les réactions au point d’injection, surtout, sont fréquentes. Pour les personnes en bonne santé ou comme produit « anti-âge », aucun bénéfice n’est démontré.</w:t>
      </w:r>
    </w:p>
    <w:bookmarkEnd w:id="1905"/>
    <w:bookmarkEnd w:id="1906"/>
    <w:bookmarkStart w:id="1925" w:name="foxo4-dri"/>
    <w:p>
      <w:pPr>
        <w:pStyle w:val="Heading2"/>
      </w:pPr>
      <w:r>
        <w:t xml:space="preserve">FOXO4-DRI</w:t>
      </w:r>
    </w:p>
    <w:bookmarkStart w:id="1907" w:name="fiche-signalétique-44"/>
    <w:p>
      <w:pPr>
        <w:pStyle w:val="Heading3"/>
      </w:pPr>
      <w:r>
        <w:t xml:space="preserve">Fiche signalétique</w:t>
      </w:r>
    </w:p>
    <w:p>
      <w:pPr>
        <w:numPr>
          <w:ilvl w:val="0"/>
          <w:numId w:val="1240"/>
        </w:numPr>
        <w:pStyle w:val="Compact"/>
      </w:pPr>
      <w:r>
        <w:rPr>
          <w:bCs/>
          <w:b/>
        </w:rPr>
        <w:t xml:space="preserve">Nature et structure :</w:t>
      </w:r>
      <w:r>
        <w:t xml:space="preserve"> </w:t>
      </w:r>
      <w:r>
        <w:t xml:space="preserve">peptide de synthèse relativement long, dérivé d’un segment de la protéine FOXO4. « DRI » signifie</w:t>
      </w:r>
      <w:r>
        <w:t xml:space="preserve"> </w:t>
      </w:r>
      <w:r>
        <w:rPr>
          <w:iCs/>
          <w:i/>
        </w:rPr>
        <w:t xml:space="preserve">D-retro-inverso</w:t>
      </w:r>
      <w:r>
        <w:t xml:space="preserve"> </w:t>
      </w:r>
      <w:r>
        <w:t xml:space="preserve">: le peptide est constitué d’acides aminés D, images en miroir, disposés dans l’ordre inverse. Il n’est ainsi presque pas dégradé par les enzymes de l’organisme. Un segment ajouté, chargé positivement (dérivé d’une protéine virale), doit le faire pénétrer dans les cellules.</w:t>
      </w:r>
    </w:p>
    <w:p>
      <w:pPr>
        <w:numPr>
          <w:ilvl w:val="0"/>
          <w:numId w:val="1240"/>
        </w:numPr>
        <w:pStyle w:val="Compact"/>
      </w:pPr>
      <w:r>
        <w:rPr>
          <w:bCs/>
          <w:b/>
        </w:rPr>
        <w:t xml:space="preserve">Origine :</w:t>
      </w:r>
      <w:r>
        <w:t xml:space="preserve"> </w:t>
      </w:r>
      <w:r>
        <w:t xml:space="preserve">présenté en 2017 par un groupe de recherche néerlandais dirigé par Peter de Keizer (Erasmus MC, Rotterdam).</w:t>
      </w:r>
    </w:p>
    <w:p>
      <w:pPr>
        <w:numPr>
          <w:ilvl w:val="0"/>
          <w:numId w:val="1240"/>
        </w:numPr>
        <w:pStyle w:val="Compact"/>
      </w:pPr>
      <w:r>
        <w:rPr>
          <w:bCs/>
          <w:b/>
        </w:rPr>
        <w:t xml:space="preserve">Principe d’action :</w:t>
      </w:r>
      <w:r>
        <w:t xml:space="preserve"> </w:t>
      </w:r>
      <w:r>
        <w:rPr>
          <w:bCs/>
          <w:b/>
        </w:rPr>
        <w:t xml:space="preserve">sénolytique</w:t>
      </w:r>
      <w:r>
        <w:t xml:space="preserve"> </w:t>
      </w:r>
      <w:r>
        <w:t xml:space="preserve">– une substance censée pousser de manière ciblée les cellules vieillies, dites sénescentes, vers la mort cellulaire programmée, en perturbant la liaison entre FOXO4 et la protéine protectrice p53.</w:t>
      </w:r>
    </w:p>
    <w:p>
      <w:pPr>
        <w:numPr>
          <w:ilvl w:val="0"/>
          <w:numId w:val="1240"/>
        </w:numPr>
        <w:pStyle w:val="Compact"/>
      </w:pPr>
      <w:r>
        <w:rPr>
          <w:bCs/>
          <w:b/>
        </w:rPr>
        <w:t xml:space="preserve">Autorisation UE :</w:t>
      </w:r>
      <w:r>
        <w:t xml:space="preserve"> </w:t>
      </w:r>
      <w:r>
        <w:t xml:space="preserve">non.</w:t>
      </w:r>
    </w:p>
    <w:p>
      <w:pPr>
        <w:numPr>
          <w:ilvl w:val="0"/>
          <w:numId w:val="1240"/>
        </w:numPr>
        <w:pStyle w:val="Compact"/>
      </w:pPr>
      <w:r>
        <w:rPr>
          <w:bCs/>
          <w:b/>
        </w:rPr>
        <w:t xml:space="preserve">Autorisation États-Unis :</w:t>
      </w:r>
      <w:r>
        <w:t xml:space="preserve"> </w:t>
      </w:r>
      <w:r>
        <w:t xml:space="preserve">non.</w:t>
      </w:r>
    </w:p>
    <w:p>
      <w:pPr>
        <w:numPr>
          <w:ilvl w:val="0"/>
          <w:numId w:val="1240"/>
        </w:numPr>
        <w:pStyle w:val="Compact"/>
      </w:pPr>
      <w:r>
        <w:rPr>
          <w:bCs/>
          <w:b/>
        </w:rPr>
        <w:t xml:space="preserve">AMA (WADA) :</w:t>
      </w:r>
      <w:r>
        <w:t xml:space="preserve"> </w:t>
      </w:r>
      <w:r>
        <w:t xml:space="preserve">pas nommément listé ; en tant que substance autorisée nulle part, le FOXO4-DRI relève selon notre appréciation de la catégorie générale S0.</w:t>
      </w:r>
    </w:p>
    <w:p>
      <w:pPr>
        <w:numPr>
          <w:ilvl w:val="0"/>
          <w:numId w:val="1240"/>
        </w:numPr>
        <w:pStyle w:val="Compact"/>
      </w:pPr>
      <w:r>
        <w:rPr>
          <w:bCs/>
          <w:b/>
        </w:rPr>
        <w:t xml:space="preserve">Niveau de preuve :</w:t>
      </w:r>
      <w:r>
        <w:t xml:space="preserve"> </w:t>
      </w:r>
      <w:r>
        <w:rPr>
          <w:bCs/>
          <w:b/>
        </w:rPr>
        <w:t xml:space="preserve">D</w:t>
      </w:r>
      <w:r>
        <w:t xml:space="preserve"> </w:t>
      </w:r>
      <w:r>
        <w:t xml:space="preserve">– exclusivement des études animales et de laboratoire.</w:t>
      </w:r>
    </w:p>
    <w:bookmarkEnd w:id="1907"/>
    <w:bookmarkStart w:id="1913" w:name="mode-daction-supposé-44"/>
    <w:p>
      <w:pPr>
        <w:pStyle w:val="Heading3"/>
      </w:pPr>
      <w:r>
        <w:t xml:space="preserve">Mode d’action supposé</w:t>
      </w:r>
    </w:p>
    <w:p>
      <w:pPr>
        <w:pStyle w:val="FirstParagraph"/>
      </w:pPr>
      <w:r>
        <w:t xml:space="preserve">Les</w:t>
      </w:r>
      <w:r>
        <w:t xml:space="preserve"> </w:t>
      </w:r>
      <w:r>
        <w:rPr>
          <w:bCs/>
          <w:b/>
        </w:rPr>
        <w:t xml:space="preserve">cellules sénescentes</w:t>
      </w:r>
      <w:r>
        <w:t xml:space="preserve"> </w:t>
      </w:r>
      <w:r>
        <w:t xml:space="preserve">sont des cellules qui, après des dommages – par exemple dus aux rayonnements, à une chimiothérapie, au stress oxydatif ou simplement à de nombreuses divisions –, ne se divisent plus, mais ne meurent pas non plus. Elles restent dans le tissu et libèrent un mélange de messagers inflammatoires et d’enzymes qui dégradent les tissus, appelé SASP (</w:t>
      </w:r>
      <w:r>
        <w:rPr>
          <w:iCs/>
          <w:i/>
        </w:rPr>
        <w:t xml:space="preserve">senescence-associated secretory phenotype</w:t>
      </w:r>
      <w:r>
        <w:t xml:space="preserve">). Avec l’âge, elles deviennent plus nombreuses dans de nombreux organes. Chez des souris dont ces cellules étaient éliminées de façon ciblée par génie génétique, diverses manifestations du vieillissement ont été retardées. C’est de là qu’est née l’idée des</w:t>
      </w:r>
      <w:r>
        <w:t xml:space="preserve"> </w:t>
      </w:r>
      <w:r>
        <w:rPr>
          <w:bCs/>
          <w:b/>
        </w:rPr>
        <w:t xml:space="preserve">sénolytiques</w:t>
      </w:r>
      <w:r>
        <w:t xml:space="preserve"> </w:t>
      </w:r>
      <w:r>
        <w:t xml:space="preserve">: des médicaments qui éliminent les cellules sénescentes.</w:t>
      </w:r>
    </w:p>
    <w:p>
      <w:pPr>
        <w:pStyle w:val="BodyText"/>
      </w:pPr>
      <w:r>
        <w:t xml:space="preserve">Les cellules sénescentes survivent notamment parce qu’elles répriment des programmes d’autodestruction. Le groupe de Rotterdam a découvert que la protéine FOXO4 joue ici un rôle clé : elle retient dans le noyau la protéine p53, qui déclencherait sinon la mort cellulaire. Le peptide FOXO4-DRI perturbe cette liaison ; p53 est chassée du noyau, et la cellule sénescente meurt. Les cellules saines, qui se divisent normalement, devraient être largement épargnées</w:t>
      </w:r>
      <w:r>
        <w:rPr>
          <w:rStyle w:val="FootnoteReference"/>
        </w:rPr>
        <w:footnoteReference w:id="1908"/>
      </w:r>
      <w:r>
        <w:t xml:space="preserve">. Des études structurales de 2025 ont confirmé que le FOXO4-DRI se lie à un segment désordonné de p53 – le segment du peptide assurant la pénétration cellulaire participant lui aussi à la liaison</w:t>
      </w:r>
      <w:r>
        <w:rPr>
          <w:rStyle w:val="FootnoteReference"/>
        </w:rPr>
        <w:footnoteReference w:id="1909"/>
      </w:r>
      <w:r>
        <w:t xml:space="preserve">.</w:t>
      </w:r>
    </w:p>
    <w:bookmarkStart w:id="1912" w:name="X497b4de5acb2c463133c85f69df5d1fa50ad14b"/>
    <w:p>
      <w:pPr>
        <w:pStyle w:val="Heading4"/>
      </w:pPr>
      <w:r>
        <w:t xml:space="preserve">Les sénolytiques chez l’humain : le contexte</w:t>
      </w:r>
    </w:p>
    <w:p>
      <w:pPr>
        <w:pStyle w:val="FirstParagraph"/>
      </w:pPr>
      <w:r>
        <w:t xml:space="preserve">Le FOXO4-DRI lui-même n’a jamais été testé chez l’humain. Pour le situer, il est utile d’examiner d’autres sénolytiques déjà étudiés en clinique – surtout l’association du médicament anticancéreux dasatinib et de la substance végétale quercétine (en abrégé D+Q) :</w:t>
      </w:r>
    </w:p>
    <w:p>
      <w:pPr>
        <w:numPr>
          <w:ilvl w:val="0"/>
          <w:numId w:val="1241"/>
        </w:numPr>
        <w:pStyle w:val="Compact"/>
      </w:pPr>
      <w:r>
        <w:t xml:space="preserve">Dans une première étude pilote ouverte portant sur 14 personnes atteintes de fibrose pulmonaire idiopathique, la distance et la vitesse de marche se sont améliorées, mais pas la fonction pulmonaire ; un événement indésirable grave est survenu</w:t>
      </w:r>
      <w:r>
        <w:rPr>
          <w:rStyle w:val="FootnoteReference"/>
        </w:rPr>
        <w:footnoteReference w:id="1910"/>
      </w:r>
      <w:r>
        <w:t xml:space="preserve">.</w:t>
      </w:r>
    </w:p>
    <w:p>
      <w:pPr>
        <w:numPr>
          <w:ilvl w:val="0"/>
          <w:numId w:val="1241"/>
        </w:numPr>
        <w:pStyle w:val="Compact"/>
      </w:pPr>
      <w:r>
        <w:t xml:space="preserve">Dans une étude randomisée de phase 2 portant sur 60 femmes ménopausées, le D+Q n’a pas réduit le marqueur de la résorption osseuse (critère principal manqué) ; ce n’est que dans un sous-groupe examiné a posteriori, riche en cellules sénescentes, que des effets favorables sont apparus</w:t>
      </w:r>
      <w:r>
        <w:rPr>
          <w:rStyle w:val="FootnoteReference"/>
        </w:rPr>
        <w:footnoteReference w:id="1911"/>
      </w:r>
      <w:r>
        <w:t xml:space="preserve">.</w:t>
      </w:r>
    </w:p>
    <w:p>
      <w:pPr>
        <w:pStyle w:val="FirstParagraph"/>
      </w:pPr>
      <w:r>
        <w:t xml:space="preserve">La recherche clinique sur les sénolytiques n’en est donc qu’à ses débuts, et les premiers résultats contrôlés sont réservés. C’est sur ce fond que le FOXO4-DRI est vendu sur Internet comme « peptide de rajeunissement ».</w:t>
      </w:r>
    </w:p>
    <w:bookmarkEnd w:id="1912"/>
    <w:bookmarkEnd w:id="1913"/>
    <w:bookmarkStart w:id="1915" w:name="études-chez-lhumain-44"/>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n’a donné</w:t>
      </w:r>
      <w:r>
        <w:t xml:space="preserve"> </w:t>
      </w:r>
      <w:r>
        <w:rPr>
          <w:bCs/>
          <w:b/>
        </w:rPr>
        <w:t xml:space="preserve">aucune</w:t>
      </w:r>
      <w:r>
        <w:t xml:space="preserve"> </w:t>
      </w:r>
      <w:r>
        <w:t xml:space="preserve">étude chez l’humain avec le FOXO4-DRI ; au total, PubMed recense environ 20 travaux avec ce terme. Aucune étude n’est enregistrée sur ClinicalTrials.gov. On n’a pas non plus trouvé de rapports de cas d’utilisation chez l’humain ni d’analyses de produits du marché gris.</w:t>
      </w:r>
    </w:p>
    <w:p>
      <w:pPr>
        <w:pStyle w:val="BodyText"/>
      </w:pPr>
      <w:r>
        <w:t xml:space="preserve">Ce qui s’approche le plus de l’humain est une étude de laboratoire sur des cellules cartilagineuses humaines : dans des cellules multipliées en laboratoire en vue d’une greffe de cartilage, le FOXO4-DRI a éliminé plus de la moitié des cellules fortement multipliées (et donc plus souvent sénescentes), mais n’a pas amélioré la capacité à former du nouveau cartilage</w:t>
      </w:r>
      <w:r>
        <w:rPr>
          <w:rStyle w:val="FootnoteReference"/>
        </w:rPr>
        <w:footnoteReference w:id="1914"/>
      </w:r>
      <w:r>
        <w:t xml:space="preserve">.</w:t>
      </w:r>
    </w:p>
    <w:bookmarkEnd w:id="1915"/>
    <w:bookmarkStart w:id="1918" w:name="études-animales-et-de-laboratoire-44"/>
    <w:p>
      <w:pPr>
        <w:pStyle w:val="Heading3"/>
      </w:pPr>
      <w:r>
        <w:t xml:space="preserve">Études animales et de laboratoire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Étude</w:t>
            </w:r>
          </w:p>
        </w:tc>
        <w:tc>
          <w:tcPr/>
          <w:p>
            <w:pPr>
              <w:pStyle w:val="Compact"/>
              <w:jc w:val="left"/>
            </w:pPr>
            <w:r>
              <w:t xml:space="preserve">Modèle</w:t>
            </w:r>
          </w:p>
        </w:tc>
        <w:tc>
          <w:tcPr/>
          <w:p>
            <w:pPr>
              <w:pStyle w:val="Compact"/>
              <w:jc w:val="left"/>
            </w:pPr>
            <w:r>
              <w:t xml:space="preserve">Résultat</w:t>
            </w:r>
          </w:p>
        </w:tc>
      </w:tr>
      <w:tr>
        <w:tc>
          <w:tcPr/>
          <w:p>
            <w:pPr>
              <w:pStyle w:val="Compact"/>
              <w:jc w:val="left"/>
            </w:pPr>
            <w:r>
              <w:t xml:space="preserve">Baar 2017, PMID 28340339</w:t>
            </w:r>
          </w:p>
        </w:tc>
        <w:tc>
          <w:tcPr/>
          <w:p>
            <w:pPr>
              <w:pStyle w:val="Compact"/>
              <w:jc w:val="left"/>
            </w:pPr>
            <w:r>
              <w:t xml:space="preserve">souris à vieillissement accéléré et souris naturellement âgées ; lésions dues à la chimiothérapie</w:t>
            </w:r>
          </w:p>
        </w:tc>
        <w:tc>
          <w:tcPr/>
          <w:p>
            <w:pPr>
              <w:pStyle w:val="Compact"/>
              <w:jc w:val="left"/>
            </w:pPr>
            <w:r>
              <w:t xml:space="preserve">meilleure condition physique, pelage plus dense, meilleure fonction rénale ; protection contre les lésions dues à la doxorubicine</w:t>
            </w:r>
          </w:p>
        </w:tc>
      </w:tr>
      <w:tr>
        <w:tc>
          <w:tcPr/>
          <w:p>
            <w:pPr>
              <w:pStyle w:val="Compact"/>
              <w:jc w:val="left"/>
            </w:pPr>
            <w:r>
              <w:t xml:space="preserve">Zhang 2020, PMID 31959736</w:t>
            </w:r>
          </w:p>
        </w:tc>
        <w:tc>
          <w:tcPr/>
          <w:p>
            <w:pPr>
              <w:pStyle w:val="Compact"/>
              <w:jc w:val="left"/>
            </w:pPr>
            <w:r>
              <w:t xml:space="preserve">souris naturellement âgées</w:t>
            </w:r>
          </w:p>
        </w:tc>
        <w:tc>
          <w:tcPr/>
          <w:p>
            <w:pPr>
              <w:pStyle w:val="Compact"/>
              <w:jc w:val="left"/>
            </w:pPr>
            <w:r>
              <w:t xml:space="preserve">production de testostérone dans les testicules améliorée</w:t>
            </w:r>
          </w:p>
        </w:tc>
      </w:tr>
      <w:tr>
        <w:tc>
          <w:tcPr/>
          <w:p>
            <w:pPr>
              <w:pStyle w:val="Compact"/>
              <w:jc w:val="left"/>
            </w:pPr>
            <w:r>
              <w:t xml:space="preserve">Han 2022, PMID 35510614</w:t>
            </w:r>
          </w:p>
        </w:tc>
        <w:tc>
          <w:tcPr/>
          <w:p>
            <w:pPr>
              <w:pStyle w:val="Compact"/>
              <w:jc w:val="left"/>
            </w:pPr>
            <w:r>
              <w:t xml:space="preserve">fibrose pulmonaire chez la souris</w:t>
            </w:r>
          </w:p>
        </w:tc>
        <w:tc>
          <w:tcPr/>
          <w:p>
            <w:pPr>
              <w:pStyle w:val="Compact"/>
              <w:jc w:val="left"/>
            </w:pPr>
            <w:r>
              <w:t xml:space="preserve">moins de fibrose</w:t>
            </w:r>
          </w:p>
        </w:tc>
      </w:tr>
      <w:tr>
        <w:tc>
          <w:tcPr/>
          <w:p>
            <w:pPr>
              <w:pStyle w:val="Compact"/>
              <w:jc w:val="left"/>
            </w:pPr>
            <w:r>
              <w:t xml:space="preserve">Kong 2025, PMID 39994346</w:t>
            </w:r>
          </w:p>
        </w:tc>
        <w:tc>
          <w:tcPr/>
          <w:p>
            <w:pPr>
              <w:pStyle w:val="Compact"/>
              <w:jc w:val="left"/>
            </w:pPr>
            <w:r>
              <w:t xml:space="preserve">tissu de chéloïde (cicatrices excessives) en laboratoire</w:t>
            </w:r>
          </w:p>
        </w:tc>
        <w:tc>
          <w:tcPr/>
          <w:p>
            <w:pPr>
              <w:pStyle w:val="Compact"/>
              <w:jc w:val="left"/>
            </w:pPr>
            <w:r>
              <w:t xml:space="preserve">davantage de mort cellulaire des cellules conjonctives sénescentes</w:t>
            </w:r>
          </w:p>
        </w:tc>
      </w:tr>
      <w:tr>
        <w:tc>
          <w:tcPr/>
          <w:p>
            <w:pPr>
              <w:pStyle w:val="Compact"/>
              <w:jc w:val="left"/>
            </w:pPr>
            <w:r>
              <w:t xml:space="preserve">Born 2023, PMID 36515093</w:t>
            </w:r>
          </w:p>
        </w:tc>
        <w:tc>
          <w:tcPr/>
          <w:p>
            <w:pPr>
              <w:pStyle w:val="Compact"/>
              <w:jc w:val="left"/>
            </w:pPr>
            <w:r>
              <w:t xml:space="preserve">modèles d’hypertension pulmonaire chez la souris et le rat</w:t>
            </w:r>
          </w:p>
        </w:tc>
        <w:tc>
          <w:tcPr/>
          <w:p>
            <w:pPr>
              <w:pStyle w:val="Compact"/>
              <w:jc w:val="left"/>
            </w:pPr>
            <w:r>
              <w:t xml:space="preserve">l’élimination des cellules sénescentes, y compris par FOXO4-DRI, a</w:t>
            </w:r>
            <w:r>
              <w:t xml:space="preserve"> </w:t>
            </w:r>
            <w:r>
              <w:rPr>
                <w:bCs/>
                <w:b/>
              </w:rPr>
              <w:t xml:space="preserve">aggravé</w:t>
            </w:r>
            <w:r>
              <w:t xml:space="preserve"> </w:t>
            </w:r>
            <w:r>
              <w:t xml:space="preserve">la circulation pulmonaire</w:t>
            </w:r>
          </w:p>
        </w:tc>
      </w:tr>
    </w:tbl>
    <w:p>
      <w:pPr>
        <w:pStyle w:val="BodyText"/>
      </w:pPr>
      <w:r>
        <w:t xml:space="preserve">La première description a suscité une grande attention : chez des souris à vieillissement accéléré et chez des animaux naturellement âgés, la condition physique, l’aspect du pelage et la fonction rénale se sont améliorés</w:t>
      </w:r>
      <w:r>
        <w:rPr>
          <w:rStyle w:val="FootnoteReference"/>
        </w:rPr>
        <w:footnoteReference w:id="1916"/>
      </w:r>
      <w:r>
        <w:t xml:space="preserve">. Des travaux ultérieurs d’autres groupes, principalement chinois, ont décrit des effets sur les testicules, les poumons et la peau.</w:t>
      </w:r>
    </w:p>
    <w:p>
      <w:pPr>
        <w:pStyle w:val="BodyText"/>
      </w:pPr>
      <w:r>
        <w:t xml:space="preserve">Un important résultat contraire provient de la recherche cardiovasculaire : dans des modèles d’hypertension pulmonaire, l’élimination des cellules sénescentes – aussi bien par génie génétique qu’avec les sénolytiques ABT263 ou FOXO4-DRI – a aggravé la pression dans la circulation pulmonaire et entraîné la perte de cellules endothéliales des vaisseaux pulmonaires. Les auteurs en concluent que les sénolytiques pourraient nuire aux vaisseaux pulmonaires</w:t>
      </w:r>
      <w:r>
        <w:rPr>
          <w:rStyle w:val="FootnoteReference"/>
        </w:rPr>
        <w:footnoteReference w:id="1917"/>
      </w:r>
      <w:r>
        <w:t xml:space="preserve">. Cela montre que les cellules sénescentes ne sont pas seulement un « fardeau », mais peuvent aussi avoir des fonctions stabilisatrices dans certains tissus.</w:t>
      </w:r>
    </w:p>
    <w:bookmarkEnd w:id="1918"/>
    <w:bookmarkStart w:id="1921" w:name="risques-et-effets-indésirables-44"/>
    <w:p>
      <w:pPr>
        <w:pStyle w:val="Heading3"/>
      </w:pPr>
      <w:r>
        <w:t xml:space="preserve">Risques et effets indésirables</w:t>
      </w:r>
    </w:p>
    <w:p>
      <w:pPr>
        <w:pStyle w:val="FirstParagraph"/>
      </w:pPr>
      <w:r>
        <w:rPr>
          <w:bCs/>
          <w:b/>
        </w:rPr>
        <w:t xml:space="preserve">Établi :</w:t>
      </w:r>
      <w:r>
        <w:t xml:space="preserve"> </w:t>
      </w:r>
      <w:r>
        <w:t xml:space="preserve">aucune donnée chez l’humain.</w:t>
      </w:r>
    </w:p>
    <w:p>
      <w:pPr>
        <w:pStyle w:val="BodyText"/>
      </w:pPr>
      <w:r>
        <w:rPr>
          <w:bCs/>
          <w:b/>
        </w:rPr>
        <w:t xml:space="preserve">Théorique – et en partie étayé par des données animales :</w:t>
      </w:r>
    </w:p>
    <w:p>
      <w:pPr>
        <w:numPr>
          <w:ilvl w:val="0"/>
          <w:numId w:val="1242"/>
        </w:numPr>
        <w:pStyle w:val="Compact"/>
      </w:pPr>
      <w:r>
        <w:rPr>
          <w:bCs/>
          <w:b/>
        </w:rPr>
        <w:t xml:space="preserve">Vaisseaux et poumons :</w:t>
      </w:r>
      <w:r>
        <w:t xml:space="preserve"> </w:t>
      </w:r>
      <w:r>
        <w:t xml:space="preserve">dans le modèle animal, le FOXO4-DRI a aggravé une hypertension pulmonaire existante</w:t>
      </w:r>
      <w:r>
        <w:rPr>
          <w:rStyle w:val="FootnoteReference"/>
        </w:rPr>
        <w:footnoteReference w:id="1919"/>
      </w:r>
      <w:r>
        <w:t xml:space="preserve">.</w:t>
      </w:r>
    </w:p>
    <w:p>
      <w:pPr>
        <w:numPr>
          <w:ilvl w:val="0"/>
          <w:numId w:val="1242"/>
        </w:numPr>
        <w:pStyle w:val="Compact"/>
      </w:pPr>
      <w:r>
        <w:rPr>
          <w:bCs/>
          <w:b/>
        </w:rPr>
        <w:t xml:space="preserve">p53 et cancer :</w:t>
      </w:r>
      <w:r>
        <w:t xml:space="preserve"> </w:t>
      </w:r>
      <w:r>
        <w:t xml:space="preserve">p53 est l’un des principaux suppresseurs de tumeurs de l’organisme. Le FOXO4-DRI modifie de manière ciblée l’endroit où p53 se trouve dans la cellule. Les conséquences à long terme pour la défense anticancéreuse n’ont pas été étudiées. Les concepteurs voient inversement dans ce principe aussi une approche de traitement du cancer</w:t>
      </w:r>
      <w:r>
        <w:rPr>
          <w:rStyle w:val="FootnoteReference"/>
        </w:rPr>
        <w:footnoteReference w:id="1920"/>
      </w:r>
      <w:r>
        <w:t xml:space="preserve">.</w:t>
      </w:r>
    </w:p>
    <w:p>
      <w:pPr>
        <w:numPr>
          <w:ilvl w:val="0"/>
          <w:numId w:val="1242"/>
        </w:numPr>
        <w:pStyle w:val="Compact"/>
      </w:pPr>
      <w:r>
        <w:rPr>
          <w:bCs/>
          <w:b/>
        </w:rPr>
        <w:t xml:space="preserve">Cicatrisation et réparation tissulaire :</w:t>
      </w:r>
      <w:r>
        <w:t xml:space="preserve"> </w:t>
      </w:r>
      <w:r>
        <w:t xml:space="preserve">les cellules sénescentes participent aussi à la cicatrisation et au remodelage tissulaire ; leur élimination peut perturber ces processus.</w:t>
      </w:r>
    </w:p>
    <w:p>
      <w:pPr>
        <w:numPr>
          <w:ilvl w:val="0"/>
          <w:numId w:val="1242"/>
        </w:numPr>
        <w:pStyle w:val="Compact"/>
      </w:pPr>
      <w:r>
        <w:rPr>
          <w:bCs/>
          <w:b/>
        </w:rPr>
        <w:t xml:space="preserve">Réactions immunitaires :</w:t>
      </w:r>
      <w:r>
        <w:t xml:space="preserve"> </w:t>
      </w:r>
      <w:r>
        <w:t xml:space="preserve">le peptide contient un segment issu d’une protéine virale et est relativement volumineux ; des réactions immunitaires en cas d’administration répétée sont envisageables, mais n’ont pas été étudiées.</w:t>
      </w:r>
    </w:p>
    <w:p>
      <w:pPr>
        <w:pStyle w:val="FirstParagraph"/>
      </w:pPr>
      <w:r>
        <w:rPr>
          <w:bCs/>
          <w:b/>
        </w:rPr>
        <w:t xml:space="preserve">Marché gris :</w:t>
      </w:r>
      <w:r>
        <w:t xml:space="preserve"> </w:t>
      </w:r>
      <w:r>
        <w:t xml:space="preserve">le FOXO4-DRI est proposé en ligne comme « sénolytique » pour injection, souvent à des prix élevés. La fabrication d’un long peptide composé d’acides aminés D est exigeante ; on n’a pas vérifié si les produits vendus présentent réellement la bonne séquence et la bonne pureté.</w:t>
      </w:r>
    </w:p>
    <w:bookmarkEnd w:id="1921"/>
    <w:bookmarkStart w:id="1922" w:name="statut-juridique-44"/>
    <w:p>
      <w:pPr>
        <w:pStyle w:val="Heading3"/>
      </w:pPr>
      <w:r>
        <w:t xml:space="preserve">Statut juridique</w:t>
      </w:r>
    </w:p>
    <w:p>
      <w:pPr>
        <w:numPr>
          <w:ilvl w:val="0"/>
          <w:numId w:val="1243"/>
        </w:numPr>
        <w:pStyle w:val="Compact"/>
      </w:pPr>
      <w:r>
        <w:rPr>
          <w:bCs/>
          <w:b/>
        </w:rPr>
        <w:t xml:space="preserve">UE / Autriche / Allemagne :</w:t>
      </w:r>
      <w:r>
        <w:t xml:space="preserve"> </w:t>
      </w:r>
      <w:r>
        <w:t xml:space="preserve">non autorisé ; en tant que substance à effet pharmacologique, le FOXO4-DRI est considéré comme un médicament, et sa vente en vue d’un usage humain n’est pas permise.</w:t>
      </w:r>
    </w:p>
    <w:p>
      <w:pPr>
        <w:numPr>
          <w:ilvl w:val="0"/>
          <w:numId w:val="1243"/>
        </w:numPr>
        <w:pStyle w:val="Compact"/>
      </w:pPr>
      <w:r>
        <w:rPr>
          <w:bCs/>
          <w:b/>
        </w:rPr>
        <w:t xml:space="preserve">États-Unis :</w:t>
      </w:r>
      <w:r>
        <w:t xml:space="preserve"> </w:t>
      </w:r>
      <w:r>
        <w:t xml:space="preserve">non autorisé.</w:t>
      </w:r>
    </w:p>
    <w:p>
      <w:pPr>
        <w:numPr>
          <w:ilvl w:val="0"/>
          <w:numId w:val="1243"/>
        </w:numPr>
        <w:pStyle w:val="Compact"/>
      </w:pPr>
      <w:r>
        <w:rPr>
          <w:bCs/>
          <w:b/>
        </w:rPr>
        <w:t xml:space="preserve">Sport :</w:t>
      </w:r>
      <w:r>
        <w:t xml:space="preserve"> </w:t>
      </w:r>
      <w:r>
        <w:t xml:space="preserve">selon notre appréciation, catégorie S0 de l’AMA (état 2026, à vérifier).</w:t>
      </w:r>
    </w:p>
    <w:bookmarkEnd w:id="1922"/>
    <w:bookmarkStart w:id="1923" w:name="études-en-cours-et-perspectives-44"/>
    <w:p>
      <w:pPr>
        <w:pStyle w:val="Heading3"/>
      </w:pPr>
      <w:r>
        <w:t xml:space="preserve">Études en cours et perspectives</w:t>
      </w:r>
    </w:p>
    <w:p>
      <w:pPr>
        <w:pStyle w:val="FirstParagraph"/>
      </w:pPr>
      <w:r>
        <w:rPr>
          <w:bCs/>
          <w:b/>
        </w:rPr>
        <w:t xml:space="preserve">Établi :</w:t>
      </w:r>
      <w:r>
        <w:t xml:space="preserve"> </w:t>
      </w:r>
      <w:r>
        <w:t xml:space="preserve">aucune étude clinique enregistrée avec le FOXO4-DRI (requête d’octobre 2026). Le groupe des concepteurs travaille à des développements du principe ; les études cliniques sur les sénolytiques portent surtout sur d’autres substances.</w:t>
      </w:r>
    </w:p>
    <w:p>
      <w:pPr>
        <w:pStyle w:val="BodyText"/>
      </w:pPr>
      <w:r>
        <w:rPr>
          <w:bCs/>
          <w:b/>
        </w:rPr>
        <w:t xml:space="preserve">Appréciation :</w:t>
      </w:r>
      <w:r>
        <w:t xml:space="preserve"> </w:t>
      </w:r>
      <w:r>
        <w:t xml:space="preserve">la recherche sur les sénolytiques est l’un des domaines les plus passionnants de la recherche sur le vieillissement, mais les premières études contrôlées chez l’humain ont été décevantes. Pour le FOXO4-DRI, il faudrait d’abord des études de toxicité systématiques et une première étude prudente chez l’humain – idéalement dans une maladie clairement définie, et non comme « anti-âge » général.</w:t>
      </w:r>
    </w:p>
    <w:bookmarkEnd w:id="1923"/>
    <w:bookmarkStart w:id="1924" w:name="conclusion-44"/>
    <w:p>
      <w:pPr>
        <w:pStyle w:val="Heading3"/>
      </w:pPr>
      <w:r>
        <w:t xml:space="preserve">Conclusion</w:t>
      </w:r>
    </w:p>
    <w:p>
      <w:pPr>
        <w:pStyle w:val="FirstParagraph"/>
      </w:pPr>
      <w:r>
        <w:t xml:space="preserve">Le FOXO4-DRI est un peptide artificiel qui a éliminé de manière ciblée des cellules sénescentes dans des cultures cellulaires et chez la souris, et qui a amélioré la condition physique, le pelage et la fonction rénale chez des animaux âgés. Il n’a jamais été étudié chez l’humain. Dans des modèles animaux d’hypertension pulmonaire, l’élimination des cellules sénescentes par FOXO4-DRI a aggravé l’évolution de la maladie, et l’intervention sur la protéine de protection anticancéreuse p53 soulève des questions ouvertes. Les données ne suffisent pas pour juger du bénéfice ou de la sécurité chez l’humain.</w:t>
      </w:r>
    </w:p>
    <w:bookmarkEnd w:id="1924"/>
    <w:bookmarkEnd w:id="1925"/>
    <w:bookmarkStart w:id="1957" w:name="glutathion"/>
    <w:p>
      <w:pPr>
        <w:pStyle w:val="Heading2"/>
      </w:pPr>
      <w:r>
        <w:t xml:space="preserve">Glutathion</w:t>
      </w:r>
    </w:p>
    <w:bookmarkStart w:id="1926" w:name="fiche-signalétique-45"/>
    <w:p>
      <w:pPr>
        <w:pStyle w:val="Heading3"/>
      </w:pPr>
      <w:r>
        <w:t xml:space="preserve">Fiche signalétique</w:t>
      </w:r>
    </w:p>
    <w:p>
      <w:pPr>
        <w:numPr>
          <w:ilvl w:val="0"/>
          <w:numId w:val="1244"/>
        </w:numPr>
        <w:pStyle w:val="Compact"/>
      </w:pPr>
      <w:r>
        <w:rPr>
          <w:bCs/>
          <w:b/>
        </w:rPr>
        <w:t xml:space="preserve">Nature et structure :</w:t>
      </w:r>
      <w:r>
        <w:t xml:space="preserve"> </w:t>
      </w:r>
      <w:r>
        <w:t xml:space="preserve">tripeptide de trois acides aminés – acide glutamique, cystéine et glycine (γ-glutamyl-cystéinyl-glycine, en abrégé GSH). La forme réduite (GSH) est la forme active ; lors de la défense contre l’oxydation, deux molécules s’unissent pour former du glutathion oxydé (GSSG).</w:t>
      </w:r>
    </w:p>
    <w:p>
      <w:pPr>
        <w:numPr>
          <w:ilvl w:val="0"/>
          <w:numId w:val="1244"/>
        </w:numPr>
        <w:pStyle w:val="Compact"/>
      </w:pPr>
      <w:r>
        <w:rPr>
          <w:bCs/>
          <w:b/>
        </w:rPr>
        <w:t xml:space="preserve">Origine :</w:t>
      </w:r>
      <w:r>
        <w:t xml:space="preserve"> </w:t>
      </w:r>
      <w:r>
        <w:t xml:space="preserve">produit par pratiquement toutes les cellules de l’organisme, en quantité particulièrement importante dans le foie. En tant que préparation, il est le plus souvent fabriqué par fermentation à l’aide de levures.</w:t>
      </w:r>
    </w:p>
    <w:p>
      <w:pPr>
        <w:numPr>
          <w:ilvl w:val="0"/>
          <w:numId w:val="1244"/>
        </w:numPr>
        <w:pStyle w:val="Compact"/>
      </w:pPr>
      <w:r>
        <w:rPr>
          <w:bCs/>
          <w:b/>
        </w:rPr>
        <w:t xml:space="preserve">Principe d’action :</w:t>
      </w:r>
      <w:r>
        <w:t xml:space="preserve"> </w:t>
      </w:r>
      <w:r>
        <w:t xml:space="preserve">principale substance protectrice endogène contre l’oxydation dans les cellules ; participe à la détoxication de médicaments et de polluants (par exemple lors de la dégradation du paracétamol) et à la régulation des cellules immunitaires. Dans la peau, il fait basculer la production de pigment de la mélanine foncée vers une mélanine plus claire.</w:t>
      </w:r>
    </w:p>
    <w:p>
      <w:pPr>
        <w:numPr>
          <w:ilvl w:val="0"/>
          <w:numId w:val="1244"/>
        </w:numPr>
        <w:pStyle w:val="Compact"/>
      </w:pPr>
      <w:r>
        <w:rPr>
          <w:bCs/>
          <w:b/>
        </w:rPr>
        <w:t xml:space="preserve">Autorisation UE :</w:t>
      </w:r>
      <w:r>
        <w:t xml:space="preserve"> </w:t>
      </w:r>
      <w:r>
        <w:t xml:space="preserve">largement commercialisé comme complément alimentaire ; comme médicament injectable, seulement dans certains pays pour des indications étroitement délimitées, pas pour l’éclaircissement de la peau.</w:t>
      </w:r>
    </w:p>
    <w:p>
      <w:pPr>
        <w:numPr>
          <w:ilvl w:val="0"/>
          <w:numId w:val="1244"/>
        </w:numPr>
        <w:pStyle w:val="Compact"/>
      </w:pPr>
      <w:r>
        <w:rPr>
          <w:bCs/>
          <w:b/>
        </w:rPr>
        <w:t xml:space="preserve">Autorisation États-Unis :</w:t>
      </w:r>
      <w:r>
        <w:t xml:space="preserve"> </w:t>
      </w:r>
      <w:r>
        <w:t xml:space="preserve">aucun médicament à base de glutathion autorisé par la FDA ; disponible comme complément alimentaire et en préparation magistrale.</w:t>
      </w:r>
    </w:p>
    <w:p>
      <w:pPr>
        <w:numPr>
          <w:ilvl w:val="0"/>
          <w:numId w:val="1244"/>
        </w:numPr>
        <w:pStyle w:val="Compact"/>
      </w:pPr>
      <w:r>
        <w:rPr>
          <w:bCs/>
          <w:b/>
        </w:rPr>
        <w:t xml:space="preserve">AMA (WADA) :</w:t>
      </w:r>
      <w:r>
        <w:t xml:space="preserve"> </w:t>
      </w:r>
      <w:r>
        <w:t xml:space="preserve">le glutathion lui-même n’est pas interdit. Les perfusions ou injections de plus de 100 ml en douze heures sont toutefois classées comme méthode interdite (M2), sauf dans le cadre d’un traitement hospitalier ou d’un examen.</w:t>
      </w:r>
    </w:p>
    <w:p>
      <w:pPr>
        <w:numPr>
          <w:ilvl w:val="0"/>
          <w:numId w:val="1244"/>
        </w:numPr>
        <w:pStyle w:val="Compact"/>
      </w:pPr>
      <w:r>
        <w:rPr>
          <w:bCs/>
          <w:b/>
        </w:rPr>
        <w:t xml:space="preserve">Niveau de preuve :</w:t>
      </w:r>
      <w:r>
        <w:t xml:space="preserve"> </w:t>
      </w:r>
      <w:r>
        <w:rPr>
          <w:bCs/>
          <w:b/>
        </w:rPr>
        <w:t xml:space="preserve">B</w:t>
      </w:r>
      <w:r>
        <w:t xml:space="preserve"> </w:t>
      </w:r>
      <w:r>
        <w:t xml:space="preserve">– de nombreuses études randomisées, majoritairement petites, aux résultats variables ; aucune autorisation fondée sur de grandes études sur critères cliniques.</w:t>
      </w:r>
    </w:p>
    <w:bookmarkEnd w:id="1926"/>
    <w:bookmarkStart w:id="1927" w:name="mode-daction-supposé-45"/>
    <w:p>
      <w:pPr>
        <w:pStyle w:val="Heading3"/>
      </w:pPr>
      <w:r>
        <w:t xml:space="preserve">Mode d’action supposé</w:t>
      </w:r>
    </w:p>
    <w:p>
      <w:pPr>
        <w:pStyle w:val="FirstParagraph"/>
      </w:pPr>
      <w:r>
        <w:t xml:space="preserve">Le glutathion est un constituant tout à fait ordinaire de chaque cellule. Il capte les espèces réactives de l’oxygène, aide les enzymes dans la détoxication et maintient d’autres substances protectrices comme les vitamines C et E sous leur forme active. Dans de nombreuses maladies – par exemple le diabète, les maladies du foie, le VIH, la maladie de Parkinson – et avec l’âge, les taux de glutathion dans le sang ou les tissus sont plus bas. De là est née l’idée évidente d’apporter du glutathion de l’extérieur.</w:t>
      </w:r>
    </w:p>
    <w:p>
      <w:pPr>
        <w:pStyle w:val="BodyText"/>
      </w:pPr>
      <w:r>
        <w:t xml:space="preserve">C’est plus difficile qu’il n’y paraît, pour trois raisons :</w:t>
      </w:r>
    </w:p>
    <w:p>
      <w:pPr>
        <w:numPr>
          <w:ilvl w:val="0"/>
          <w:numId w:val="1245"/>
        </w:numPr>
        <w:pStyle w:val="Compact"/>
      </w:pPr>
      <w:r>
        <w:rPr>
          <w:bCs/>
          <w:b/>
        </w:rPr>
        <w:t xml:space="preserve">Digestion :</w:t>
      </w:r>
      <w:r>
        <w:t xml:space="preserve"> </w:t>
      </w:r>
      <w:r>
        <w:t xml:space="preserve">en tant que peptide, le glutathion est partiellement scindé dans l’intestin ; il a donc longtemps été considéré comme presque inefficace par voie orale.</w:t>
      </w:r>
    </w:p>
    <w:p>
      <w:pPr>
        <w:numPr>
          <w:ilvl w:val="0"/>
          <w:numId w:val="1245"/>
        </w:numPr>
        <w:pStyle w:val="Compact"/>
      </w:pPr>
      <w:r>
        <w:rPr>
          <w:bCs/>
          <w:b/>
        </w:rPr>
        <w:t xml:space="preserve">Pénétration dans les cellules :</w:t>
      </w:r>
      <w:r>
        <w:t xml:space="preserve"> </w:t>
      </w:r>
      <w:r>
        <w:t xml:space="preserve">le glutathion est principalement produit</w:t>
      </w:r>
      <w:r>
        <w:t xml:space="preserve"> </w:t>
      </w:r>
      <w:r>
        <w:rPr>
          <w:iCs/>
          <w:i/>
        </w:rPr>
        <w:t xml:space="preserve">à l’intérieur</w:t>
      </w:r>
      <w:r>
        <w:t xml:space="preserve"> </w:t>
      </w:r>
      <w:r>
        <w:t xml:space="preserve">des cellules ; depuis le sang, il n’y pénètre que de façon limitée.</w:t>
      </w:r>
    </w:p>
    <w:p>
      <w:pPr>
        <w:numPr>
          <w:ilvl w:val="0"/>
          <w:numId w:val="1245"/>
        </w:numPr>
        <w:pStyle w:val="Compact"/>
      </w:pPr>
      <w:r>
        <w:rPr>
          <w:bCs/>
          <w:b/>
        </w:rPr>
        <w:t xml:space="preserve">Courte durée de séjour :</w:t>
      </w:r>
      <w:r>
        <w:t xml:space="preserve"> </w:t>
      </w:r>
      <w:r>
        <w:t xml:space="preserve">le glutathion perfusé est rapidement dégradé dans le sang.</w:t>
      </w:r>
    </w:p>
    <w:p>
      <w:pPr>
        <w:pStyle w:val="FirstParagraph"/>
      </w:pPr>
      <w:r>
        <w:t xml:space="preserve">C’est pourquoi différentes formes galéniques sont proposées : gélules et comprimés, glutathion</w:t>
      </w:r>
      <w:r>
        <w:t xml:space="preserve"> </w:t>
      </w:r>
      <w:r>
        <w:rPr>
          <w:bCs/>
          <w:b/>
        </w:rPr>
        <w:t xml:space="preserve">liposomal</w:t>
      </w:r>
      <w:r>
        <w:t xml:space="preserve"> </w:t>
      </w:r>
      <w:r>
        <w:t xml:space="preserve">(enveloppé dans des vésicules lipidiques), comprimés à sucer et films pour la muqueuse buccale, spray nasal, crèmes – et</w:t>
      </w:r>
      <w:r>
        <w:t xml:space="preserve"> </w:t>
      </w:r>
      <w:r>
        <w:rPr>
          <w:bCs/>
          <w:b/>
        </w:rPr>
        <w:t xml:space="preserve">perfusions</w:t>
      </w:r>
      <w:r>
        <w:t xml:space="preserve"> </w:t>
      </w:r>
      <w:r>
        <w:t xml:space="preserve">intraveineuses. Il existe en outre des précurseurs comme la N-acétylcystéine (NAC) ou la glycine plus NAC, que l’organisme utilise pour sa propre production ; ils ne sont pas le sujet de ce chapitre.</w:t>
      </w:r>
    </w:p>
    <w:p>
      <w:pPr>
        <w:pStyle w:val="BodyText"/>
      </w:pPr>
      <w:r>
        <w:t xml:space="preserve">Pour l’éclaircissement de la peau, un autre mécanisme est supposé : dans des expériences de laboratoire, le glutathion inhibe l’enzyme tyrosinase et oriente la production de pigment de l’eumélanine foncée vers la phéomélanine, plus claire.</w:t>
      </w:r>
    </w:p>
    <w:bookmarkEnd w:id="1927"/>
    <w:bookmarkStart w:id="1947" w:name="études-chez-lhumain-45"/>
    <w:p>
      <w:pPr>
        <w:pStyle w:val="Heading3"/>
      </w:pPr>
      <w:r>
        <w:t xml:space="preserve">Études chez l’humain</w:t>
      </w:r>
    </w:p>
    <w:p>
      <w:pPr>
        <w:pStyle w:val="FirstParagraph"/>
      </w:pPr>
      <w:r>
        <w:rPr>
          <w:bCs/>
          <w:b/>
        </w:rPr>
        <w:t xml:space="preserve">Ampleur des données :</w:t>
      </w:r>
      <w:r>
        <w:t xml:space="preserve"> </w:t>
      </w:r>
      <w:r>
        <w:t xml:space="preserve">la requête PubMed automatisée (octobre 2026) a donné 161 publications classées comme études chez l’humain, ainsi que 15 revues et méta-analyses. Sur ClinicalTrials.gov, 273 études étaient enregistrées. Ces deux chiffres surestiment nettement l’état des données directes : de nombreux résultats ne mesurent le glutathion que comme valeur de laboratoire (par exemple sous sélénium, vitamines, sport ou NAC) ou concernent l’enzyme glutathion-S-transférase. Les études dans lesquelles le glutathion lui-même a été administré sont minoritaires – mais il y en a tout de même quelques dizaines.</w:t>
      </w:r>
    </w:p>
    <w:bookmarkStart w:id="1931" w:name="X1d677a4d48e1087ee441977a7d0a288920727dc"/>
    <w:p>
      <w:pPr>
        <w:pStyle w:val="Heading4"/>
      </w:pPr>
      <w:r>
        <w:t xml:space="preserve">Le glutathion avalé arrive-t-il seulement à destination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Allen 2011, PMID 21875351</w:t>
            </w:r>
          </w:p>
        </w:tc>
        <w:tc>
          <w:tcPr/>
          <w:p>
            <w:pPr>
              <w:pStyle w:val="Compact"/>
              <w:jc w:val="left"/>
            </w:pPr>
            <w:r>
              <w:t xml:space="preserve">40 personnes en bonne santé, gélules contre placebo, double aveugle</w:t>
            </w:r>
          </w:p>
        </w:tc>
        <w:tc>
          <w:tcPr/>
          <w:p>
            <w:pPr>
              <w:pStyle w:val="Compact"/>
              <w:jc w:val="left"/>
            </w:pPr>
            <w:r>
              <w:t xml:space="preserve">4 semaines</w:t>
            </w:r>
          </w:p>
        </w:tc>
        <w:tc>
          <w:tcPr/>
          <w:p>
            <w:pPr>
              <w:pStyle w:val="Compact"/>
              <w:jc w:val="left"/>
            </w:pPr>
            <w:r>
              <w:t xml:space="preserve">aucune modification des taux de glutathion ni des marqueurs d’oxydation</w:t>
            </w:r>
          </w:p>
        </w:tc>
      </w:tr>
      <w:tr>
        <w:tc>
          <w:tcPr/>
          <w:p>
            <w:pPr>
              <w:pStyle w:val="Compact"/>
              <w:jc w:val="left"/>
            </w:pPr>
            <w:r>
              <w:t xml:space="preserve">Richie 2015, PMID 24791752</w:t>
            </w:r>
          </w:p>
        </w:tc>
        <w:tc>
          <w:tcPr/>
          <w:p>
            <w:pPr>
              <w:pStyle w:val="Compact"/>
              <w:jc w:val="left"/>
            </w:pPr>
            <w:r>
              <w:t xml:space="preserve">54 personnes en bonne santé, deux doses contre placebo, double aveugle</w:t>
            </w:r>
          </w:p>
        </w:tc>
        <w:tc>
          <w:tcPr/>
          <w:p>
            <w:pPr>
              <w:pStyle w:val="Compact"/>
              <w:jc w:val="left"/>
            </w:pPr>
            <w:r>
              <w:t xml:space="preserve">6 mois</w:t>
            </w:r>
          </w:p>
        </w:tc>
        <w:tc>
          <w:tcPr/>
          <w:p>
            <w:pPr>
              <w:pStyle w:val="Compact"/>
              <w:jc w:val="left"/>
            </w:pPr>
            <w:r>
              <w:t xml:space="preserve">taux dans les cellules sanguines et le plasma supérieurs de 30–35 % (dose élevée) ; retour à la normale après l’arrêt</w:t>
            </w:r>
          </w:p>
        </w:tc>
      </w:tr>
      <w:tr>
        <w:tc>
          <w:tcPr/>
          <w:p>
            <w:pPr>
              <w:pStyle w:val="Compact"/>
              <w:jc w:val="left"/>
            </w:pPr>
            <w:r>
              <w:t xml:space="preserve">Sinha 2018, PMID 28853742</w:t>
            </w:r>
          </w:p>
        </w:tc>
        <w:tc>
          <w:tcPr/>
          <w:p>
            <w:pPr>
              <w:pStyle w:val="Compact"/>
              <w:jc w:val="left"/>
            </w:pPr>
            <w:r>
              <w:t xml:space="preserve">12 personnes en bonne santé, glutathion liposomal, sans placebo</w:t>
            </w:r>
          </w:p>
        </w:tc>
        <w:tc>
          <w:tcPr/>
          <w:p>
            <w:pPr>
              <w:pStyle w:val="Compact"/>
              <w:jc w:val="left"/>
            </w:pPr>
            <w:r>
              <w:t xml:space="preserve">4 semaines</w:t>
            </w:r>
          </w:p>
        </w:tc>
        <w:tc>
          <w:tcPr/>
          <w:p>
            <w:pPr>
              <w:pStyle w:val="Compact"/>
              <w:jc w:val="left"/>
            </w:pPr>
            <w:r>
              <w:t xml:space="preserve">taux dans le sang total jusqu’à 40 % plus élevés, dans les cellules immunitaires jusqu’à 100 %</w:t>
            </w:r>
          </w:p>
        </w:tc>
      </w:tr>
      <w:tr>
        <w:tc>
          <w:tcPr/>
          <w:p>
            <w:pPr>
              <w:pStyle w:val="Compact"/>
              <w:jc w:val="left"/>
            </w:pPr>
            <w:r>
              <w:t xml:space="preserve">Schmitt 2015, PMID 26262996</w:t>
            </w:r>
          </w:p>
        </w:tc>
        <w:tc>
          <w:tcPr/>
          <w:p>
            <w:pPr>
              <w:pStyle w:val="Compact"/>
              <w:jc w:val="left"/>
            </w:pPr>
            <w:r>
              <w:t xml:space="preserve">20 personnes atteintes de syndrome métabolique, plan croisé : gélule, forme sublinguale, NAC</w:t>
            </w:r>
          </w:p>
        </w:tc>
        <w:tc>
          <w:tcPr/>
          <w:p>
            <w:pPr>
              <w:pStyle w:val="Compact"/>
              <w:jc w:val="left"/>
            </w:pPr>
            <w:r>
              <w:t xml:space="preserve">3 semaines chacune</w:t>
            </w:r>
          </w:p>
        </w:tc>
        <w:tc>
          <w:tcPr/>
          <w:p>
            <w:pPr>
              <w:pStyle w:val="Compact"/>
              <w:jc w:val="left"/>
            </w:pPr>
            <w:r>
              <w:t xml:space="preserve">la forme sublinguale a davantage augmenté les taux plasmatiques que les gélules</w:t>
            </w:r>
          </w:p>
        </w:tc>
      </w:tr>
      <w:tr>
        <w:tc>
          <w:tcPr/>
          <w:p>
            <w:pPr>
              <w:pStyle w:val="Compact"/>
              <w:jc w:val="left"/>
            </w:pPr>
            <w:r>
              <w:t xml:space="preserve">Jung 2026, PMID 42392376</w:t>
            </w:r>
          </w:p>
        </w:tc>
        <w:tc>
          <w:tcPr/>
          <w:p>
            <w:pPr>
              <w:pStyle w:val="Compact"/>
              <w:jc w:val="left"/>
            </w:pPr>
            <w:r>
              <w:t xml:space="preserve">personnes en bonne santé, film à dissoudre dans la bouche contre comprimé</w:t>
            </w:r>
          </w:p>
        </w:tc>
        <w:tc>
          <w:tcPr/>
          <w:p>
            <w:pPr>
              <w:pStyle w:val="Compact"/>
              <w:jc w:val="left"/>
            </w:pPr>
            <w:r>
              <w:t xml:space="preserve">dose unique et 4 semaines</w:t>
            </w:r>
          </w:p>
        </w:tc>
        <w:tc>
          <w:tcPr/>
          <w:p>
            <w:pPr>
              <w:pStyle w:val="Compact"/>
              <w:jc w:val="left"/>
            </w:pPr>
            <w:r>
              <w:t xml:space="preserve">les deux formes ont augmenté les taux sanguins ; pas de modification des marqueurs d’oxydation</w:t>
            </w:r>
          </w:p>
        </w:tc>
      </w:tr>
    </w:tbl>
    <w:p>
      <w:pPr>
        <w:pStyle w:val="BodyText"/>
      </w:pPr>
      <w:r>
        <w:t xml:space="preserve">La question a longtemps été controversée. Une courte étude portant sur 40 personnes en bonne santé n’a trouvé aucune modification après quatre semaines</w:t>
      </w:r>
      <w:r>
        <w:rPr>
          <w:rStyle w:val="FootnoteReference"/>
        </w:rPr>
        <w:footnoteReference w:id="1928"/>
      </w:r>
      <w:r>
        <w:t xml:space="preserve">. Une étude plus longue, également en double aveugle, portant sur 54 personnes en bonne santé, a en revanche trouvé après six mois des taux de glutathion plus élevés, de façon dose-dépendante, dans le sang, les cellules sanguines et la muqueuse buccale ; un mois après l’arrêt, les valeurs étaient revenues au niveau initial</w:t>
      </w:r>
      <w:r>
        <w:rPr>
          <w:rStyle w:val="FootnoteReference"/>
        </w:rPr>
        <w:footnoteReference w:id="1929"/>
      </w:r>
      <w:r>
        <w:t xml:space="preserve">. Une petite étude pilote sans groupe placebo a rapporté des hausses dès une à deux semaines pour le glutathion liposomal</w:t>
      </w:r>
      <w:r>
        <w:rPr>
          <w:rStyle w:val="FootnoteReference"/>
        </w:rPr>
        <w:footnoteReference w:id="1930"/>
      </w:r>
      <w:r>
        <w:t xml:space="preserve">.</w:t>
      </w:r>
    </w:p>
    <w:p>
      <w:pPr>
        <w:pStyle w:val="BodyText"/>
      </w:pPr>
      <w:r>
        <w:t xml:space="preserve">En résumé : le glutathion avalé peut augmenter de façon mesurable les taux sanguins, probablement en fonction de la dose, de la durée et de la forme galénique. Que des taux sanguins plus élevés apportent aussi un bénéfice pour la santé est une autre question.</w:t>
      </w:r>
    </w:p>
    <w:bookmarkEnd w:id="1931"/>
    <w:bookmarkStart w:id="1939" w:name="études-liées-à-des-maladies"/>
    <w:p>
      <w:pPr>
        <w:pStyle w:val="Heading4"/>
      </w:pPr>
      <w:r>
        <w:t xml:space="preserve">Études liées à des maladies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Leal 2014, PMID 24619793</w:t>
            </w:r>
          </w:p>
        </w:tc>
        <w:tc>
          <w:tcPr/>
          <w:p>
            <w:pPr>
              <w:pStyle w:val="Compact"/>
              <w:jc w:val="left"/>
            </w:pPr>
            <w:r>
              <w:t xml:space="preserve">185 patientes et patients atteints de cancer sous paclitaxel/carboplatine, perfusion contre placebo, phase 3</w:t>
            </w:r>
          </w:p>
        </w:tc>
        <w:tc>
          <w:tcPr/>
          <w:p>
            <w:pPr>
              <w:pStyle w:val="Compact"/>
              <w:jc w:val="left"/>
            </w:pPr>
            <w:r>
              <w:t xml:space="preserve">durée de la chimiothérapie</w:t>
            </w:r>
          </w:p>
        </w:tc>
        <w:tc>
          <w:tcPr/>
          <w:p>
            <w:pPr>
              <w:pStyle w:val="Compact"/>
              <w:jc w:val="left"/>
            </w:pPr>
            <w:r>
              <w:rPr>
                <w:bCs/>
                <w:b/>
              </w:rPr>
              <w:t xml:space="preserve">aucune</w:t>
            </w:r>
            <w:r>
              <w:t xml:space="preserve"> </w:t>
            </w:r>
            <w:r>
              <w:t xml:space="preserve">réduction des lésions nerveuses dues à la chimiothérapie</w:t>
            </w:r>
          </w:p>
        </w:tc>
      </w:tr>
      <w:tr>
        <w:tc>
          <w:tcPr/>
          <w:p>
            <w:pPr>
              <w:pStyle w:val="Compact"/>
              <w:jc w:val="left"/>
            </w:pPr>
            <w:r>
              <w:t xml:space="preserve">Hauser 2009, PMID 19230029</w:t>
            </w:r>
          </w:p>
        </w:tc>
        <w:tc>
          <w:tcPr/>
          <w:p>
            <w:pPr>
              <w:pStyle w:val="Compact"/>
              <w:jc w:val="left"/>
            </w:pPr>
            <w:r>
              <w:t xml:space="preserve">21 personnes atteintes de la maladie de Parkinson, perfusion contre placebo</w:t>
            </w:r>
          </w:p>
        </w:tc>
        <w:tc>
          <w:tcPr/>
          <w:p>
            <w:pPr>
              <w:pStyle w:val="Compact"/>
              <w:jc w:val="left"/>
            </w:pPr>
            <w:r>
              <w:t xml:space="preserve">4 semaines</w:t>
            </w:r>
          </w:p>
        </w:tc>
        <w:tc>
          <w:tcPr/>
          <w:p>
            <w:pPr>
              <w:pStyle w:val="Compact"/>
              <w:jc w:val="left"/>
            </w:pPr>
            <w:r>
              <w:t xml:space="preserve">pas de différence significative sur l’échelle de Parkinson</w:t>
            </w:r>
          </w:p>
        </w:tc>
      </w:tr>
      <w:tr>
        <w:tc>
          <w:tcPr/>
          <w:p>
            <w:pPr>
              <w:pStyle w:val="Compact"/>
              <w:jc w:val="left"/>
            </w:pPr>
            <w:r>
              <w:t xml:space="preserve">Mischley 2017, PMID 28436395</w:t>
            </w:r>
          </w:p>
        </w:tc>
        <w:tc>
          <w:tcPr/>
          <w:p>
            <w:pPr>
              <w:pStyle w:val="Compact"/>
              <w:jc w:val="left"/>
            </w:pPr>
            <w:r>
              <w:t xml:space="preserve">45 personnes atteintes de la maladie de Parkinson, spray nasal à deux doses contre placebo</w:t>
            </w:r>
          </w:p>
        </w:tc>
        <w:tc>
          <w:tcPr/>
          <w:p>
            <w:pPr>
              <w:pStyle w:val="Compact"/>
              <w:jc w:val="left"/>
            </w:pPr>
            <w:r>
              <w:t xml:space="preserve">3 mois</w:t>
            </w:r>
          </w:p>
        </w:tc>
        <w:tc>
          <w:tcPr/>
          <w:p>
            <w:pPr>
              <w:pStyle w:val="Compact"/>
              <w:jc w:val="left"/>
            </w:pPr>
            <w:r>
              <w:t xml:space="preserve">tous les groupes se sont améliorés, glutathion pas meilleur que le placebo</w:t>
            </w:r>
          </w:p>
        </w:tc>
      </w:tr>
      <w:tr>
        <w:tc>
          <w:tcPr/>
          <w:p>
            <w:pPr>
              <w:pStyle w:val="Compact"/>
              <w:jc w:val="left"/>
            </w:pPr>
            <w:r>
              <w:t xml:space="preserve">Bozic 2020, PMID 32960827</w:t>
            </w:r>
          </w:p>
        </w:tc>
        <w:tc>
          <w:tcPr/>
          <w:p>
            <w:pPr>
              <w:pStyle w:val="Compact"/>
              <w:jc w:val="left"/>
            </w:pPr>
            <w:r>
              <w:t xml:space="preserve">58 enfants atteints de mucoviscidose, gélules contre placebo</w:t>
            </w:r>
          </w:p>
        </w:tc>
        <w:tc>
          <w:tcPr/>
          <w:p>
            <w:pPr>
              <w:pStyle w:val="Compact"/>
              <w:jc w:val="left"/>
            </w:pPr>
            <w:r>
              <w:t xml:space="preserve">24 semaines</w:t>
            </w:r>
          </w:p>
        </w:tc>
        <w:tc>
          <w:tcPr/>
          <w:p>
            <w:pPr>
              <w:pStyle w:val="Compact"/>
              <w:jc w:val="left"/>
            </w:pPr>
            <w:r>
              <w:t xml:space="preserve">aucun effet sur la croissance et les marqueurs inflammatoires</w:t>
            </w:r>
          </w:p>
        </w:tc>
      </w:tr>
      <w:tr>
        <w:tc>
          <w:tcPr/>
          <w:p>
            <w:pPr>
              <w:pStyle w:val="Compact"/>
              <w:jc w:val="left"/>
            </w:pPr>
            <w:r>
              <w:t xml:space="preserve">Søndergård 2021, PMID 33740389</w:t>
            </w:r>
          </w:p>
        </w:tc>
        <w:tc>
          <w:tcPr/>
          <w:p>
            <w:pPr>
              <w:pStyle w:val="Compact"/>
              <w:jc w:val="left"/>
            </w:pPr>
            <w:r>
              <w:t xml:space="preserve">20 hommes en surpoids avec et sans diabète de type 2, contre placebo</w:t>
            </w:r>
          </w:p>
        </w:tc>
        <w:tc>
          <w:tcPr/>
          <w:p>
            <w:pPr>
              <w:pStyle w:val="Compact"/>
              <w:jc w:val="left"/>
            </w:pPr>
            <w:r>
              <w:t xml:space="preserve">3 semaines</w:t>
            </w:r>
          </w:p>
        </w:tc>
        <w:tc>
          <w:tcPr/>
          <w:p>
            <w:pPr>
              <w:pStyle w:val="Compact"/>
              <w:jc w:val="left"/>
            </w:pPr>
            <w:r>
              <w:t xml:space="preserve">sensibilité à l’insuline améliorée ; marqueurs d’oxydation inchangés</w:t>
            </w:r>
          </w:p>
        </w:tc>
      </w:tr>
      <w:tr>
        <w:tc>
          <w:tcPr/>
          <w:p>
            <w:pPr>
              <w:pStyle w:val="Compact"/>
              <w:jc w:val="left"/>
            </w:pPr>
            <w:r>
              <w:t xml:space="preserve">Honda 2017, PMID 28789631</w:t>
            </w:r>
          </w:p>
        </w:tc>
        <w:tc>
          <w:tcPr/>
          <w:p>
            <w:pPr>
              <w:pStyle w:val="Compact"/>
              <w:jc w:val="left"/>
            </w:pPr>
            <w:r>
              <w:t xml:space="preserve">34 personnes atteintes de stéatose hépatique, en ouvert, sans groupe témoin</w:t>
            </w:r>
          </w:p>
        </w:tc>
        <w:tc>
          <w:tcPr/>
          <w:p>
            <w:pPr>
              <w:pStyle w:val="Compact"/>
              <w:jc w:val="left"/>
            </w:pPr>
            <w:r>
              <w:t xml:space="preserve">4 mois</w:t>
            </w:r>
          </w:p>
        </w:tc>
        <w:tc>
          <w:tcPr/>
          <w:p>
            <w:pPr>
              <w:pStyle w:val="Compact"/>
              <w:jc w:val="left"/>
            </w:pPr>
            <w:r>
              <w:t xml:space="preserve">valeur hépatique ALAT diminuée</w:t>
            </w:r>
          </w:p>
        </w:tc>
      </w:tr>
      <w:tr>
        <w:tc>
          <w:tcPr/>
          <w:p>
            <w:pPr>
              <w:pStyle w:val="Compact"/>
              <w:jc w:val="left"/>
            </w:pPr>
            <w:r>
              <w:t xml:space="preserve">Arrivi 2023, PMID 36083043</w:t>
            </w:r>
          </w:p>
        </w:tc>
        <w:tc>
          <w:tcPr/>
          <w:p>
            <w:pPr>
              <w:pStyle w:val="Compact"/>
              <w:jc w:val="left"/>
            </w:pPr>
            <w:r>
              <w:t xml:space="preserve">100 personnes ayant subi un infarctus du myocarde, perfusion contre placebo (analyse a posteriori)</w:t>
            </w:r>
          </w:p>
        </w:tc>
        <w:tc>
          <w:tcPr/>
          <w:p>
            <w:pPr>
              <w:pStyle w:val="Compact"/>
              <w:jc w:val="left"/>
            </w:pPr>
            <w:r>
              <w:t xml:space="preserve">séjour hospitalier</w:t>
            </w:r>
          </w:p>
        </w:tc>
        <w:tc>
          <w:tcPr/>
          <w:p>
            <w:pPr>
              <w:pStyle w:val="Compact"/>
              <w:jc w:val="left"/>
            </w:pPr>
            <w:r>
              <w:t xml:space="preserve">séjour à l’hôpital de 8,6 au lieu de 10,8 jours</w:t>
            </w:r>
          </w:p>
        </w:tc>
      </w:tr>
    </w:tbl>
    <w:p>
      <w:pPr>
        <w:pStyle w:val="BodyText"/>
      </w:pPr>
      <w:r>
        <w:t xml:space="preserve">Le tableau est décevant : la plus grande étude, et la plus solide sur le plan méthodologique – une étude de phase 3 portant sur 185 patientes et patients atteints de cancer – n’a trouvé aucune protection contre les lésions nerveuses dues à la chimiothérapie ; pour certains objectifs secondaires, le placebo a même obtenu de meilleurs résultats</w:t>
      </w:r>
      <w:r>
        <w:rPr>
          <w:rStyle w:val="FootnoteReference"/>
        </w:rPr>
        <w:footnoteReference w:id="1932"/>
      </w:r>
      <w:r>
        <w:t xml:space="preserve">. Dans la maladie de Parkinson, le glutathion n’a été meilleur que le placebo ni en perfusion</w:t>
      </w:r>
      <w:r>
        <w:rPr>
          <w:rStyle w:val="FootnoteReference"/>
        </w:rPr>
        <w:footnoteReference w:id="1933"/>
      </w:r>
      <w:r>
        <w:t xml:space="preserve"> </w:t>
      </w:r>
      <w:r>
        <w:t xml:space="preserve">ni en spray nasal ; dans l’étude sur le spray nasal, une personne sous la dose la plus élevée a développé une maladie du muscle cardiaque</w:t>
      </w:r>
      <w:r>
        <w:rPr>
          <w:rStyle w:val="FootnoteReference"/>
        </w:rPr>
        <w:footnoteReference w:id="1934"/>
      </w:r>
      <w:r>
        <w:t xml:space="preserve">. Chez les enfants atteints de mucoviscidose, la croissance n’a pas été influencée</w:t>
      </w:r>
      <w:r>
        <w:rPr>
          <w:rStyle w:val="FootnoteReference"/>
        </w:rPr>
        <w:footnoteReference w:id="1935"/>
      </w:r>
      <w:r>
        <w:t xml:space="preserve">.</w:t>
      </w:r>
    </w:p>
    <w:p>
      <w:pPr>
        <w:pStyle w:val="BodyText"/>
      </w:pPr>
      <w:r>
        <w:t xml:space="preserve">Les signaux positifs proviennent de petites études : chez 20 hommes en surpoids, la sensibilité à l’insuline s’est améliorée après trois semaines</w:t>
      </w:r>
      <w:r>
        <w:rPr>
          <w:rStyle w:val="FootnoteReference"/>
        </w:rPr>
        <w:footnoteReference w:id="1936"/>
      </w:r>
      <w:r>
        <w:t xml:space="preserve"> </w:t>
      </w:r>
      <w:r>
        <w:t xml:space="preserve">; dans la stéatose hépatique, les valeurs hépatiques ont baissé dans une étude non contrôlée</w:t>
      </w:r>
      <w:r>
        <w:rPr>
          <w:rStyle w:val="FootnoteReference"/>
        </w:rPr>
        <w:footnoteReference w:id="1937"/>
      </w:r>
      <w:r>
        <w:t xml:space="preserve"> </w:t>
      </w:r>
      <w:r>
        <w:t xml:space="preserve">; après un infarctus du myocarde, la durée d’hospitalisation était plus courte dans une analyse a posteriori</w:t>
      </w:r>
      <w:r>
        <w:rPr>
          <w:rStyle w:val="FootnoteReference"/>
        </w:rPr>
        <w:footnoteReference w:id="1938"/>
      </w:r>
      <w:r>
        <w:t xml:space="preserve">. Aucun de ces résultats n’a été confirmé à ce jour dans une étude plus vaste.</w:t>
      </w:r>
    </w:p>
    <w:bookmarkEnd w:id="1939"/>
    <w:bookmarkStart w:id="1946" w:name="X9c2c444ecf7398ab1dc9726aa6f2c7ee23a90dd"/>
    <w:p>
      <w:pPr>
        <w:pStyle w:val="Heading4"/>
      </w:pPr>
      <w:r>
        <w:t xml:space="preserve">Éclaircissement de la peau : par voie orale, locale, intraveineuse</w:t>
      </w:r>
    </w:p>
    <w:p>
      <w:pPr>
        <w:pStyle w:val="FirstParagraph"/>
      </w:pPr>
      <w:r>
        <w:t xml:space="preserve">Dans certaines régions d’Asie, d’Afrique et de plus en plus aussi en Europe, le glutathion est surtout commercialisé comme « éclaircissant de la peau » – en gélules, en crèmes et sous forme de perfusions dans des cliniques esthétiques.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Arjinpathana 2012, PMID 20524875</w:t>
            </w:r>
          </w:p>
        </w:tc>
        <w:tc>
          <w:tcPr/>
          <w:p>
            <w:pPr>
              <w:pStyle w:val="Compact"/>
              <w:jc w:val="left"/>
            </w:pPr>
            <w:r>
              <w:t xml:space="preserve">60 étudiantes et étudiants en médecine en Thaïlande, gélules contre placebo</w:t>
            </w:r>
          </w:p>
        </w:tc>
        <w:tc>
          <w:tcPr/>
          <w:p>
            <w:pPr>
              <w:pStyle w:val="Compact"/>
              <w:jc w:val="left"/>
            </w:pPr>
            <w:r>
              <w:t xml:space="preserve">4 semaines</w:t>
            </w:r>
          </w:p>
        </w:tc>
        <w:tc>
          <w:tcPr/>
          <w:p>
            <w:pPr>
              <w:pStyle w:val="Compact"/>
              <w:jc w:val="left"/>
            </w:pPr>
            <w:r>
              <w:t xml:space="preserve">indice de mélanine davantage abaissé sur 2 des 6 sites de mesure</w:t>
            </w:r>
          </w:p>
        </w:tc>
      </w:tr>
      <w:tr>
        <w:tc>
          <w:tcPr/>
          <w:p>
            <w:pPr>
              <w:pStyle w:val="Compact"/>
              <w:jc w:val="left"/>
            </w:pPr>
            <w:r>
              <w:t xml:space="preserve">Weschawalit 2017, PMID 28490897</w:t>
            </w:r>
          </w:p>
        </w:tc>
        <w:tc>
          <w:tcPr/>
          <w:p>
            <w:pPr>
              <w:pStyle w:val="Compact"/>
              <w:jc w:val="left"/>
            </w:pPr>
            <w:r>
              <w:t xml:space="preserve">femmes en bonne santé, glutathion réduit ou oxydé contre placebo</w:t>
            </w:r>
          </w:p>
        </w:tc>
        <w:tc>
          <w:tcPr/>
          <w:p>
            <w:pPr>
              <w:pStyle w:val="Compact"/>
              <w:jc w:val="left"/>
            </w:pPr>
            <w:r>
              <w:t xml:space="preserve">12 semaines</w:t>
            </w:r>
          </w:p>
        </w:tc>
        <w:tc>
          <w:tcPr/>
          <w:p>
            <w:pPr>
              <w:pStyle w:val="Compact"/>
              <w:jc w:val="left"/>
            </w:pPr>
            <w:r>
              <w:t xml:space="preserve">indice de mélanine tendanciellement plus bas ; en partie moins de rides</w:t>
            </w:r>
          </w:p>
        </w:tc>
      </w:tr>
      <w:tr>
        <w:tc>
          <w:tcPr/>
          <w:p>
            <w:pPr>
              <w:pStyle w:val="Compact"/>
              <w:jc w:val="left"/>
            </w:pPr>
            <w:r>
              <w:t xml:space="preserve">Handog 2016, PMID 26148180</w:t>
            </w:r>
          </w:p>
        </w:tc>
        <w:tc>
          <w:tcPr/>
          <w:p>
            <w:pPr>
              <w:pStyle w:val="Compact"/>
              <w:jc w:val="left"/>
            </w:pPr>
            <w:r>
              <w:t xml:space="preserve">30 femmes aux Philippines, comprimé à sucer, sans groupe témoin</w:t>
            </w:r>
          </w:p>
        </w:tc>
        <w:tc>
          <w:tcPr/>
          <w:p>
            <w:pPr>
              <w:pStyle w:val="Compact"/>
              <w:jc w:val="left"/>
            </w:pPr>
            <w:r>
              <w:t xml:space="preserve">8 semaines</w:t>
            </w:r>
          </w:p>
        </w:tc>
        <w:tc>
          <w:tcPr/>
          <w:p>
            <w:pPr>
              <w:pStyle w:val="Compact"/>
              <w:jc w:val="left"/>
            </w:pPr>
            <w:r>
              <w:t xml:space="preserve">indice de mélanine diminué</w:t>
            </w:r>
          </w:p>
        </w:tc>
      </w:tr>
      <w:tr>
        <w:tc>
          <w:tcPr/>
          <w:p>
            <w:pPr>
              <w:pStyle w:val="Compact"/>
              <w:jc w:val="left"/>
            </w:pPr>
            <w:r>
              <w:t xml:space="preserve">Wahab 2021, PMID 33871071</w:t>
            </w:r>
          </w:p>
        </w:tc>
        <w:tc>
          <w:tcPr/>
          <w:p>
            <w:pPr>
              <w:pStyle w:val="Compact"/>
              <w:jc w:val="left"/>
            </w:pPr>
            <w:r>
              <w:t xml:space="preserve">46 personnes, association crème et gélule contre placebo</w:t>
            </w:r>
          </w:p>
        </w:tc>
        <w:tc>
          <w:tcPr/>
          <w:p>
            <w:pPr>
              <w:pStyle w:val="Compact"/>
              <w:jc w:val="left"/>
            </w:pPr>
            <w:r>
              <w:t xml:space="preserve">8 semaines</w:t>
            </w:r>
          </w:p>
        </w:tc>
        <w:tc>
          <w:tcPr/>
          <w:p>
            <w:pPr>
              <w:pStyle w:val="Compact"/>
              <w:jc w:val="left"/>
            </w:pPr>
            <w:r>
              <w:t xml:space="preserve">association peut-être plus efficace qu’une utilisation isolée</w:t>
            </w:r>
          </w:p>
        </w:tc>
      </w:tr>
    </w:tbl>
    <w:p>
      <w:pPr>
        <w:pStyle w:val="BodyText"/>
      </w:pPr>
      <w:r>
        <w:rPr>
          <w:bCs/>
          <w:b/>
        </w:rPr>
        <w:t xml:space="preserve">Par voie orale et locale :</w:t>
      </w:r>
      <w:r>
        <w:t xml:space="preserve"> </w:t>
      </w:r>
      <w:r>
        <w:t xml:space="preserve">plusieurs petites études randomisées montrent un léger éclaircissement, surtout sur les zones exposées au soleil. Dans la première étude, l’effet n’était statistiquement significatif que sur deux des six sites de mesure</w:t>
      </w:r>
      <w:r>
        <w:rPr>
          <w:rStyle w:val="FootnoteReference"/>
        </w:rPr>
        <w:footnoteReference w:id="1940"/>
      </w:r>
      <w:r>
        <w:t xml:space="preserve">. Une revue systématique a conclu en 2019 que les preuves n’étaient « pas encore concluantes » en raison de la qualité des études et de résultats contradictoires</w:t>
      </w:r>
      <w:r>
        <w:rPr>
          <w:rStyle w:val="FootnoteReference"/>
        </w:rPr>
        <w:footnoteReference w:id="1941"/>
      </w:r>
      <w:r>
        <w:t xml:space="preserve">. Une revue plus récente juge les crèmes et les gélules modérément efficaces, avec des effets qui ne persistent pas après l’arrêt</w:t>
      </w:r>
      <w:r>
        <w:rPr>
          <w:rStyle w:val="FootnoteReference"/>
        </w:rPr>
        <w:footnoteReference w:id="1942"/>
      </w:r>
      <w:r>
        <w:t xml:space="preserve">.</w:t>
      </w:r>
    </w:p>
    <w:p>
      <w:pPr>
        <w:pStyle w:val="BodyText"/>
      </w:pPr>
      <w:r>
        <w:rPr>
          <w:bCs/>
          <w:b/>
        </w:rPr>
        <w:t xml:space="preserve">Par voie intraveineuse :</w:t>
      </w:r>
      <w:r>
        <w:t xml:space="preserve"> </w:t>
      </w:r>
      <w:r>
        <w:t xml:space="preserve">pour les perfusions destinées à éclaircir la peau, il n’existe selon la même revue qu’une seule étude contrôlée contre placebo, qui n’a trouvé aucune différence significative (37,5 % contre 18,7 %, p = 0,054). Les auteures et auteurs considèrent le glutathion intraveineux pour l’éclaircissement de la peau comme</w:t>
      </w:r>
      <w:r>
        <w:t xml:space="preserve"> </w:t>
      </w:r>
      <w:r>
        <w:rPr>
          <w:bCs/>
          <w:b/>
        </w:rPr>
        <w:t xml:space="preserve">contre-indiqué</w:t>
      </w:r>
      <w:r>
        <w:t xml:space="preserve">, c’est-à-dire non défendable, en raison de son absence d’efficacité et de ses effets indésirables</w:t>
      </w:r>
      <w:r>
        <w:rPr>
          <w:rStyle w:val="FootnoteReference"/>
        </w:rPr>
        <w:footnoteReference w:id="1943"/>
      </w:r>
      <w:r>
        <w:t xml:space="preserve">. Une revue sud-africaine n’a trouvé pas une seule étude sur la sécurité de perfusions répétées, quelle qu’en soit l’utilisation</w:t>
      </w:r>
      <w:r>
        <w:rPr>
          <w:rStyle w:val="FootnoteReference"/>
        </w:rPr>
        <w:footnoteReference w:id="1944"/>
      </w:r>
      <w:r>
        <w:t xml:space="preserve">. Dans le British Medical Journal, cette pratique a été critiquée comme un « blanchiment contraire à l’éthique »</w:t>
      </w:r>
      <w:r>
        <w:rPr>
          <w:rStyle w:val="FootnoteReference"/>
        </w:rPr>
        <w:footnoteReference w:id="1945"/>
      </w:r>
      <w:r>
        <w:t xml:space="preserve">.</w:t>
      </w:r>
    </w:p>
    <w:bookmarkEnd w:id="1946"/>
    <w:bookmarkEnd w:id="1947"/>
    <w:bookmarkStart w:id="1948" w:name="études-animales-et-de-laboratoire-45"/>
    <w:p>
      <w:pPr>
        <w:pStyle w:val="Heading3"/>
      </w:pPr>
      <w:r>
        <w:t xml:space="preserve">Études animales et de laboratoire</w:t>
      </w:r>
    </w:p>
    <w:p>
      <w:pPr>
        <w:pStyle w:val="FirstParagraph"/>
      </w:pPr>
      <w:r>
        <w:t xml:space="preserve">La recherche en laboratoire sur le glutathion est extrêmement abondante et concerne presque tous les domaines de la biologie cellulaire. Ce qui est pertinent pour ce livre, c’est surtout que, dans des expériences cellulaires et animales, le glutathion ou ses précurseurs ont pu protéger contre les dommages oxydatifs, la toxicité médicamenteuse et les réactions inflammatoires – des effets qui ne se retrouvent que partiellement, et le plus souvent faiblement, dans les études cliniques chez l’humain.</w:t>
      </w:r>
    </w:p>
    <w:bookmarkEnd w:id="1948"/>
    <w:bookmarkStart w:id="1952" w:name="risques-et-effets-indésirables-45"/>
    <w:p>
      <w:pPr>
        <w:pStyle w:val="Heading3"/>
      </w:pPr>
      <w:r>
        <w:t xml:space="preserve">Risques et effets indésirables</w:t>
      </w:r>
    </w:p>
    <w:p>
      <w:pPr>
        <w:pStyle w:val="FirstParagraph"/>
      </w:pPr>
      <w:r>
        <w:rPr>
          <w:bCs/>
          <w:b/>
        </w:rPr>
        <w:t xml:space="preserve">Prise orale :</w:t>
      </w:r>
      <w:r>
        <w:t xml:space="preserve"> </w:t>
      </w:r>
      <w:r>
        <w:t xml:space="preserve">bien tolérée dans les études ; des troubles gastro-intestinaux isolés sont rapportés. Les données à long terme au-delà de six mois font largement défaut.</w:t>
      </w:r>
    </w:p>
    <w:p>
      <w:pPr>
        <w:pStyle w:val="BodyText"/>
      </w:pPr>
      <w:r>
        <w:rPr>
          <w:bCs/>
          <w:b/>
        </w:rPr>
        <w:t xml:space="preserve">Spray nasal :</w:t>
      </w:r>
      <w:r>
        <w:t xml:space="preserve"> </w:t>
      </w:r>
      <w:r>
        <w:t xml:space="preserve">dans une étude sur la maladie de Parkinson, une maladie du muscle cardiaque est survenue chez une personne sous la dose la plus élevée ; un lien n’est pas établi</w:t>
      </w:r>
      <w:r>
        <w:rPr>
          <w:rStyle w:val="FootnoteReference"/>
        </w:rPr>
        <w:footnoteReference w:id="1949"/>
      </w:r>
      <w:r>
        <w:t xml:space="preserve">.</w:t>
      </w:r>
    </w:p>
    <w:p>
      <w:pPr>
        <w:pStyle w:val="BodyText"/>
      </w:pPr>
      <w:r>
        <w:rPr>
          <w:bCs/>
          <w:b/>
        </w:rPr>
        <w:t xml:space="preserve">Perfusions – les véritables risques :</w:t>
      </w:r>
    </w:p>
    <w:p>
      <w:pPr>
        <w:numPr>
          <w:ilvl w:val="0"/>
          <w:numId w:val="1246"/>
        </w:numPr>
        <w:pStyle w:val="Compact"/>
      </w:pPr>
      <w:r>
        <w:rPr>
          <w:bCs/>
          <w:b/>
        </w:rPr>
        <w:t xml:space="preserve">Préparations contaminées :</w:t>
      </w:r>
      <w:r>
        <w:t xml:space="preserve"> </w:t>
      </w:r>
      <w:r>
        <w:t xml:space="preserve">en 2019, l’autorité américaine du médicament FDA a mis en garde les pharmacies contre l’utilisation, pour des perfusions, de glutathion provenant d’un grossiste déterminé, après que des patientes et patients eurent présenté des nausées, des vomissements et une détresse respiratoire après des perfusions et que des taux élevés d’endotoxines (composants bactériens pouvant provoquer fièvre et choc) eurent été mesurés. En août 2026, la FDA a de nouveau demandé aux pharmacies de ne pas utiliser de glutathion de qualité complément alimentaire pour des injections ; après des perfusions issues d’un lot déterminé, de la fièvre, des frissons, des états de type choc et des hospitalisations étaient survenus.</w:t>
      </w:r>
    </w:p>
    <w:p>
      <w:pPr>
        <w:numPr>
          <w:ilvl w:val="0"/>
          <w:numId w:val="1246"/>
        </w:numPr>
        <w:pStyle w:val="Compact"/>
      </w:pPr>
      <w:r>
        <w:rPr>
          <w:bCs/>
          <w:b/>
        </w:rPr>
        <w:t xml:space="preserve">Mises en garde des autorités concernant l’éclaircissement de la peau :</w:t>
      </w:r>
      <w:r>
        <w:t xml:space="preserve"> </w:t>
      </w:r>
      <w:r>
        <w:t xml:space="preserve">l’autorité philippine du médicament a mis en garde en 2011 et 2019 contre les injections de glutathion destinées à éclaircir la peau ; elle a cité des effets indésirables allant des éruptions cutanées aux réactions cutanées potentiellement mortelles que sont le syndrome de Stevens-Johnson et la nécrolyse épidermique toxique, ainsi que les risques liés à des injections inappropriées comme la septicémie et la transmission d’infections. La FDA américaine a également averti les consommatrices et consommateurs qu’aucune préparation injectable n’est autorisée pour éclaircir la peau et que de tels produits peuvent contenir des composants inconnus et nocifs.</w:t>
      </w:r>
    </w:p>
    <w:p>
      <w:pPr>
        <w:numPr>
          <w:ilvl w:val="0"/>
          <w:numId w:val="1246"/>
        </w:numPr>
        <w:pStyle w:val="Compact"/>
      </w:pPr>
      <w:r>
        <w:rPr>
          <w:bCs/>
          <w:b/>
        </w:rPr>
        <w:t xml:space="preserve">Cancer de la peau (théorique) :</w:t>
      </w:r>
      <w:r>
        <w:t xml:space="preserve"> </w:t>
      </w:r>
      <w:r>
        <w:t xml:space="preserve">le passage de la mélanine foncée à la mélanine claire pourrait réduire la protection solaire naturelle de la peau</w:t>
      </w:r>
      <w:r>
        <w:rPr>
          <w:rStyle w:val="FootnoteReference"/>
        </w:rPr>
        <w:footnoteReference w:id="1950"/>
      </w:r>
      <w:r>
        <w:t xml:space="preserve">.</w:t>
      </w:r>
    </w:p>
    <w:p>
      <w:pPr>
        <w:pStyle w:val="FirstParagraph"/>
      </w:pPr>
      <w:r>
        <w:rPr>
          <w:bCs/>
          <w:b/>
        </w:rPr>
        <w:t xml:space="preserve">Interactions :</w:t>
      </w:r>
      <w:r>
        <w:t xml:space="preserve"> </w:t>
      </w:r>
      <w:r>
        <w:t xml:space="preserve">dans une étude sur le cancer, le glutathion a été administré avant la chimiothérapie ; le délai jusqu’à la progression de la maladie n’y différait pas de celui sous placebo</w:t>
      </w:r>
      <w:r>
        <w:rPr>
          <w:rStyle w:val="FootnoteReference"/>
        </w:rPr>
        <w:footnoteReference w:id="1951"/>
      </w:r>
      <w:r>
        <w:t xml:space="preserve">. De manière générale, on se demande si les antioxydants pourraient atténuer l’effet de certains traitements anticancéreux. Les personnes en cours de traitement anticancéreux ne devraient prendre du glutathion qu’après en avoir parlé avec l’équipe soignante.</w:t>
      </w:r>
    </w:p>
    <w:bookmarkEnd w:id="1952"/>
    <w:bookmarkStart w:id="1953" w:name="statut-juridique-45"/>
    <w:p>
      <w:pPr>
        <w:pStyle w:val="Heading3"/>
      </w:pPr>
      <w:r>
        <w:t xml:space="preserve">Statut juridique</w:t>
      </w:r>
    </w:p>
    <w:p>
      <w:pPr>
        <w:numPr>
          <w:ilvl w:val="0"/>
          <w:numId w:val="1247"/>
        </w:numPr>
        <w:pStyle w:val="Compact"/>
      </w:pPr>
      <w:r>
        <w:rPr>
          <w:bCs/>
          <w:b/>
        </w:rPr>
        <w:t xml:space="preserve">UE / Autriche / Allemagne :</w:t>
      </w:r>
      <w:r>
        <w:t xml:space="preserve"> </w:t>
      </w:r>
      <w:r>
        <w:t xml:space="preserve">le glutathion est vendu comme complément alimentaire en gélules et en poudres ; les promesses de santé dans la publicité ne sont pas permises sans allégations de santé autorisées. Les perfusions et injections sont des médicaments ; les préparations destinées à éclaircir la peau par perfusion ne sont pas autorisées. Dans certains pays (à notre connaissance, par exemple l’Italie), il existe des injections de glutathion autorisées pour des applications médicales particulières ; pour les détails, se reporter au résumé des caractéristiques du produit correspondant.</w:t>
      </w:r>
    </w:p>
    <w:p>
      <w:pPr>
        <w:numPr>
          <w:ilvl w:val="0"/>
          <w:numId w:val="1247"/>
        </w:numPr>
        <w:pStyle w:val="Compact"/>
      </w:pPr>
      <w:r>
        <w:rPr>
          <w:bCs/>
          <w:b/>
        </w:rPr>
        <w:t xml:space="preserve">États-Unis :</w:t>
      </w:r>
      <w:r>
        <w:t xml:space="preserve"> </w:t>
      </w:r>
      <w:r>
        <w:t xml:space="preserve">aucun médicament à base de glutathion autorisé ; les compléments alimentaires sont permis, et les perfusions sont fabriquées en préparation magistrale et soumises aux exigences de la FDA pour les préparations stériles.</w:t>
      </w:r>
    </w:p>
    <w:p>
      <w:pPr>
        <w:numPr>
          <w:ilvl w:val="0"/>
          <w:numId w:val="1247"/>
        </w:numPr>
        <w:pStyle w:val="Compact"/>
      </w:pPr>
      <w:r>
        <w:rPr>
          <w:bCs/>
          <w:b/>
        </w:rPr>
        <w:t xml:space="preserve">Sport :</w:t>
      </w:r>
      <w:r>
        <w:t xml:space="preserve"> </w:t>
      </w:r>
      <w:r>
        <w:t xml:space="preserve">le glutathion n’est pas interdit ; les perfusions de plus de 100 ml en douze heures relèvent, en dehors des traitements hospitaliers, de la méthode M2 de l’AMA (état 2026, à vérifier).</w:t>
      </w:r>
    </w:p>
    <w:bookmarkEnd w:id="1953"/>
    <w:bookmarkStart w:id="1955" w:name="études-en-cours-et-perspectives-45"/>
    <w:p>
      <w:pPr>
        <w:pStyle w:val="Heading3"/>
      </w:pPr>
      <w:r>
        <w:t xml:space="preserve">Études en cours et perspectives</w:t>
      </w:r>
    </w:p>
    <w:p>
      <w:pPr>
        <w:pStyle w:val="FirstParagraph"/>
      </w:pPr>
      <w:r>
        <w:rPr>
          <w:bCs/>
          <w:b/>
        </w:rPr>
        <w:t xml:space="preserve">Établi (études enregistrées, état octobre 2026) :</w:t>
      </w:r>
    </w:p>
    <w:p>
      <w:pPr>
        <w:numPr>
          <w:ilvl w:val="0"/>
          <w:numId w:val="1248"/>
        </w:numPr>
        <w:pStyle w:val="Compact"/>
      </w:pPr>
      <w:r>
        <w:t xml:space="preserve">Une étude de phase 1 en Chine examine le glutathion en complément de l’immunothérapie et de la chimiothérapie dans le cancer du poumon avancé (NCT06896422, 80 participants prévus).</w:t>
      </w:r>
    </w:p>
    <w:p>
      <w:pPr>
        <w:numPr>
          <w:ilvl w:val="0"/>
          <w:numId w:val="1248"/>
        </w:numPr>
        <w:pStyle w:val="Compact"/>
      </w:pPr>
      <w:r>
        <w:t xml:space="preserve">Une étude sur le microneedling assisté par glutathion dans le mélasma (taches pigmentaires) est enregistrée</w:t>
      </w:r>
      <w:r>
        <w:rPr>
          <w:rStyle w:val="FootnoteReference"/>
        </w:rPr>
        <w:footnoteReference w:id="1954"/>
      </w:r>
      <w:r>
        <w:t xml:space="preserve">.</w:t>
      </w:r>
    </w:p>
    <w:p>
      <w:pPr>
        <w:numPr>
          <w:ilvl w:val="0"/>
          <w:numId w:val="1248"/>
        </w:numPr>
        <w:pStyle w:val="Compact"/>
      </w:pPr>
      <w:r>
        <w:t xml:space="preserve">Plusieurs petites études examinent de nouvelles formes galéniques (liposomales, micellaires) et la récupération sportive, souvent financées par des fabricants.</w:t>
      </w:r>
    </w:p>
    <w:p>
      <w:pPr>
        <w:pStyle w:val="FirstParagraph"/>
      </w:pPr>
      <w:r>
        <w:rPr>
          <w:bCs/>
          <w:b/>
        </w:rPr>
        <w:t xml:space="preserve">Appréciation :</w:t>
      </w:r>
      <w:r>
        <w:t xml:space="preserve"> </w:t>
      </w:r>
      <w:r>
        <w:t xml:space="preserve">la principale question ouverte n’est plus de savoir si le glutathion est absorbé, mais si des taux plus élevés apportent un bénéfice clinique. Les grandes études menées jusqu’ici plaident plutôt contre. Pour les perfusions destinées à éclaircir la peau ou en « drip » de bien-être, les risques dépassent un bénéfice non démontré.</w:t>
      </w:r>
    </w:p>
    <w:bookmarkEnd w:id="1955"/>
    <w:bookmarkStart w:id="1956" w:name="conclusion-45"/>
    <w:p>
      <w:pPr>
        <w:pStyle w:val="Heading3"/>
      </w:pPr>
      <w:r>
        <w:t xml:space="preserve">Conclusion</w:t>
      </w:r>
    </w:p>
    <w:p>
      <w:pPr>
        <w:pStyle w:val="FirstParagraph"/>
      </w:pPr>
      <w:r>
        <w:t xml:space="preserve">Le glutathion est le principal peptide protecteur endogène contre l’oxydation ; pris en gélule, il peut augmenter de façon mesurable les taux sanguins en cas de prise prolongée. Sur le plan clinique, les études plus vastes n’ont toutefois montré aucun bénéfice – ni contre les lésions nerveuses dues à la chimiothérapie, ni dans la maladie de Parkinson ou la mucoviscidose ; les indices positifs proviennent de petites études. Les gélules et les crèmes ont éclairci la peau légèrement et temporairement dans de petites études. Les perfusions destinées à éclaircir la peau n’ont pas d’efficacité démontrée, ne sont pas autorisées et ont fait l’objet de mises en garde expresses de plusieurs autorités en raison d’effets indésirables graves et de préparations contaminées.</w:t>
      </w:r>
    </w:p>
    <w:bookmarkEnd w:id="1956"/>
    <w:bookmarkEnd w:id="1957"/>
    <w:bookmarkEnd w:id="1958"/>
    <w:bookmarkStart w:id="2314" w:name="X463ae904b745bdb5da96a42d3d76977fa02412f"/>
    <w:p>
      <w:pPr>
        <w:pStyle w:val="Heading1"/>
      </w:pPr>
      <w:r>
        <w:t xml:space="preserve">Partie II · E – Hormones, sexualité et pigmentation</w:t>
      </w:r>
    </w:p>
    <w:p>
      <w:pPr>
        <w:pStyle w:val="FirstParagraph"/>
      </w:pPr>
      <w:r>
        <w:t xml:space="preserve">Les six peptides de ce groupe agissent sur des choses très différentes : la couleur de la peau, le désir sexuel, la fertilité et le comportement social. Leur point commun est d’imiter des voies de signalisation propres à l’organisme, celles du cerveau et des glandes endocrines, étroitement imbriquées les unes avec les autres. Trois d’entre eux appartiennent à une seule et même famille, le système des mélanocortines ; trois autres pilotent l’axe hormonal de la reproduction ou y sont liés.</w:t>
      </w:r>
    </w:p>
    <w:bookmarkStart w:id="1961" w:name="le-système-des-mélanocortines"/>
    <w:p>
      <w:pPr>
        <w:pStyle w:val="Heading3"/>
      </w:pPr>
      <w:r>
        <w:t xml:space="preserve">Le système des mélanocortines</w:t>
      </w:r>
    </w:p>
    <w:p>
      <w:pPr>
        <w:pStyle w:val="FirstParagraph"/>
      </w:pPr>
      <w:r>
        <w:t xml:space="preserve">Tout commence par une grande protéine précurseur appelée pro-opiomélanocortine (POMC). Des enzymes y découpent plusieurs peptides plus petits, parmi lesquels l’hormone du stress ACTH et les hormones mélanotropes (MSH), surtout l’alpha-MSH. Ces messagers sont désignés ensemble sous le nom de mélanocortines. Ils agissent par l’intermédiaire de cinq récepteurs, MC1R à MC5R, présents dans différents tissus :</w:t>
      </w:r>
    </w:p>
    <w:p>
      <w:pPr>
        <w:numPr>
          <w:ilvl w:val="0"/>
          <w:numId w:val="1249"/>
        </w:numPr>
        <w:pStyle w:val="Compact"/>
      </w:pPr>
      <w:r>
        <w:rPr>
          <w:bCs/>
          <w:b/>
        </w:rPr>
        <w:t xml:space="preserve">MC1R</w:t>
      </w:r>
      <w:r>
        <w:t xml:space="preserve">, sur les cellules pigmentaires de la peau, détermine si celles-ci produisent de l’eumélanine, un pigment foncé et protecteur. Les personnes rousses à la peau claire portent souvent des variantes moins efficaces de ce récepteur.</w:t>
      </w:r>
    </w:p>
    <w:p>
      <w:pPr>
        <w:numPr>
          <w:ilvl w:val="0"/>
          <w:numId w:val="1249"/>
        </w:numPr>
        <w:pStyle w:val="Compact"/>
      </w:pPr>
      <w:r>
        <w:rPr>
          <w:bCs/>
          <w:b/>
        </w:rPr>
        <w:t xml:space="preserve">MC2R</w:t>
      </w:r>
      <w:r>
        <w:t xml:space="preserve">, dans la glande surrénale, est le récepteur de l’ACTH et règle la production de cortisol.</w:t>
      </w:r>
    </w:p>
    <w:p>
      <w:pPr>
        <w:numPr>
          <w:ilvl w:val="0"/>
          <w:numId w:val="1249"/>
        </w:numPr>
        <w:pStyle w:val="Compact"/>
      </w:pPr>
      <w:r>
        <w:rPr>
          <w:bCs/>
          <w:b/>
        </w:rPr>
        <w:t xml:space="preserve">MC3R et MC4R</w:t>
      </w:r>
      <w:r>
        <w:t xml:space="preserve">, dans le cerveau, influencent l’appétit, la dépense énergétique et – comme on l’a découvert par hasard – l’excitation sexuelle. Les anomalies du MC4R sont la cause génétique la plus fréquente d’obésité sévère.</w:t>
      </w:r>
    </w:p>
    <w:p>
      <w:pPr>
        <w:numPr>
          <w:ilvl w:val="0"/>
          <w:numId w:val="1249"/>
        </w:numPr>
        <w:pStyle w:val="Compact"/>
      </w:pPr>
      <w:r>
        <w:rPr>
          <w:bCs/>
          <w:b/>
        </w:rPr>
        <w:t xml:space="preserve">MC5R</w:t>
      </w:r>
      <w:r>
        <w:t xml:space="preserve"> </w:t>
      </w:r>
      <w:r>
        <w:t xml:space="preserve">agit entre autres sur les glandes sébacées et d’autres glandes.</w:t>
      </w:r>
    </w:p>
    <w:p>
      <w:pPr>
        <w:pStyle w:val="FirstParagraph"/>
      </w:pPr>
      <w:r>
        <w:t xml:space="preserve">L’histoire des trois peptides mélanocortinergiques de cette partie commence à l’université de l’Arizona. Dans les années 1980 et 1990, des chercheurs y ont mis au point deux dérivés stabilisés de l’alpha-MSH afin d’obtenir un bronzage sans soleil : le Melanotan I, linéaire, et le Melanotan II, cyclique</w:t>
      </w:r>
      <w:r>
        <w:rPr>
          <w:rStyle w:val="FootnoteReference"/>
        </w:rPr>
        <w:footnoteReference w:id="1959"/>
      </w:r>
      <w:r>
        <w:t xml:space="preserve">. Lors des essais avec le Melanotan II, des hommes ont rapporté des érections spontanées – c’est ainsi que l’on a découvert que les mélanocortines influencent la fonction sexuelle dans le cerveau</w:t>
      </w:r>
      <w:r>
        <w:rPr>
          <w:rStyle w:val="FootnoteReference"/>
        </w:rPr>
        <w:footnoteReference w:id="1960"/>
      </w:r>
      <w:r>
        <w:t xml:space="preserve">.</w:t>
      </w:r>
    </w:p>
    <w:p>
      <w:pPr>
        <w:pStyle w:val="BodyText"/>
      </w:pPr>
      <w:r>
        <w:t xml:space="preserve">De ces débuts sont nées trois voies :</w:t>
      </w:r>
    </w:p>
    <w:p>
      <w:pPr>
        <w:numPr>
          <w:ilvl w:val="0"/>
          <w:numId w:val="1250"/>
        </w:numPr>
        <w:pStyle w:val="Compact"/>
      </w:pPr>
      <w:r>
        <w:t xml:space="preserve">Le</w:t>
      </w:r>
      <w:r>
        <w:t xml:space="preserve"> </w:t>
      </w:r>
      <w:r>
        <w:rPr>
          <w:bCs/>
          <w:b/>
        </w:rPr>
        <w:t xml:space="preserve">Melanotan I</w:t>
      </w:r>
      <w:r>
        <w:t xml:space="preserve"> </w:t>
      </w:r>
      <w:r>
        <w:t xml:space="preserve">a été développé, sous le nom d’</w:t>
      </w:r>
      <w:r>
        <w:rPr>
          <w:bCs/>
          <w:b/>
        </w:rPr>
        <w:t xml:space="preserve">afamélanotide</w:t>
      </w:r>
      <w:r>
        <w:t xml:space="preserve">, en implant contre une photosensibilité rare et douloureuse ; il est autorisé dans l’UE et aux États-Unis.</w:t>
      </w:r>
    </w:p>
    <w:p>
      <w:pPr>
        <w:numPr>
          <w:ilvl w:val="0"/>
          <w:numId w:val="1250"/>
        </w:numPr>
        <w:pStyle w:val="Compact"/>
      </w:pPr>
      <w:r>
        <w:t xml:space="preserve">Le</w:t>
      </w:r>
      <w:r>
        <w:t xml:space="preserve"> </w:t>
      </w:r>
      <w:r>
        <w:rPr>
          <w:bCs/>
          <w:b/>
        </w:rPr>
        <w:t xml:space="preserve">Melanotan II</w:t>
      </w:r>
      <w:r>
        <w:t xml:space="preserve"> </w:t>
      </w:r>
      <w:r>
        <w:t xml:space="preserve">n’a jamais été autorisé, mais il circule sur le marché gris comme « injection bronzante ».</w:t>
      </w:r>
    </w:p>
    <w:p>
      <w:pPr>
        <w:numPr>
          <w:ilvl w:val="0"/>
          <w:numId w:val="1250"/>
        </w:numPr>
        <w:pStyle w:val="Compact"/>
      </w:pPr>
      <w:r>
        <w:t xml:space="preserve">Le</w:t>
      </w:r>
      <w:r>
        <w:t xml:space="preserve"> </w:t>
      </w:r>
      <w:r>
        <w:rPr>
          <w:bCs/>
          <w:b/>
        </w:rPr>
        <w:t xml:space="preserve">brémélanotide</w:t>
      </w:r>
      <w:r>
        <w:t xml:space="preserve">, un dérivé du Melanotan II, est autorisé aux États-Unis contre la baisse du désir sexuel chez la femme.</w:t>
      </w:r>
    </w:p>
    <w:p>
      <w:pPr>
        <w:pStyle w:val="FirstParagraph"/>
      </w:pPr>
      <w:r>
        <w:t xml:space="preserve">Un quatrième principe actif mélanocortinergique, le setmélanotide, cible spécifiquement le MC4R et est utilisé dans des formes génétiques rares d’obésité ; il est traité dans la partie II · A. Plus un principe actif cible sélectivement un récepteur, plus son action est ciblée. Le Melanotan II stimule presque tous les récepteurs et réunit donc en une seule molécule bronzage, nausées, perte d’appétit et érections.</w:t>
      </w:r>
    </w:p>
    <w:bookmarkEnd w:id="1961"/>
    <w:bookmarkStart w:id="1962" w:name="laxe-hormonal-de-la-reproduction"/>
    <w:p>
      <w:pPr>
        <w:pStyle w:val="Heading3"/>
      </w:pPr>
      <w:r>
        <w:t xml:space="preserve">L’axe hormonal de la reproduction</w:t>
      </w:r>
    </w:p>
    <w:p>
      <w:pPr>
        <w:pStyle w:val="FirstParagraph"/>
      </w:pPr>
      <w:r>
        <w:t xml:space="preserve">Les trois autres peptides de cette partie agissent sur l’axe qui pilote la puberté, le cycle et la fertilité. La</w:t>
      </w:r>
      <w:r>
        <w:t xml:space="preserve"> </w:t>
      </w:r>
      <w:r>
        <w:rPr>
          <w:bCs/>
          <w:b/>
        </w:rPr>
        <w:t xml:space="preserve">kisspeptine</w:t>
      </w:r>
      <w:r>
        <w:t xml:space="preserve"> </w:t>
      </w:r>
      <w:r>
        <w:t xml:space="preserve">active les neurones à GnRH dans l’hypothalamus. La</w:t>
      </w:r>
      <w:r>
        <w:t xml:space="preserve"> </w:t>
      </w:r>
      <w:r>
        <w:rPr>
          <w:bCs/>
          <w:b/>
        </w:rPr>
        <w:t xml:space="preserve">gonadoréline</w:t>
      </w:r>
      <w:r>
        <w:t xml:space="preserve"> </w:t>
      </w:r>
      <w:r>
        <w:t xml:space="preserve">est la forme synthétique de la GnRH elle-même, qui, libérée par pulses, stimule l’hypophyse pour qu’elle sécrète la LH et la FSH. Toutes deux illustrent un principe commun : administrées au bon rythme, elles activent l’axe ; en stimulation continue, elles le freinent. L’</w:t>
      </w:r>
      <w:r>
        <w:rPr>
          <w:bCs/>
          <w:b/>
        </w:rPr>
        <w:t xml:space="preserve">ocytocine</w:t>
      </w:r>
      <w:r>
        <w:t xml:space="preserve">, enfin, provient des mêmes régions cérébrales, pilote l’accouchement et l’allaitement et est étudiée depuis deux décennies sous forme de spray nasal pour le comportement social – avec des résultats décevants.</w:t>
      </w:r>
    </w:p>
    <w:bookmarkEnd w:id="1962"/>
    <w:bookmarkStart w:id="1963" w:name="vue-densemble-3"/>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Brémélanotide (PT-141)</w:t>
            </w:r>
          </w:p>
        </w:tc>
        <w:tc>
          <w:tcPr/>
          <w:p>
            <w:pPr>
              <w:pStyle w:val="Compact"/>
              <w:jc w:val="left"/>
            </w:pPr>
            <w:r>
              <w:t xml:space="preserve">A</w:t>
            </w:r>
          </w:p>
        </w:tc>
        <w:tc>
          <w:tcPr/>
          <w:p>
            <w:pPr>
              <w:pStyle w:val="Compact"/>
              <w:jc w:val="left"/>
            </w:pPr>
            <w:r>
              <w:t xml:space="preserve">États-Unis (Vyleesi), pas l’UE</w:t>
            </w:r>
          </w:p>
        </w:tc>
        <w:tc>
          <w:tcPr/>
          <w:p>
            <w:pPr>
              <w:pStyle w:val="Compact"/>
              <w:jc w:val="left"/>
            </w:pPr>
            <w:r>
              <w:t xml:space="preserve">Désir chez les femmes atteintes de HSDD ; effet faible, beaucoup de nausées</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aucune</w:t>
            </w:r>
          </w:p>
        </w:tc>
        <w:tc>
          <w:tcPr/>
          <w:p>
            <w:pPr>
              <w:pStyle w:val="Compact"/>
              <w:jc w:val="left"/>
            </w:pPr>
            <w:r>
              <w:t xml:space="preserve">Bronzage du marché gris ; cas rapportés de grains de beauté et de priapisme</w:t>
            </w:r>
          </w:p>
        </w:tc>
      </w:tr>
      <w:tr>
        <w:tc>
          <w:tcPr/>
          <w:p>
            <w:pPr>
              <w:pStyle w:val="Compact"/>
              <w:jc w:val="left"/>
            </w:pPr>
            <w:r>
              <w:t xml:space="preserve">Afamélanotide</w:t>
            </w:r>
          </w:p>
        </w:tc>
        <w:tc>
          <w:tcPr/>
          <w:p>
            <w:pPr>
              <w:pStyle w:val="Compact"/>
              <w:jc w:val="left"/>
            </w:pPr>
            <w:r>
              <w:t xml:space="preserve">A</w:t>
            </w:r>
          </w:p>
        </w:tc>
        <w:tc>
          <w:tcPr/>
          <w:p>
            <w:pPr>
              <w:pStyle w:val="Compact"/>
              <w:jc w:val="left"/>
            </w:pPr>
            <w:r>
              <w:t xml:space="preserve">UE et États-Unis (Scenesse)</w:t>
            </w:r>
          </w:p>
        </w:tc>
        <w:tc>
          <w:tcPr/>
          <w:p>
            <w:pPr>
              <w:pStyle w:val="Compact"/>
              <w:jc w:val="left"/>
            </w:pPr>
            <w:r>
              <w:t xml:space="preserve">Photoprotection dans la PPE ; vitiligo en cours d’évaluation</w:t>
            </w:r>
          </w:p>
        </w:tc>
      </w:tr>
      <w:tr>
        <w:tc>
          <w:tcPr/>
          <w:p>
            <w:pPr>
              <w:pStyle w:val="Compact"/>
              <w:jc w:val="left"/>
            </w:pPr>
            <w:r>
              <w:t xml:space="preserve">Kisspeptine</w:t>
            </w:r>
          </w:p>
        </w:tc>
        <w:tc>
          <w:tcPr/>
          <w:p>
            <w:pPr>
              <w:pStyle w:val="Compact"/>
              <w:jc w:val="left"/>
            </w:pPr>
            <w:r>
              <w:t xml:space="preserve">B</w:t>
            </w:r>
          </w:p>
        </w:tc>
        <w:tc>
          <w:tcPr/>
          <w:p>
            <w:pPr>
              <w:pStyle w:val="Compact"/>
              <w:jc w:val="left"/>
            </w:pPr>
            <w:r>
              <w:t xml:space="preserve">aucune</w:t>
            </w:r>
          </w:p>
        </w:tc>
        <w:tc>
          <w:tcPr/>
          <w:p>
            <w:pPr>
              <w:pStyle w:val="Compact"/>
              <w:jc w:val="left"/>
            </w:pPr>
            <w:r>
              <w:t xml:space="preserve">Maturation ovocytaire en FIV, tests hormonaux ; recherche</w:t>
            </w:r>
          </w:p>
        </w:tc>
      </w:tr>
      <w:tr>
        <w:tc>
          <w:tcPr/>
          <w:p>
            <w:pPr>
              <w:pStyle w:val="Compact"/>
              <w:jc w:val="left"/>
            </w:pPr>
            <w:r>
              <w:t xml:space="preserve">Ocytocine (spray nasal)</w:t>
            </w:r>
          </w:p>
        </w:tc>
        <w:tc>
          <w:tcPr/>
          <w:p>
            <w:pPr>
              <w:pStyle w:val="Compact"/>
              <w:jc w:val="left"/>
            </w:pPr>
            <w:r>
              <w:t xml:space="preserve">B</w:t>
            </w:r>
          </w:p>
        </w:tc>
        <w:tc>
          <w:tcPr/>
          <w:p>
            <w:pPr>
              <w:pStyle w:val="Compact"/>
              <w:jc w:val="left"/>
            </w:pPr>
            <w:r>
              <w:t xml:space="preserve">uniquement en perfusion (obstétrique)</w:t>
            </w:r>
          </w:p>
        </w:tc>
        <w:tc>
          <w:tcPr/>
          <w:p>
            <w:pPr>
              <w:pStyle w:val="Compact"/>
              <w:jc w:val="left"/>
            </w:pPr>
            <w:r>
              <w:t xml:space="preserve">Autisme et confiance : grandes études négatives</w:t>
            </w:r>
          </w:p>
        </w:tc>
      </w:tr>
      <w:tr>
        <w:tc>
          <w:tcPr/>
          <w:p>
            <w:pPr>
              <w:pStyle w:val="Compact"/>
              <w:jc w:val="left"/>
            </w:pPr>
            <w:r>
              <w:t xml:space="preserve">Gonadoréline</w:t>
            </w:r>
          </w:p>
        </w:tc>
        <w:tc>
          <w:tcPr/>
          <w:p>
            <w:pPr>
              <w:pStyle w:val="Compact"/>
              <w:jc w:val="left"/>
            </w:pPr>
            <w:r>
              <w:t xml:space="preserve">B</w:t>
            </w:r>
          </w:p>
        </w:tc>
        <w:tc>
          <w:tcPr/>
          <w:p>
            <w:pPr>
              <w:pStyle w:val="Compact"/>
              <w:jc w:val="left"/>
            </w:pPr>
            <w:r>
              <w:t xml:space="preserve">nationale (UE), plus aux États-Unis</w:t>
            </w:r>
          </w:p>
        </w:tc>
        <w:tc>
          <w:tcPr/>
          <w:p>
            <w:pPr>
              <w:pStyle w:val="Compact"/>
              <w:jc w:val="left"/>
            </w:pPr>
            <w:r>
              <w:t xml:space="preserve">Test à la GnRH et pompe en cas de désir d’enfant ; interdite pour dopage</w:t>
            </w:r>
          </w:p>
        </w:tc>
      </w:tr>
    </w:tbl>
    <w:p>
      <w:pPr>
        <w:pStyle w:val="BodyText"/>
      </w:pPr>
      <w:r>
        <w:t xml:space="preserve">Les informations sur les autorisations correspondent à l’état 2026 et doivent être vérifiées.</w:t>
      </w:r>
    </w:p>
    <w:bookmarkEnd w:id="1963"/>
    <w:bookmarkStart w:id="1964" w:name="conseil-de-lecture-1"/>
    <w:p>
      <w:pPr>
        <w:pStyle w:val="Heading3"/>
      </w:pPr>
      <w:r>
        <w:t xml:space="preserve">Conseil de lecture</w:t>
      </w:r>
    </w:p>
    <w:p>
      <w:pPr>
        <w:pStyle w:val="FirstParagraph"/>
      </w:pPr>
      <w:r>
        <w:t xml:space="preserve">Si les produits bronzants t’intéressent, lis ensemble les chapitres sur le Melanotan II et l’afamélanotide : ils montrent à quel point une même idée de départ peut aboutir à des résultats différents – d’un côté un médicament évalué, utilisé dans un centre spécialisé, de l’autre une poudre non contrôlée achetée sur Internet. Pour le thème de la sexualité, il vaut la peine de comparer le brémélanotide, la kisspeptine et l’ocytocine ; tous trois montrent la force des effets placebo dans ce domaine. La kisspeptine et la gonadoréline expliquent ensemble l’axe hormonal de la fertilité. Les généralités sur les produits du marché gris se trouvent dans la partie I, la comparaison des risques dans la partie IV.</w:t>
      </w:r>
    </w:p>
    <w:bookmarkEnd w:id="1964"/>
    <w:bookmarkStart w:id="2021" w:name="brémélanotide-pt-141"/>
    <w:p>
      <w:pPr>
        <w:pStyle w:val="Heading2"/>
      </w:pPr>
      <w:r>
        <w:t xml:space="preserve">Brémélanotide (PT-141)</w:t>
      </w:r>
    </w:p>
    <w:bookmarkStart w:id="1967" w:name="fiche-signalétique-46"/>
    <w:p>
      <w:pPr>
        <w:pStyle w:val="Heading3"/>
      </w:pPr>
      <w:r>
        <w:t xml:space="preserve">Fiche signalétique</w:t>
      </w:r>
    </w:p>
    <w:p>
      <w:pPr>
        <w:numPr>
          <w:ilvl w:val="0"/>
          <w:numId w:val="1251"/>
        </w:numPr>
        <w:pStyle w:val="Compact"/>
      </w:pPr>
      <w:r>
        <w:rPr>
          <w:bCs/>
          <w:b/>
        </w:rPr>
        <w:t xml:space="preserve">Type/structure :</w:t>
      </w:r>
      <w:r>
        <w:t xml:space="preserve"> </w:t>
      </w:r>
      <w:r>
        <w:t xml:space="preserve">peptide cyclique de sept acides aminés, obtenu par synthèse. Il dérive de l’hormone endogène alpha-MSH (hormone alpha-mélanotrope) et est un proche parent du Melanotan II (chapitre 2E02). Dans la littérature, il est aussi appelé PT-141.</w:t>
      </w:r>
    </w:p>
    <w:p>
      <w:pPr>
        <w:numPr>
          <w:ilvl w:val="0"/>
          <w:numId w:val="1251"/>
        </w:numPr>
        <w:pStyle w:val="Compact"/>
      </w:pPr>
      <w:r>
        <w:rPr>
          <w:bCs/>
          <w:b/>
        </w:rPr>
        <w:t xml:space="preserve">Origine :</w:t>
      </w:r>
      <w:r>
        <w:t xml:space="preserve"> </w:t>
      </w:r>
      <w:r>
        <w:t xml:space="preserve">issu du développement du Melanotan II à l’université de l’Arizona ; développé ensuite par la société Palatin Technologies</w:t>
      </w:r>
      <w:r>
        <w:rPr>
          <w:rStyle w:val="FootnoteReference"/>
        </w:rPr>
        <w:footnoteReference w:id="1965"/>
      </w:r>
      <w:r>
        <w:t xml:space="preserve">.</w:t>
      </w:r>
    </w:p>
    <w:p>
      <w:pPr>
        <w:numPr>
          <w:ilvl w:val="0"/>
          <w:numId w:val="1251"/>
        </w:numPr>
        <w:pStyle w:val="Compact"/>
      </w:pPr>
      <w:r>
        <w:rPr>
          <w:bCs/>
          <w:b/>
        </w:rPr>
        <w:t xml:space="preserve">Principe d’action :</w:t>
      </w:r>
      <w:r>
        <w:t xml:space="preserve"> </w:t>
      </w:r>
      <w:r>
        <w:t xml:space="preserve">agoniste des récepteurs des mélanocortines, surtout du MC4R dans le cerveau. Il n’agit pas sur les vaisseaux sanguins des organes génitaux comme le sildénafil, mais sur les régions cérébrales impliquées dans le désir sexuel.</w:t>
      </w:r>
    </w:p>
    <w:p>
      <w:pPr>
        <w:numPr>
          <w:ilvl w:val="0"/>
          <w:numId w:val="1251"/>
        </w:numPr>
        <w:pStyle w:val="Compact"/>
      </w:pPr>
      <w:r>
        <w:rPr>
          <w:bCs/>
          <w:b/>
        </w:rPr>
        <w:t xml:space="preserve">Forme galénique :</w:t>
      </w:r>
      <w:r>
        <w:t xml:space="preserve"> </w:t>
      </w:r>
      <w:r>
        <w:t xml:space="preserve">seringue préremplie (auto-injecteur) pour une injection sous-cutanée à la demande, environ 45 minutes avant l’activité sexuelle. Les premières études utilisaient un spray nasal.</w:t>
      </w:r>
    </w:p>
    <w:p>
      <w:pPr>
        <w:numPr>
          <w:ilvl w:val="0"/>
          <w:numId w:val="1251"/>
        </w:numPr>
        <w:pStyle w:val="Compact"/>
      </w:pPr>
      <w:r>
        <w:rPr>
          <w:bCs/>
          <w:b/>
        </w:rPr>
        <w:t xml:space="preserve">Autorisation UE :</w:t>
      </w:r>
      <w:r>
        <w:t xml:space="preserve"> </w:t>
      </w:r>
      <w:r>
        <w:t xml:space="preserve">non.</w:t>
      </w:r>
    </w:p>
    <w:p>
      <w:pPr>
        <w:numPr>
          <w:ilvl w:val="0"/>
          <w:numId w:val="1251"/>
        </w:numPr>
        <w:pStyle w:val="Compact"/>
      </w:pPr>
      <w:r>
        <w:rPr>
          <w:bCs/>
          <w:b/>
        </w:rPr>
        <w:t xml:space="preserve">Autorisation États-Unis :</w:t>
      </w:r>
      <w:r>
        <w:t xml:space="preserve"> </w:t>
      </w:r>
      <w:r>
        <w:t xml:space="preserve">oui, depuis 2019 sous le nom de Vyleesi pour les femmes non ménopausées présentant un trouble acquis et généralisé du désir sexuel (trouble du désir sexuel hypoactif, HSDD)</w:t>
      </w:r>
      <w:r>
        <w:rPr>
          <w:rStyle w:val="FootnoteReference"/>
        </w:rPr>
        <w:footnoteReference w:id="1966"/>
      </w:r>
      <w:r>
        <w:t xml:space="preserve">. Utilisation uniquement sur prescription médicale et conformément au résumé des caractéristiques du produit.</w:t>
      </w:r>
    </w:p>
    <w:p>
      <w:pPr>
        <w:numPr>
          <w:ilvl w:val="0"/>
          <w:numId w:val="1251"/>
        </w:numPr>
        <w:pStyle w:val="Compact"/>
      </w:pPr>
      <w:r>
        <w:rPr>
          <w:bCs/>
          <w:b/>
        </w:rPr>
        <w:t xml:space="preserve">AMA (WADA) :</w:t>
      </w:r>
      <w:r>
        <w:t xml:space="preserve"> </w:t>
      </w:r>
      <w:r>
        <w:t xml:space="preserve">pas mentionné nommément.</w:t>
      </w:r>
    </w:p>
    <w:p>
      <w:pPr>
        <w:numPr>
          <w:ilvl w:val="0"/>
          <w:numId w:val="1251"/>
        </w:numPr>
        <w:pStyle w:val="Compact"/>
      </w:pPr>
      <w:r>
        <w:rPr>
          <w:bCs/>
          <w:b/>
        </w:rPr>
        <w:t xml:space="preserve">Niveau de preuve :</w:t>
      </w:r>
      <w:r>
        <w:t xml:space="preserve"> </w:t>
      </w:r>
      <w:r>
        <w:rPr>
          <w:bCs/>
          <w:b/>
        </w:rPr>
        <w:t xml:space="preserve">A</w:t>
      </w:r>
      <w:r>
        <w:t xml:space="preserve"> </w:t>
      </w:r>
      <w:r>
        <w:t xml:space="preserve">– deux grandes études randomisées de phase 3 réunissant au total plus de 1 200 participantes, autorisation aux États-Unis. Le bénéfice clinique est toutefois faible et controversé (voir plus bas).</w:t>
      </w:r>
    </w:p>
    <w:bookmarkEnd w:id="1967"/>
    <w:bookmarkStart w:id="1972" w:name="mode-daction-supposé-46"/>
    <w:p>
      <w:pPr>
        <w:pStyle w:val="Heading3"/>
      </w:pPr>
      <w:r>
        <w:t xml:space="preserve">Mode d’action supposé</w:t>
      </w:r>
    </w:p>
    <w:p>
      <w:pPr>
        <w:pStyle w:val="FirstParagraph"/>
      </w:pPr>
      <w:r>
        <w:t xml:space="preserve">Le système des mélanocortines est un réseau de messagers et de cinq récepteurs (MC1R à MC5R), décrit plus en détail dans l’introduction de cette partie. Pour le brémélanotide, c’est surtout le récepteur MC4R qui compte. Il se trouve notamment dans l’hypothalamus, un centre de commande du diencéphale, où il influence l’appétit, la dépense énergétique et – comme on l’a découvert par hasard – l’excitation sexuelle.</w:t>
      </w:r>
    </w:p>
    <w:p>
      <w:pPr>
        <w:pStyle w:val="BodyText"/>
      </w:pPr>
      <w:r>
        <w:t xml:space="preserve">Cette découverte a été un sous-produit de la recherche sur le bronzage : des hommes qui avaient reçu du Melanotan II dans les années 1990 pour bronzer leur peau ont rapporté des érections spontanées</w:t>
      </w:r>
      <w:r>
        <w:rPr>
          <w:rStyle w:val="FootnoteReference"/>
        </w:rPr>
        <w:footnoteReference w:id="1968"/>
      </w:r>
      <w:r>
        <w:t xml:space="preserve">. Le brémélanotide est une forme légèrement modifiée de cette molécule. Il active plusieurs récepteurs des mélanocortines, mais aux doses utilisées, le MC4R est le plus important</w:t>
      </w:r>
      <w:r>
        <w:rPr>
          <w:rStyle w:val="FootnoteReference"/>
        </w:rPr>
        <w:footnoteReference w:id="1969"/>
      </w:r>
      <w:r>
        <w:t xml:space="preserve">. Il n’est toutefois pas totalement dépourvu d’effet sur la peau – ce qui explique les taches pigmentaires observées.</w:t>
      </w:r>
    </w:p>
    <w:p>
      <w:pPr>
        <w:pStyle w:val="BodyText"/>
      </w:pPr>
      <w:r>
        <w:t xml:space="preserve">La manière exacte dont l’activation du MC4R influence le désir sexuel n’est que partiellement comprise. Des expérimentations animales suggèrent que le brémélanotide stimule, dans une région particulière de l’hypothalamus (l’aire préoptique médiane), la libération de dopamine, un messager qui favorise le désir sexuel</w:t>
      </w:r>
      <w:r>
        <w:rPr>
          <w:rStyle w:val="FootnoteReference"/>
        </w:rPr>
        <w:footnoteReference w:id="1970"/>
      </w:r>
      <w:r>
        <w:t xml:space="preserve">. Une étude britannique en imagerie par résonance magnétique fonctionnelle (IRMf) chez 31 femmes atteintes de HSDD a observé, sous un agoniste du MC4R, une activité modifiée dans les régions cérébrales qui traitent les stimuli érotiques</w:t>
      </w:r>
      <w:r>
        <w:rPr>
          <w:rStyle w:val="FootnoteReference"/>
        </w:rPr>
        <w:footnoteReference w:id="1971"/>
      </w:r>
      <w:r>
        <w:t xml:space="preserve">. Les auteurs y voient une diminution de l’auto-observation et une réceptivité accrue aux stimuli érotiques – une interprétation, pas une explication démontrée.</w:t>
      </w:r>
    </w:p>
    <w:p>
      <w:pPr>
        <w:pStyle w:val="BodyText"/>
      </w:pPr>
      <w:r>
        <w:t xml:space="preserve">Point important pour la compréhension : l’autorisation ne vise pas à donner « plus de désir » aux personnes en bonne santé, mais un diagnostic défini. Le HSDD désigne un désir sexuel durablement faible, qui cause une souffrance et ne s’explique pas par une autre maladie, des médicaments ou des problèmes relationnels.</w:t>
      </w:r>
    </w:p>
    <w:bookmarkEnd w:id="1972"/>
    <w:bookmarkStart w:id="1998" w:name="études-chez-lhumain-46"/>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16</w:t>
      </w:r>
      <w:r>
        <w:t xml:space="preserve"> </w:t>
      </w:r>
      <w:r>
        <w:t xml:space="preserve">études chez l’humain dans PubMed (</w:t>
      </w:r>
      <w:r>
        <w:rPr>
          <w:rStyle w:val="VerbatimChar"/>
        </w:rPr>
        <w:t xml:space="preserve">humanstudien_alle</w:t>
      </w:r>
      <w:r>
        <w:t xml:space="preserve">) et</w:t>
      </w:r>
      <w:r>
        <w:t xml:space="preserve"> </w:t>
      </w:r>
      <w:r>
        <w:rPr>
          <w:bCs/>
          <w:b/>
        </w:rPr>
        <w:t xml:space="preserve">10</w:t>
      </w:r>
      <w:r>
        <w:t xml:space="preserve"> </w:t>
      </w:r>
      <w:r>
        <w:t xml:space="preserve">entrées sur ClinicalTrials.gov. S’y ajoutent plusieurs revues et méta-analyses. Pour l’évaluation, ce sont surtout les deux études d’autorisation RECONNECT, leur extension et l’analyse de sécurité de l’ensemble du programme de développement qui comptent.</w:t>
      </w:r>
    </w:p>
    <w:bookmarkStart w:id="1978" w:name="premières-études-chez-lhomme"/>
    <w:p>
      <w:pPr>
        <w:pStyle w:val="Heading4"/>
      </w:pPr>
      <w:r>
        <w:t xml:space="preserve">Premières études chez l’homme</w:t>
      </w:r>
    </w:p>
    <w:p>
      <w:pPr>
        <w:pStyle w:val="FirstParagraph"/>
      </w:pPr>
      <w:r>
        <w:t xml:space="preserve">Le brémélanotide a d’abord été développé contre les troubles de l’érection. Dans des études de phase 1 avec un spray nasal</w:t>
      </w:r>
      <w:r>
        <w:rPr>
          <w:rStyle w:val="FootnoteReference"/>
        </w:rPr>
        <w:footnoteReference w:id="1973"/>
      </w:r>
      <w:r>
        <w:t xml:space="preserve"> </w:t>
      </w:r>
      <w:r>
        <w:t xml:space="preserve">et une injection</w:t>
      </w:r>
      <w:r>
        <w:rPr>
          <w:rStyle w:val="FootnoteReference"/>
        </w:rPr>
        <w:footnoteReference w:id="1974"/>
      </w:r>
      <w:r>
        <w:t xml:space="preserve">, il a provoqué des érections mesurables chez des hommes en bonne santé et chez des hommes souffrant de troubles de l’érection, y compris chez ceux qui répondaient insuffisamment au Viagra. Dans une petite étude portant sur 19 patients, une faible dose de brémélanotide a renforcé l’effet d’une faible dose de sildénafil</w:t>
      </w:r>
      <w:r>
        <w:rPr>
          <w:rStyle w:val="FootnoteReference"/>
        </w:rPr>
        <w:footnoteReference w:id="1975"/>
      </w:r>
      <w:r>
        <w:t xml:space="preserve">.</w:t>
      </w:r>
    </w:p>
    <w:p>
      <w:pPr>
        <w:pStyle w:val="BodyText"/>
      </w:pPr>
      <w:r>
        <w:t xml:space="preserve">Une étude portant sur 342 hommes chez qui le sildénafil n’avait pas fonctionné a rapporté un résultat positif chez 33,5 % des hommes sous spray nasal de brémélanotide contre 8,5 % sous placebo</w:t>
      </w:r>
      <w:r>
        <w:rPr>
          <w:rStyle w:val="FootnoteReference"/>
        </w:rPr>
        <w:footnoteReference w:id="1976"/>
      </w:r>
      <w:r>
        <w:t xml:space="preserve">. Ce travail doit être lu avec prudence : une seconde étude sur le brémélanotide du même premier auteur, menée chez des femmes, a été rétractée par la revue parce que les méthodes et les résultats n’étaient pas vérifiables</w:t>
      </w:r>
      <w:r>
        <w:rPr>
          <w:rStyle w:val="FootnoteReference"/>
        </w:rPr>
        <w:footnoteReference w:id="1977"/>
      </w:r>
      <w:r>
        <w:t xml:space="preserve"> </w:t>
      </w:r>
      <w:r>
        <w:t xml:space="preserve">; d’autres travaux de cet auteur ont également été rétractés.</w:t>
      </w:r>
    </w:p>
    <w:p>
      <w:pPr>
        <w:pStyle w:val="BodyText"/>
      </w:pPr>
      <w:r>
        <w:t xml:space="preserve">Le développement du spray nasal a été abandonné après que des hausses de la pression artérielle ont été constatées dans les études. L’entreprise est passée à l’injection et a changé de groupe cible pour les femmes.</w:t>
      </w:r>
    </w:p>
    <w:bookmarkEnd w:id="1978"/>
    <w:bookmarkStart w:id="1982" w:name="recherche-de-dose-chez-la-femme"/>
    <w:p>
      <w:pPr>
        <w:pStyle w:val="Heading4"/>
      </w:pPr>
      <w:r>
        <w:t xml:space="preserve">Recherche de dose chez la femme</w:t>
      </w:r>
    </w:p>
    <w:p>
      <w:pPr>
        <w:pStyle w:val="FirstParagraph"/>
      </w:pPr>
      <w:r>
        <w:t xml:space="preserve">Une première petite étude en laboratoire chez 18 femmes souffrant d’un trouble de l’excitation a montré, après une administration unique, un désir modéré à élevé plus fréquent qu’après placebo, mais aucune modification mesurable de l’irrigation vaginale lors du visionnage de films érotiques</w:t>
      </w:r>
      <w:r>
        <w:rPr>
          <w:rStyle w:val="FootnoteReference"/>
        </w:rPr>
        <w:footnoteReference w:id="1979"/>
      </w:r>
      <w:r>
        <w:t xml:space="preserve">.</w:t>
      </w:r>
    </w:p>
    <w:p>
      <w:pPr>
        <w:pStyle w:val="BodyText"/>
      </w:pPr>
      <w:r>
        <w:t xml:space="preserve">L’étude décisive de phase 2b</w:t>
      </w:r>
      <w:r>
        <w:rPr>
          <w:rStyle w:val="FootnoteReference"/>
        </w:rPr>
        <w:footnoteReference w:id="1980"/>
      </w:r>
      <w:r>
        <w:t xml:space="preserve"> </w:t>
      </w:r>
      <w:r>
        <w:t xml:space="preserve">a comparé trois doses à un placebo pendant douze semaines chez des femmes non ménopausées. 327 participantes ont été analysées. Pour les deux doses les plus élevées réunies, le nombre d’« événements sexuels satisfaisants » a augmenté de 0,7 par mois contre 0,2 sous placebo. Sur le questionnaire FSFI (Female Sexual Function Index, un score de la fonction sexuelle), la hausse a été de 3,6 points contre 1,9. Une analyse a posteriori a fixé à partir de quelle variation un effet est considéré comme cliniquement significatif ; ces seuils ont ensuite été repris pour les études de phase 3</w:t>
      </w:r>
      <w:r>
        <w:rPr>
          <w:rStyle w:val="FootnoteReference"/>
        </w:rPr>
        <w:footnoteReference w:id="1981"/>
      </w:r>
      <w:r>
        <w:t xml:space="preserve">.</w:t>
      </w:r>
    </w:p>
    <w:bookmarkEnd w:id="1982"/>
    <w:bookmarkStart w:id="1986" w:name="les-études-dautorisation-reconnect"/>
    <w:p>
      <w:pPr>
        <w:pStyle w:val="Heading4"/>
      </w:pPr>
      <w:r>
        <w:t xml:space="preserve">Les études d’autorisation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RECONNECT 301 et 302 (Kingsberg 2019), PMID 31599840</w:t>
            </w:r>
          </w:p>
        </w:tc>
        <w:tc>
          <w:tcPr/>
          <w:p>
            <w:pPr>
              <w:pStyle w:val="Compact"/>
              <w:jc w:val="left"/>
            </w:pPr>
            <w:r>
              <w:t xml:space="preserve">1 267 femmes non ménopausées atteintes de HSDD, deux ECR contre placebo, utilisation à la demande</w:t>
            </w:r>
          </w:p>
        </w:tc>
        <w:tc>
          <w:tcPr/>
          <w:p>
            <w:pPr>
              <w:pStyle w:val="Compact"/>
              <w:jc w:val="left"/>
            </w:pPr>
            <w:r>
              <w:t xml:space="preserve">24 semaines</w:t>
            </w:r>
          </w:p>
        </w:tc>
        <w:tc>
          <w:tcPr/>
          <w:p>
            <w:pPr>
              <w:pStyle w:val="Compact"/>
              <w:jc w:val="left"/>
            </w:pPr>
            <w:r>
              <w:t xml:space="preserve">Désir (FSFI-Desire) +0,35 point de plus que le placebo ; souffrance réduite de 0,33 point de plus</w:t>
            </w:r>
          </w:p>
        </w:tc>
      </w:tr>
      <w:tr>
        <w:tc>
          <w:tcPr/>
          <w:p>
            <w:pPr>
              <w:pStyle w:val="Compact"/>
              <w:jc w:val="left"/>
            </w:pPr>
            <w:r>
              <w:t xml:space="preserve">Extension en ouvert (Simon 2019), PMID 31599847</w:t>
            </w:r>
          </w:p>
        </w:tc>
        <w:tc>
          <w:tcPr/>
          <w:p>
            <w:pPr>
              <w:pStyle w:val="Compact"/>
              <w:jc w:val="left"/>
            </w:pPr>
            <w:r>
              <w:t xml:space="preserve">684 femmes issues des deux études, toutes sous brémélanotide</w:t>
            </w:r>
          </w:p>
        </w:tc>
        <w:tc>
          <w:tcPr/>
          <w:p>
            <w:pPr>
              <w:pStyle w:val="Compact"/>
              <w:jc w:val="left"/>
            </w:pPr>
            <w:r>
              <w:t xml:space="preserve">52 semaines</w:t>
            </w:r>
          </w:p>
        </w:tc>
        <w:tc>
          <w:tcPr/>
          <w:p>
            <w:pPr>
              <w:pStyle w:val="Compact"/>
              <w:jc w:val="left"/>
            </w:pPr>
            <w:r>
              <w:t xml:space="preserve">272 ont terminé l’extension ; aucun nouveau signal de sécurité</w:t>
            </w:r>
          </w:p>
        </w:tc>
      </w:tr>
      <w:tr>
        <w:tc>
          <w:tcPr/>
          <w:p>
            <w:pPr>
              <w:pStyle w:val="Compact"/>
              <w:jc w:val="left"/>
            </w:pPr>
            <w:r>
              <w:t xml:space="preserve">Analyse de sous-groupes (Simon 2022), PMID 35230162</w:t>
            </w:r>
          </w:p>
        </w:tc>
        <w:tc>
          <w:tcPr/>
          <w:p>
            <w:pPr>
              <w:pStyle w:val="Compact"/>
              <w:jc w:val="left"/>
            </w:pPr>
            <w:r>
              <w:t xml:space="preserve">1 202 femmes issues des deux études</w:t>
            </w:r>
          </w:p>
        </w:tc>
        <w:tc>
          <w:tcPr/>
          <w:p>
            <w:pPr>
              <w:pStyle w:val="Compact"/>
              <w:jc w:val="left"/>
            </w:pPr>
            <w:r>
              <w:t xml:space="preserve">24 semaines</w:t>
            </w:r>
          </w:p>
        </w:tc>
        <w:tc>
          <w:tcPr/>
          <w:p>
            <w:pPr>
              <w:pStyle w:val="Compact"/>
              <w:jc w:val="left"/>
            </w:pPr>
            <w:r>
              <w:t xml:space="preserve">Effet similaire dans presque tous les sous-groupes d’âge, de poids et hormonaux</w:t>
            </w:r>
          </w:p>
        </w:tc>
      </w:tr>
      <w:tr>
        <w:tc>
          <w:tcPr/>
          <w:p>
            <w:pPr>
              <w:pStyle w:val="Compact"/>
              <w:jc w:val="left"/>
            </w:pPr>
            <w:r>
              <w:t xml:space="preserve">Analyse de sécurité (Clayton 2022), PMID 35147466</w:t>
            </w:r>
          </w:p>
        </w:tc>
        <w:tc>
          <w:tcPr/>
          <w:p>
            <w:pPr>
              <w:pStyle w:val="Compact"/>
              <w:jc w:val="left"/>
            </w:pPr>
            <w:r>
              <w:t xml:space="preserve">environ 3 500 personnes dans 43 études</w:t>
            </w:r>
          </w:p>
        </w:tc>
        <w:tc>
          <w:tcPr/>
          <w:p>
            <w:pPr>
              <w:pStyle w:val="Compact"/>
              <w:jc w:val="left"/>
            </w:pPr>
            <w:r>
              <w:t xml:space="preserve">jusqu’à 18 mois</w:t>
            </w:r>
          </w:p>
        </w:tc>
        <w:tc>
          <w:tcPr/>
          <w:p>
            <w:pPr>
              <w:pStyle w:val="Compact"/>
              <w:jc w:val="left"/>
            </w:pPr>
            <w:r>
              <w:t xml:space="preserve">Nausées 40,0 % contre 1,3 %, bouffées de chaleur 20,3 % contre 1,3 %</w:t>
            </w:r>
          </w:p>
        </w:tc>
      </w:tr>
    </w:tbl>
    <w:p>
      <w:pPr>
        <w:pStyle w:val="BodyText"/>
      </w:pPr>
      <w:r>
        <w:t xml:space="preserve">Les deux études identiques 301 et 302</w:t>
      </w:r>
      <w:r>
        <w:rPr>
          <w:rStyle w:val="FootnoteReference"/>
        </w:rPr>
        <w:footnoteReference w:id="1983"/>
      </w:r>
      <w:r>
        <w:t xml:space="preserve"> </w:t>
      </w:r>
      <w:r>
        <w:t xml:space="preserve">se sont déroulées en 2015 et 2016, principalement aux États-Unis. Les participantes s’injectaient à la demande, avant une activité sexuelle, 1,75 mg de brémélanotide ou un placebo à l’aide d’un auto-injecteur. Deux critères principaux ont été mesurés : le désir sexuel (domaine Desire du FSFI, échelle de 1,2 à 6) et la souffrance liée au faible désir (une question isolée du questionnaire FSDS-DAO, échelle de 0 à 4).</w:t>
      </w:r>
    </w:p>
    <w:p>
      <w:pPr>
        <w:pStyle w:val="BodyText"/>
      </w:pPr>
      <w:r>
        <w:t xml:space="preserve">Les deux études ont atteint leurs objectifs principaux. Dans l’analyse commune, le désir a augmenté de 0,35 point de plus que sous placebo et la souffrance a diminué de 0,33 point de plus</w:t>
      </w:r>
      <w:r>
        <w:rPr>
          <w:rStyle w:val="FootnoteReference"/>
        </w:rPr>
        <w:footnoteReference w:id="1984"/>
      </w:r>
      <w:r>
        <w:t xml:space="preserve">. Ces chiffres sont statistiquement nets, mais faibles : sur une échelle allant jusqu’à 6, un tiers de point représente une différence modeste. Les valeurs se sont aussi nettement améliorées sous placebo – un schéma bien connu en médecine sexuelle.</w:t>
      </w:r>
    </w:p>
    <w:p>
      <w:pPr>
        <w:pStyle w:val="BodyText"/>
      </w:pPr>
      <w:r>
        <w:t xml:space="preserve">Lors d’entretiens de fin d’étude avec 242 participantes qui ne savaient pas encore ce qu’elles avaient reçu, les femmes sous brémélanotide ont plus souvent décrit une excitation physique et davantage de désir ; sous placebo, elles évoquaient plutôt une meilleure communication dans le couple</w:t>
      </w:r>
      <w:r>
        <w:rPr>
          <w:rStyle w:val="FootnoteReference"/>
        </w:rPr>
        <w:footnoteReference w:id="1985"/>
      </w:r>
      <w:r>
        <w:t xml:space="preserve">.</w:t>
      </w:r>
    </w:p>
    <w:bookmarkEnd w:id="1986"/>
    <w:bookmarkStart w:id="1989" w:name="les-critiques-des-études-dautorisation"/>
    <w:p>
      <w:pPr>
        <w:pStyle w:val="Heading4"/>
      </w:pPr>
      <w:r>
        <w:t xml:space="preserve">Les critiques des études d’autorisation</w:t>
      </w:r>
    </w:p>
    <w:p>
      <w:pPr>
        <w:pStyle w:val="FirstParagraph"/>
      </w:pPr>
      <w:r>
        <w:t xml:space="preserve">Une réanalyse indépendante, fondée sur les documents soumis à l’autorité américaine du médicament (FDA), est parvenue à un jugement global différent</w:t>
      </w:r>
      <w:r>
        <w:rPr>
          <w:rStyle w:val="FootnoteReference"/>
        </w:rPr>
        <w:footnoteReference w:id="1987"/>
      </w:r>
      <w:r>
        <w:t xml:space="preserve">. L’auteur confirme les petits effets, mais critique le fait qu’environ 73 % des résultats prévus dans le protocole d’étude n’aient pas été publiés. Deux constats manquaient dans la publication principale :</w:t>
      </w:r>
    </w:p>
    <w:p>
      <w:pPr>
        <w:numPr>
          <w:ilvl w:val="0"/>
          <w:numId w:val="1252"/>
        </w:numPr>
        <w:pStyle w:val="Compact"/>
      </w:pPr>
      <w:r>
        <w:t xml:space="preserve">Les abandons pour effets indésirables étaient nettement plus fréquents sous brémélanotide (odds ratio 11,98). Par le calcul, environ une femme traitée sur six a abandonné en raison d’effets indésirables alors qu’elle ne l’aurait pas fait sous placebo.</w:t>
      </w:r>
    </w:p>
    <w:p>
      <w:pPr>
        <w:numPr>
          <w:ilvl w:val="0"/>
          <w:numId w:val="1252"/>
        </w:numPr>
        <w:pStyle w:val="Compact"/>
      </w:pPr>
      <w:r>
        <w:t xml:space="preserve">Les femmes qui ont terminé l’étude puis sont passées à l’extension en ouvert venaient plus souvent du groupe placebo. L’analyse de sécurité du fabricant cite aussi ces chiffres : 70 % du groupe brémélanotide contre 87 % du groupe placebo sont passées à l’extension</w:t>
      </w:r>
      <w:r>
        <w:rPr>
          <w:rStyle w:val="FootnoteReference"/>
        </w:rPr>
        <w:footnoteReference w:id="1988"/>
      </w:r>
      <w:r>
        <w:t xml:space="preserve">.</w:t>
      </w:r>
    </w:p>
    <w:p>
      <w:pPr>
        <w:pStyle w:val="FirstParagraph"/>
      </w:pPr>
      <w:r>
        <w:t xml:space="preserve">Spielmans en conclut que le produit n’est pas utile pour la plupart des femmes. C’est une opinion individuelle tranchée, mais elle repose sur des données que le fabricant a lui aussi publiées.</w:t>
      </w:r>
    </w:p>
    <w:bookmarkEnd w:id="1989"/>
    <w:bookmarkStart w:id="1993" w:name="méta-analyses-1"/>
    <w:p>
      <w:pPr>
        <w:pStyle w:val="Heading4"/>
      </w:pPr>
      <w:r>
        <w:t xml:space="preserve">Méta-analyses</w:t>
      </w:r>
    </w:p>
    <w:p>
      <w:pPr>
        <w:pStyle w:val="FirstParagraph"/>
      </w:pPr>
      <w:r>
        <w:t xml:space="preserve">Une méta-analyse portant sur les médicaments contre les troubles sexuels féminins (dont le brémélanotide, la flibansérine et l’ocytocine intranasale) a montré qu’environ 67,7 % de l’amélioration observée dans les groupes traités apparaissait aussi sous placebo</w:t>
      </w:r>
      <w:r>
        <w:rPr>
          <w:rStyle w:val="FootnoteReference"/>
        </w:rPr>
        <w:footnoteReference w:id="1990"/>
      </w:r>
      <w:r>
        <w:t xml:space="preserve">. Une méta-analyse plus récente confirme pour le brémélanotide de petites améliorations du désir et de l’excitation ainsi qu’une diminution de la souffrance, sans comparaison avec la psychothérapie</w:t>
      </w:r>
      <w:r>
        <w:rPr>
          <w:rStyle w:val="FootnoteReference"/>
        </w:rPr>
        <w:footnoteReference w:id="1991"/>
      </w:r>
      <w:r>
        <w:t xml:space="preserve">. Une revue des études terminées enregistrées sur ClinicalTrials.gov déplore des critères d’évaluation hétérogènes et des comptes rendus incomplets</w:t>
      </w:r>
      <w:r>
        <w:rPr>
          <w:rStyle w:val="FootnoteReference"/>
        </w:rPr>
        <w:footnoteReference w:id="1992"/>
      </w:r>
      <w:r>
        <w:t xml:space="preserve">.</w:t>
      </w:r>
    </w:p>
    <w:bookmarkEnd w:id="1993"/>
    <w:bookmarkStart w:id="1997" w:name="autres-questions"/>
    <w:p>
      <w:pPr>
        <w:pStyle w:val="Heading4"/>
      </w:pPr>
      <w:r>
        <w:t xml:space="preserve">Autres questions</w:t>
      </w:r>
    </w:p>
    <w:p>
      <w:pPr>
        <w:numPr>
          <w:ilvl w:val="0"/>
          <w:numId w:val="1253"/>
        </w:numPr>
        <w:pStyle w:val="Compact"/>
      </w:pPr>
      <w:r>
        <w:rPr>
          <w:bCs/>
          <w:b/>
        </w:rPr>
        <w:t xml:space="preserve">Alcool :</w:t>
      </w:r>
      <w:r>
        <w:t xml:space="preserve"> </w:t>
      </w:r>
      <w:r>
        <w:t xml:space="preserve">dans une étude de phase 1 chez 24 personnes en bonne santé, aucune interaction significative n’est survenue en cas de consommation simultanée d’alcool</w:t>
      </w:r>
      <w:r>
        <w:rPr>
          <w:rStyle w:val="FootnoteReference"/>
        </w:rPr>
        <w:footnoteReference w:id="1994"/>
      </w:r>
      <w:r>
        <w:t xml:space="preserve">.</w:t>
      </w:r>
    </w:p>
    <w:p>
      <w:pPr>
        <w:numPr>
          <w:ilvl w:val="0"/>
          <w:numId w:val="1253"/>
        </w:numPr>
        <w:pStyle w:val="Compact"/>
      </w:pPr>
      <w:r>
        <w:rPr>
          <w:bCs/>
          <w:b/>
        </w:rPr>
        <w:t xml:space="preserve">Poids :</w:t>
      </w:r>
      <w:r>
        <w:t xml:space="preserve"> </w:t>
      </w:r>
      <w:r>
        <w:t xml:space="preserve">comme le MC4R pilote aussi l’appétit, le brémélanotide a été testé chez des femmes atteintes d’obésité. Dans deux petites études de phase 1, l’apport calorique a diminué d’environ 400 kcal par jour ; après 16 jours, le poids était inférieur de 1,3 kg à celui du groupe placebo</w:t>
      </w:r>
      <w:r>
        <w:rPr>
          <w:rStyle w:val="FootnoteReference"/>
        </w:rPr>
        <w:footnoteReference w:id="1995"/>
      </w:r>
      <w:r>
        <w:t xml:space="preserve">. Ce sont des données à court terme, qui ne disent rien d’un traitement au long cours.</w:t>
      </w:r>
    </w:p>
    <w:p>
      <w:pPr>
        <w:numPr>
          <w:ilvl w:val="0"/>
          <w:numId w:val="1253"/>
        </w:numPr>
        <w:pStyle w:val="Compact"/>
      </w:pPr>
      <w:r>
        <w:rPr>
          <w:bCs/>
          <w:b/>
        </w:rPr>
        <w:t xml:space="preserve">Cerveau :</w:t>
      </w:r>
      <w:r>
        <w:t xml:space="preserve"> </w:t>
      </w:r>
      <w:r>
        <w:t xml:space="preserve">l’étude en IRMf déjà mentionnée</w:t>
      </w:r>
      <w:r>
        <w:rPr>
          <w:rStyle w:val="FootnoteReference"/>
        </w:rPr>
        <w:footnoteReference w:id="1996"/>
      </w:r>
      <w:r>
        <w:t xml:space="preserve"> </w:t>
      </w:r>
      <w:r>
        <w:t xml:space="preserve">est l’un des rares travaux qui n’ont pas été dirigés par le fabricant.</w:t>
      </w:r>
    </w:p>
    <w:bookmarkEnd w:id="1997"/>
    <w:bookmarkEnd w:id="1998"/>
    <w:bookmarkStart w:id="2002" w:name="études-animales-et-de-laboratoire-46"/>
    <w:p>
      <w:pPr>
        <w:pStyle w:val="Heading3"/>
      </w:pPr>
      <w:r>
        <w:t xml:space="preserve">Études animales et de laboratoire</w:t>
      </w:r>
    </w:p>
    <w:p>
      <w:pPr>
        <w:pStyle w:val="FirstParagraph"/>
      </w:pPr>
      <w:r>
        <w:t xml:space="preserve">La recherche animale sur le brémélanotide provient surtout de rats. Une revue la résume ainsi : le brémélanotide active le MC4R sur des neurones de l’hypothalamus, qui libèrent alors davantage de dopamine ; chez les rates, les comportements par lesquels les femelles manifestent un intérêt sexuel ont augmenté</w:t>
      </w:r>
      <w:r>
        <w:rPr>
          <w:rStyle w:val="FootnoteReference"/>
        </w:rPr>
        <w:footnoteReference w:id="1999"/>
      </w:r>
      <w:r>
        <w:t xml:space="preserve">. Cette revue émane de chercheurs liés au développement du produit.</w:t>
      </w:r>
    </w:p>
    <w:p>
      <w:pPr>
        <w:pStyle w:val="BodyText"/>
      </w:pPr>
      <w:r>
        <w:t xml:space="preserve">Une étude indépendante chez des hamsters femelles a abouti à un résultat décevant : le brémélanotide n’a ni modifié les récepteurs du système de récompense ni renforcé la « valeur de récompense » des rencontres sexuelles dans un test comportemental</w:t>
      </w:r>
      <w:r>
        <w:rPr>
          <w:rStyle w:val="FootnoteReference"/>
        </w:rPr>
        <w:footnoteReference w:id="2000"/>
      </w:r>
      <w:r>
        <w:t xml:space="preserve">. Les auteurs en concluent que le produit n’agit pas par le circuit classique de la récompense. Son mode d’action exact reste donc à éclaircir.</w:t>
      </w:r>
    </w:p>
    <w:p>
      <w:pPr>
        <w:pStyle w:val="BodyText"/>
      </w:pPr>
      <w:r>
        <w:t xml:space="preserve">En culture cellulaire, le brémélanotide a inhibé la croissance de cellules de glioblastome, un type de tumeur cérébrale</w:t>
      </w:r>
      <w:r>
        <w:rPr>
          <w:rStyle w:val="FootnoteReference"/>
        </w:rPr>
        <w:footnoteReference w:id="2001"/>
      </w:r>
      <w:r>
        <w:t xml:space="preserve">. Il s’agit d’un résultat purement de laboratoire, sans portée clinique.</w:t>
      </w:r>
    </w:p>
    <w:bookmarkEnd w:id="2002"/>
    <w:bookmarkStart w:id="2013" w:name="risques-et-effets-indésirables-46"/>
    <w:p>
      <w:pPr>
        <w:pStyle w:val="Heading3"/>
      </w:pPr>
      <w:r>
        <w:t xml:space="preserve">Risques et effets indésirables</w:t>
      </w:r>
    </w:p>
    <w:bookmarkStart w:id="2008" w:name="établis"/>
    <w:p>
      <w:pPr>
        <w:pStyle w:val="Heading4"/>
      </w:pPr>
      <w:r>
        <w:t xml:space="preserve">Établis</w:t>
      </w:r>
    </w:p>
    <w:p>
      <w:pPr>
        <w:numPr>
          <w:ilvl w:val="0"/>
          <w:numId w:val="1254"/>
        </w:numPr>
        <w:pStyle w:val="Compact"/>
      </w:pPr>
      <w:r>
        <w:rPr>
          <w:bCs/>
          <w:b/>
        </w:rPr>
        <w:t xml:space="preserve">Nausées :</w:t>
      </w:r>
      <w:r>
        <w:t xml:space="preserve"> </w:t>
      </w:r>
      <w:r>
        <w:t xml:space="preserve">l’effet indésirable le plus fréquent. Dans les études de phase 3, elles ont touché 40,0 % des participantes contre 1,3 % sous placebo et ont été le motif d’abandon le plus fréquent</w:t>
      </w:r>
      <w:r>
        <w:rPr>
          <w:rStyle w:val="FootnoteReference"/>
        </w:rPr>
        <w:footnoteReference w:id="2003"/>
      </w:r>
      <w:r>
        <w:t xml:space="preserve">. Une étude spécifique chez 228 femmes en bonne santé a examiné si l’antinauséeux ondansétron aide en prévention</w:t>
      </w:r>
      <w:r>
        <w:rPr>
          <w:rStyle w:val="FootnoteReference"/>
        </w:rPr>
        <w:footnoteReference w:id="2004"/>
      </w:r>
      <w:r>
        <w:t xml:space="preserve">.</w:t>
      </w:r>
    </w:p>
    <w:p>
      <w:pPr>
        <w:numPr>
          <w:ilvl w:val="0"/>
          <w:numId w:val="1254"/>
        </w:numPr>
        <w:pStyle w:val="Compact"/>
      </w:pPr>
      <w:r>
        <w:rPr>
          <w:bCs/>
          <w:b/>
        </w:rPr>
        <w:t xml:space="preserve">Bouffées de chaleur (flushing)</w:t>
      </w:r>
      <w:r>
        <w:t xml:space="preserve"> </w:t>
      </w:r>
      <w:r>
        <w:t xml:space="preserve">chez 20,3 %,</w:t>
      </w:r>
      <w:r>
        <w:t xml:space="preserve"> </w:t>
      </w:r>
      <w:r>
        <w:rPr>
          <w:bCs/>
          <w:b/>
        </w:rPr>
        <w:t xml:space="preserve">maux de tête</w:t>
      </w:r>
      <w:r>
        <w:t xml:space="preserve"> </w:t>
      </w:r>
      <w:r>
        <w:t xml:space="preserve">chez 11,3 %,</w:t>
      </w:r>
      <w:r>
        <w:t xml:space="preserve"> </w:t>
      </w:r>
      <w:r>
        <w:rPr>
          <w:bCs/>
          <w:b/>
        </w:rPr>
        <w:t xml:space="preserve">réactions au point d’injection</w:t>
      </w:r>
      <w:r>
        <w:t xml:space="preserve"> </w:t>
      </w:r>
      <w:r>
        <w:t xml:space="preserve">chez 5,4 % (contre 1,3 %, 1,9 % et 0,5 % sous placebo).</w:t>
      </w:r>
    </w:p>
    <w:p>
      <w:pPr>
        <w:numPr>
          <w:ilvl w:val="0"/>
          <w:numId w:val="1254"/>
        </w:numPr>
        <w:pStyle w:val="Compact"/>
      </w:pPr>
      <w:r>
        <w:rPr>
          <w:bCs/>
          <w:b/>
        </w:rPr>
        <w:t xml:space="preserve">Pression artérielle :</w:t>
      </w:r>
      <w:r>
        <w:t xml:space="preserve"> </w:t>
      </w:r>
      <w:r>
        <w:t xml:space="preserve">dans une étude avec mesure sur 24 heures chez 397 femmes, la pression systolique a augmenté transitoirement de 2,4 à 3,2 mmHg après l’administration ; les pics duraient le plus souvent moins de 15 minutes. Dans le même temps, la fréquence cardiaque a baissé d’environ 4,6 battements par minute</w:t>
      </w:r>
      <w:r>
        <w:rPr>
          <w:rStyle w:val="FootnoteReference"/>
        </w:rPr>
        <w:footnoteReference w:id="2005"/>
      </w:r>
      <w:r>
        <w:t xml:space="preserve">. Le résumé des caractéristiques du produit déconseille donc l’utilisation en cas d’hypertension non contrôlée ou de maladie cardiovasculaire connue.</w:t>
      </w:r>
    </w:p>
    <w:p>
      <w:pPr>
        <w:numPr>
          <w:ilvl w:val="0"/>
          <w:numId w:val="1254"/>
        </w:numPr>
        <w:pStyle w:val="Compact"/>
      </w:pPr>
      <w:r>
        <w:rPr>
          <w:bCs/>
          <w:b/>
        </w:rPr>
        <w:t xml:space="preserve">Taches pigmentaires :</w:t>
      </w:r>
      <w:r>
        <w:t xml:space="preserve"> </w:t>
      </w:r>
      <w:r>
        <w:t xml:space="preserve">rares en cas d’utilisation conforme au résumé des caractéristiques du produit. Mais lorsque le brémélanotide a été administré jusqu’à 16 jours consécutifs, plus d’un tiers des participants ont développé des taches sombres circonscrites</w:t>
      </w:r>
      <w:r>
        <w:rPr>
          <w:rStyle w:val="FootnoteReference"/>
        </w:rPr>
        <w:footnoteReference w:id="2006"/>
      </w:r>
      <w:r>
        <w:t xml:space="preserve"> </w:t>
      </w:r>
      <w:r>
        <w:t xml:space="preserve">– un indice de l’effet résiduel sur le récepteur pigmentaire.</w:t>
      </w:r>
    </w:p>
    <w:p>
      <w:pPr>
        <w:numPr>
          <w:ilvl w:val="0"/>
          <w:numId w:val="1254"/>
        </w:numPr>
        <w:pStyle w:val="Compact"/>
      </w:pPr>
      <w:r>
        <w:rPr>
          <w:bCs/>
          <w:b/>
        </w:rPr>
        <w:t xml:space="preserve">Interactions :</w:t>
      </w:r>
      <w:r>
        <w:t xml:space="preserve"> </w:t>
      </w:r>
      <w:r>
        <w:t xml:space="preserve">le brémélanotide ralentit brièvement la vidange gastrique et a abaissé, dans des études, les taux sanguins d’indométacine et de naltrexone</w:t>
      </w:r>
      <w:r>
        <w:rPr>
          <w:rStyle w:val="FootnoteReference"/>
        </w:rPr>
        <w:footnoteReference w:id="2007"/>
      </w:r>
      <w:r>
        <w:t xml:space="preserve">.</w:t>
      </w:r>
    </w:p>
    <w:bookmarkEnd w:id="2008"/>
    <w:bookmarkStart w:id="2010" w:name="incertains"/>
    <w:p>
      <w:pPr>
        <w:pStyle w:val="Heading4"/>
      </w:pPr>
      <w:r>
        <w:t xml:space="preserve">Incertains</w:t>
      </w:r>
    </w:p>
    <w:p>
      <w:pPr>
        <w:pStyle w:val="FirstParagraph"/>
      </w:pPr>
      <w:r>
        <w:t xml:space="preserve">Les données sont insuffisantes pour la grossesse. Une petite étude mesure actuellement le passage dans le lait maternel</w:t>
      </w:r>
      <w:r>
        <w:rPr>
          <w:rStyle w:val="FootnoteReference"/>
        </w:rPr>
        <w:footnoteReference w:id="2009"/>
      </w:r>
      <w:r>
        <w:t xml:space="preserve">. Les données à long terme au-delà de 18 mois font défaut.</w:t>
      </w:r>
    </w:p>
    <w:bookmarkEnd w:id="2010"/>
    <w:bookmarkStart w:id="2012" w:name="marché-gris-1"/>
    <w:p>
      <w:pPr>
        <w:pStyle w:val="Heading4"/>
      </w:pPr>
      <w:r>
        <w:t xml:space="preserve">Marché gris</w:t>
      </w:r>
    </w:p>
    <w:p>
      <w:pPr>
        <w:pStyle w:val="FirstParagraph"/>
      </w:pPr>
      <w:r>
        <w:t xml:space="preserve">Sous le nom de « PT-141 », le brémélanotide est proposé sur Internet sous forme de poudre pour auto-injection, souvent à côté du Melanotan II. Des laboratoires de police scientifique ont identifié ces deux substances dans des échantillons saisis par la police dans le milieu du culturisme</w:t>
      </w:r>
      <w:r>
        <w:rPr>
          <w:rStyle w:val="FootnoteReference"/>
        </w:rPr>
        <w:footnoteReference w:id="2011"/>
      </w:r>
      <w:r>
        <w:t xml:space="preserve">. Ces produits comportent les mêmes risques que les autres peptides du marché gris (partie I, chapitre « Le marché gris ») : pureté inconnue, quantités erronées, contaminations, fabrication non stérile. On sait que le spray nasal de brémélanotide agissait plus fortement sur la pression artérielle ; les sprays du marché gris ne sont pas contrôlés.</w:t>
      </w:r>
    </w:p>
    <w:bookmarkEnd w:id="2012"/>
    <w:bookmarkEnd w:id="2013"/>
    <w:bookmarkStart w:id="2015" w:name="statut-juridique-46"/>
    <w:p>
      <w:pPr>
        <w:pStyle w:val="Heading3"/>
      </w:pPr>
      <w:r>
        <w:t xml:space="preserve">Statut juridique</w:t>
      </w:r>
    </w:p>
    <w:p>
      <w:pPr>
        <w:pStyle w:val="FirstParagraph"/>
      </w:pPr>
      <w:r>
        <w:rPr>
          <w:iCs/>
          <w:i/>
        </w:rPr>
        <w:t xml:space="preserve">État 2026, à vérifier.</w:t>
      </w:r>
    </w:p>
    <w:p>
      <w:pPr>
        <w:numPr>
          <w:ilvl w:val="0"/>
          <w:numId w:val="1255"/>
        </w:numPr>
        <w:pStyle w:val="Compact"/>
      </w:pPr>
      <w:r>
        <w:rPr>
          <w:bCs/>
          <w:b/>
        </w:rPr>
        <w:t xml:space="preserve">UE :</w:t>
      </w:r>
      <w:r>
        <w:t xml:space="preserve"> </w:t>
      </w:r>
      <w:r>
        <w:t xml:space="preserve">pas d’autorisation, et aucune procédure d’autorisation en cours n’est connue. La vente pour un usage chez l’humain est illégale dans l’UE.</w:t>
      </w:r>
    </w:p>
    <w:p>
      <w:pPr>
        <w:numPr>
          <w:ilvl w:val="0"/>
          <w:numId w:val="1255"/>
        </w:numPr>
        <w:pStyle w:val="Compact"/>
      </w:pPr>
      <w:r>
        <w:rPr>
          <w:bCs/>
          <w:b/>
        </w:rPr>
        <w:t xml:space="preserve">Allemagne et Autriche :</w:t>
      </w:r>
      <w:r>
        <w:t xml:space="preserve"> </w:t>
      </w:r>
      <w:r>
        <w:t xml:space="preserve">pas d’autorisation. L’importation individuelle d’un médicament autorisé aux États-Unis sur prescription médicale est juridiquement possible dans des limites étroites ; les produits du marché gris n’en relèvent pas.</w:t>
      </w:r>
    </w:p>
    <w:p>
      <w:pPr>
        <w:numPr>
          <w:ilvl w:val="0"/>
          <w:numId w:val="1255"/>
        </w:numPr>
        <w:pStyle w:val="Compact"/>
      </w:pPr>
      <w:r>
        <w:rPr>
          <w:bCs/>
          <w:b/>
        </w:rPr>
        <w:t xml:space="preserve">États-Unis :</w:t>
      </w:r>
      <w:r>
        <w:t xml:space="preserve"> </w:t>
      </w:r>
      <w:r>
        <w:t xml:space="preserve">autorisé depuis juin 2019 (Vyleesi) pour les femmes non ménopausées atteintes de HSDD acquis et généralisé. Non autorisé pour les hommes, pour les femmes ménopausées ni pour augmenter le désir chez les personnes en bonne santé. Les droits de commercialisation ont changé de mains plusieurs fois ; selon les registres, c’est désormais la société Cosette Pharmaceuticals qui en est responsable.</w:t>
      </w:r>
    </w:p>
    <w:p>
      <w:pPr>
        <w:numPr>
          <w:ilvl w:val="0"/>
          <w:numId w:val="1255"/>
        </w:numPr>
        <w:pStyle w:val="Compact"/>
      </w:pPr>
      <w:r>
        <w:rPr>
          <w:bCs/>
          <w:b/>
        </w:rPr>
        <w:t xml:space="preserve">Autres pays :</w:t>
      </w:r>
      <w:r>
        <w:t xml:space="preserve"> </w:t>
      </w:r>
      <w:r>
        <w:t xml:space="preserve">en Corée du Sud, une étude de transposition (bridging study) a été menée chez 193 femmes en vue d’une autorisation locale</w:t>
      </w:r>
      <w:r>
        <w:rPr>
          <w:rStyle w:val="FootnoteReference"/>
        </w:rPr>
        <w:footnoteReference w:id="2014"/>
      </w:r>
      <w:r>
        <w:t xml:space="preserve">.</w:t>
      </w:r>
    </w:p>
    <w:p>
      <w:pPr>
        <w:numPr>
          <w:ilvl w:val="0"/>
          <w:numId w:val="1255"/>
        </w:numPr>
        <w:pStyle w:val="Compact"/>
      </w:pPr>
      <w:r>
        <w:rPr>
          <w:bCs/>
          <w:b/>
        </w:rPr>
        <w:t xml:space="preserve">AMA (WADA) :</w:t>
      </w:r>
      <w:r>
        <w:t xml:space="preserve"> </w:t>
      </w:r>
      <w:r>
        <w:t xml:space="preserve">pas mentionné nommément. Consulte la liste des interdictions en vigueur.</w:t>
      </w:r>
    </w:p>
    <w:bookmarkEnd w:id="2015"/>
    <w:bookmarkStart w:id="2019" w:name="études-en-cours-et-perspectives-46"/>
    <w:p>
      <w:pPr>
        <w:pStyle w:val="Heading3"/>
      </w:pPr>
      <w:r>
        <w:t xml:space="preserve">Études en cours et perspectives</w:t>
      </w:r>
    </w:p>
    <w:p>
      <w:pPr>
        <w:pStyle w:val="FirstParagraph"/>
      </w:pPr>
      <w:r>
        <w:rPr>
          <w:bCs/>
          <w:b/>
        </w:rPr>
        <w:t xml:space="preserve">Établi (études enregistrées) :</w:t>
      </w:r>
    </w:p>
    <w:p>
      <w:pPr>
        <w:numPr>
          <w:ilvl w:val="0"/>
          <w:numId w:val="1256"/>
        </w:numPr>
        <w:pStyle w:val="Compact"/>
      </w:pPr>
      <w:r>
        <w:t xml:space="preserve">Une étude de phase 2 chez 108 personnes évalue le brémélanotide en complément du tirzépatide dans l’obésité</w:t>
      </w:r>
      <w:r>
        <w:rPr>
          <w:rStyle w:val="FootnoteReference"/>
        </w:rPr>
        <w:footnoteReference w:id="2016"/>
      </w:r>
      <w:r>
        <w:t xml:space="preserve">. Le contexte est l’effet coupe-faim passant par le MC4R. Aucun résultat publié et évalué par les pairs n’était disponible dans PubMed à la date de clôture de la rédaction.</w:t>
      </w:r>
    </w:p>
    <w:p>
      <w:pPr>
        <w:numPr>
          <w:ilvl w:val="0"/>
          <w:numId w:val="1256"/>
        </w:numPr>
        <w:pStyle w:val="Compact"/>
      </w:pPr>
      <w:r>
        <w:t xml:space="preserve">Une petite étude ouverte de phase 2 chez 16 personnes atteintes de néphropathie diabétique est terminée</w:t>
      </w:r>
      <w:r>
        <w:rPr>
          <w:rStyle w:val="FootnoteReference"/>
        </w:rPr>
        <w:footnoteReference w:id="2017"/>
      </w:r>
      <w:r>
        <w:t xml:space="preserve">, elle aussi sans résultat publié dans PubMed.</w:t>
      </w:r>
    </w:p>
    <w:p>
      <w:pPr>
        <w:numPr>
          <w:ilvl w:val="0"/>
          <w:numId w:val="1256"/>
        </w:numPr>
        <w:pStyle w:val="Compact"/>
      </w:pPr>
      <w:r>
        <w:t xml:space="preserve">L’étude sur l’allaitement</w:t>
      </w:r>
      <w:r>
        <w:rPr>
          <w:rStyle w:val="FootnoteReference"/>
        </w:rPr>
        <w:footnoteReference w:id="2018"/>
      </w:r>
      <w:r>
        <w:t xml:space="preserve">, portant sur 10 femmes, s’est achevée en 2025.</w:t>
      </w:r>
    </w:p>
    <w:p>
      <w:pPr>
        <w:pStyle w:val="FirstParagraph"/>
      </w:pPr>
      <w:r>
        <w:rPr>
          <w:bCs/>
          <w:b/>
        </w:rPr>
        <w:t xml:space="preserve">Appréciation de l’auteur :</w:t>
      </w:r>
      <w:r>
        <w:t xml:space="preserve"> </w:t>
      </w:r>
      <w:r>
        <w:t xml:space="preserve">en l’état actuel, l’intérêt économique manque pour une autorisation en Europe ; aucune demande n’est connue. Le rôle du MC4R dans la recherche sur l’obésité est plus intéressant : avec le setmélanotide (chapitre dans la partie II · A), un agoniste du MC4R y est déjà autorisé pour des formes génétiques rares. Que le brémélanotide y trouve une niche dépendra des résultats d’études encore attendus.</w:t>
      </w:r>
    </w:p>
    <w:bookmarkEnd w:id="2019"/>
    <w:bookmarkStart w:id="2020" w:name="conclusion-46"/>
    <w:p>
      <w:pPr>
        <w:pStyle w:val="Heading3"/>
      </w:pPr>
      <w:r>
        <w:t xml:space="preserve">Conclusion</w:t>
      </w:r>
    </w:p>
    <w:p>
      <w:pPr>
        <w:pStyle w:val="FirstParagraph"/>
      </w:pPr>
      <w:r>
        <w:t xml:space="preserve">Le brémélanotide est le seul médicament autorisé qui cible le désir sexuel par le système des mélanocortines dans le cerveau – mais uniquement aux États-Unis et seulement pour un groupe de femmes étroitement défini. Dans deux grandes études de phase 3, le désir et la souffrance se sont améliorés de façon statistiquement nette, mais dans une faible mesure et avec un effet placebo élevé. Les nausées touchent près de la moitié des utilisatrices et entraînent souvent l’arrêt ; les hausses brèves de la pression artérielle imposent la prudence en cas de risque cardiovasculaire. Les produits du marché gris vendus sous le nom de « PT-141 » ne sont pas contrôlés, et il n’existe aucune preuve suffisante pour une autorisation chez les hommes ou chez les personnes sans diagnostic.</w:t>
      </w:r>
    </w:p>
    <w:bookmarkEnd w:id="2020"/>
    <w:bookmarkEnd w:id="2021"/>
    <w:bookmarkStart w:id="2076" w:name="melanotan-ii"/>
    <w:p>
      <w:pPr>
        <w:pStyle w:val="Heading2"/>
      </w:pPr>
      <w:r>
        <w:t xml:space="preserve">Melanotan II</w:t>
      </w:r>
    </w:p>
    <w:bookmarkStart w:id="2024" w:name="fiche-signalétique-47"/>
    <w:p>
      <w:pPr>
        <w:pStyle w:val="Heading3"/>
      </w:pPr>
      <w:r>
        <w:t xml:space="preserve">Fiche signalétique</w:t>
      </w:r>
    </w:p>
    <w:p>
      <w:pPr>
        <w:numPr>
          <w:ilvl w:val="0"/>
          <w:numId w:val="1257"/>
        </w:numPr>
        <w:pStyle w:val="Compact"/>
      </w:pPr>
      <w:r>
        <w:rPr>
          <w:bCs/>
          <w:b/>
        </w:rPr>
        <w:t xml:space="preserve">Type/structure :</w:t>
      </w:r>
      <w:r>
        <w:t xml:space="preserve"> </w:t>
      </w:r>
      <w:r>
        <w:t xml:space="preserve">peptide cyclique de sept acides aminés, dérivé raccourci et chimiquement stabilisé de l’hormone endogène alpha-MSH. La structure en anneau protège contre une dégradation rapide et rend la molécule nettement plus puissante que son modèle naturel</w:t>
      </w:r>
      <w:r>
        <w:rPr>
          <w:rStyle w:val="FootnoteReference"/>
        </w:rPr>
        <w:footnoteReference w:id="2022"/>
      </w:r>
      <w:r>
        <w:t xml:space="preserve">.</w:t>
      </w:r>
    </w:p>
    <w:p>
      <w:pPr>
        <w:numPr>
          <w:ilvl w:val="0"/>
          <w:numId w:val="1257"/>
        </w:numPr>
        <w:pStyle w:val="Compact"/>
      </w:pPr>
      <w:r>
        <w:rPr>
          <w:bCs/>
          <w:b/>
        </w:rPr>
        <w:t xml:space="preserve">Origine :</w:t>
      </w:r>
      <w:r>
        <w:t xml:space="preserve"> </w:t>
      </w:r>
      <w:r>
        <w:t xml:space="preserve">mis au point à la fin des années 1980 et au début des années 1990 à l’université de l’Arizona à Tucson, initialement dans le but d’obtenir un bronzage sans soleil et de prévenir ainsi le cancer de la peau</w:t>
      </w:r>
      <w:r>
        <w:rPr>
          <w:rStyle w:val="FootnoteReference"/>
        </w:rPr>
        <w:footnoteReference w:id="2023"/>
      </w:r>
      <w:r>
        <w:t xml:space="preserve">.</w:t>
      </w:r>
    </w:p>
    <w:p>
      <w:pPr>
        <w:numPr>
          <w:ilvl w:val="0"/>
          <w:numId w:val="1257"/>
        </w:numPr>
        <w:pStyle w:val="Compact"/>
      </w:pPr>
      <w:r>
        <w:rPr>
          <w:bCs/>
          <w:b/>
        </w:rPr>
        <w:t xml:space="preserve">Principe d’action :</w:t>
      </w:r>
      <w:r>
        <w:t xml:space="preserve"> </w:t>
      </w:r>
      <w:r>
        <w:t xml:space="preserve">agoniste non sélectif des récepteurs des mélanocortines : MC1R (pigmentation de la peau), MC3R et MC4R (appétit, fonction sexuelle) et d’autres.</w:t>
      </w:r>
    </w:p>
    <w:p>
      <w:pPr>
        <w:numPr>
          <w:ilvl w:val="0"/>
          <w:numId w:val="1257"/>
        </w:numPr>
        <w:pStyle w:val="Compact"/>
      </w:pPr>
      <w:r>
        <w:rPr>
          <w:bCs/>
          <w:b/>
        </w:rPr>
        <w:t xml:space="preserve">Autorisation UE :</w:t>
      </w:r>
      <w:r>
        <w:t xml:space="preserve"> </w:t>
      </w:r>
      <w:r>
        <w:t xml:space="preserve">non.</w:t>
      </w:r>
    </w:p>
    <w:p>
      <w:pPr>
        <w:numPr>
          <w:ilvl w:val="0"/>
          <w:numId w:val="1257"/>
        </w:numPr>
        <w:pStyle w:val="Compact"/>
      </w:pPr>
      <w:r>
        <w:rPr>
          <w:bCs/>
          <w:b/>
        </w:rPr>
        <w:t xml:space="preserve">Autorisation États-Unis :</w:t>
      </w:r>
      <w:r>
        <w:t xml:space="preserve"> </w:t>
      </w:r>
      <w:r>
        <w:t xml:space="preserve">non.</w:t>
      </w:r>
    </w:p>
    <w:p>
      <w:pPr>
        <w:numPr>
          <w:ilvl w:val="0"/>
          <w:numId w:val="1257"/>
        </w:numPr>
        <w:pStyle w:val="Compact"/>
      </w:pPr>
      <w:r>
        <w:rPr>
          <w:bCs/>
          <w:b/>
        </w:rPr>
        <w:t xml:space="preserve">AMA (WADA) :</w:t>
      </w:r>
      <w:r>
        <w:t xml:space="preserve"> </w:t>
      </w:r>
      <w:r>
        <w:t xml:space="preserve">pas mentionné nommément ; en tant que principe actif autorisé nulle part, il relève du groupe S0 (substances non approuvées) et est donc interdit en permanence.</w:t>
      </w:r>
    </w:p>
    <w:p>
      <w:pPr>
        <w:numPr>
          <w:ilvl w:val="0"/>
          <w:numId w:val="1257"/>
        </w:numPr>
        <w:pStyle w:val="Compact"/>
      </w:pPr>
      <w:r>
        <w:rPr>
          <w:bCs/>
          <w:b/>
        </w:rPr>
        <w:t xml:space="preserve">Niveau de preuve :</w:t>
      </w:r>
      <w:r>
        <w:t xml:space="preserve"> </w:t>
      </w:r>
      <w:r>
        <w:rPr>
          <w:bCs/>
          <w:b/>
        </w:rPr>
        <w:t xml:space="preserve">C</w:t>
      </w:r>
      <w:r>
        <w:t xml:space="preserve"> </w:t>
      </w:r>
      <w:r>
        <w:t xml:space="preserve">– uniquement de très petites études pilotes des années 1990 réunissant au total environ deux douzaines de participants, complétées par de nombreux cas rapportés d’effets indésirables lors d’une auto-administration non contrôlée.</w:t>
      </w:r>
    </w:p>
    <w:bookmarkEnd w:id="2024"/>
    <w:bookmarkStart w:id="2026" w:name="mode-daction-supposé-47"/>
    <w:p>
      <w:pPr>
        <w:pStyle w:val="Heading3"/>
      </w:pPr>
      <w:r>
        <w:t xml:space="preserve">Mode d’action supposé</w:t>
      </w:r>
    </w:p>
    <w:p>
      <w:pPr>
        <w:pStyle w:val="FirstParagraph"/>
      </w:pPr>
      <w:r>
        <w:t xml:space="preserve">La peau bronze lorsque les cellules pigmentaires (mélanocytes) produisent davantage de mélanine. Le signal est donné notamment par l’hormone alpha-MSH, qui se fixe sur le récepteur MC1R des cellules pigmentaires. Après un bain de soleil, la production d’alpha-MSH augmente dans la peau, et les cellules pigmentaires basculent vers l’eumélanine, foncée et protectrice.</w:t>
      </w:r>
    </w:p>
    <w:p>
      <w:pPr>
        <w:pStyle w:val="BodyText"/>
      </w:pPr>
      <w:r>
        <w:t xml:space="preserve">Le Melanotan II imite ce signal – sans que les rayons UV aient à endommager la peau au préalable. C’était l’idée de départ : un « bronzage en seringue » qui protège des coups de soleil. Le problème : le Melanotan II ne se fixe pas seulement sur le MC1R, mais aussi sur les récepteurs MC3R et MC4R du cerveau. Ceux-ci pilotent l’appétit, la dépense énergétique et l’excitation sexuelle. D’où les effets d’accompagnement typiques : nausées, bâillements et étirements, baisse de l’appétit et érections spontanées.</w:t>
      </w:r>
    </w:p>
    <w:p>
      <w:pPr>
        <w:pStyle w:val="BodyText"/>
      </w:pPr>
      <w:r>
        <w:t xml:space="preserve">L’étude de cet « effet indésirable » a donné naissance à deux autres principes actifs qui, contrairement au Melanotan II, ont fait l’objet d’un développement clinique :</w:t>
      </w:r>
    </w:p>
    <w:p>
      <w:pPr>
        <w:numPr>
          <w:ilvl w:val="0"/>
          <w:numId w:val="1258"/>
        </w:numPr>
        <w:pStyle w:val="Compact"/>
      </w:pPr>
      <w:r>
        <w:t xml:space="preserve">L’</w:t>
      </w:r>
      <w:r>
        <w:rPr>
          <w:bCs/>
          <w:b/>
        </w:rPr>
        <w:t xml:space="preserve">afamélanotide</w:t>
      </w:r>
      <w:r>
        <w:t xml:space="preserve">, autrefois appelé Melanotan I, est une molécule linéaire plus longue qui agit de préférence sur la peau et est autorisée sous forme d’implant pour une maladie rare liée à la lumière (chapitre 2E03).</w:t>
      </w:r>
    </w:p>
    <w:p>
      <w:pPr>
        <w:numPr>
          <w:ilvl w:val="0"/>
          <w:numId w:val="1258"/>
        </w:numPr>
        <w:pStyle w:val="Compact"/>
      </w:pPr>
      <w:r>
        <w:t xml:space="preserve">Le</w:t>
      </w:r>
      <w:r>
        <w:t xml:space="preserve"> </w:t>
      </w:r>
      <w:r>
        <w:rPr>
          <w:bCs/>
          <w:b/>
        </w:rPr>
        <w:t xml:space="preserve">brémélanotide</w:t>
      </w:r>
      <w:r>
        <w:t xml:space="preserve"> </w:t>
      </w:r>
      <w:r>
        <w:t xml:space="preserve">(PT-141) est une forme légèrement modifiée du Melanotan II, autorisée aux États-Unis pour le traitement de la baisse du désir sexuel chez la femme (chapitre 2E01).</w:t>
      </w:r>
    </w:p>
    <w:p>
      <w:pPr>
        <w:pStyle w:val="FirstParagraph"/>
      </w:pPr>
      <w:r>
        <w:t xml:space="preserve">Sur Internet, ces noms sont souvent confondus. « Melanotan » sans autre précision peut désigner, selon le vendeur, l’un ou l’autre – ou tout autre chose</w:t>
      </w:r>
      <w:r>
        <w:rPr>
          <w:rStyle w:val="FootnoteReference"/>
        </w:rPr>
        <w:footnoteReference w:id="2025"/>
      </w:r>
      <w:r>
        <w:t xml:space="preserve">.</w:t>
      </w:r>
    </w:p>
    <w:bookmarkEnd w:id="2026"/>
    <w:bookmarkStart w:id="2040" w:name="études-chez-lhumain-47"/>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8</w:t>
      </w:r>
      <w:r>
        <w:t xml:space="preserve"> </w:t>
      </w:r>
      <w:r>
        <w:t xml:space="preserve">études chez l’humain dans PubMed (</w:t>
      </w:r>
      <w:r>
        <w:rPr>
          <w:rStyle w:val="VerbatimChar"/>
        </w:rPr>
        <w:t xml:space="preserve">humanstudien_alle</w:t>
      </w:r>
      <w:r>
        <w:t xml:space="preserve">) et une seule entrée sur ClinicalTrials.gov, qui s’est révélée peu fiable à l’examen (voir Perspectives) – il n’existe donc</w:t>
      </w:r>
      <w:r>
        <w:t xml:space="preserve"> </w:t>
      </w:r>
      <w:r>
        <w:rPr>
          <w:bCs/>
          <w:b/>
        </w:rPr>
        <w:t xml:space="preserve">0</w:t>
      </w:r>
      <w:r>
        <w:t xml:space="preserve"> </w:t>
      </w:r>
      <w:r>
        <w:t xml:space="preserve">étude enregistrée solide. Le chiffre de PubMed est lui aussi trompeur : quatre des huit études portaient sur le Melanotan I, c’est-à-dire le futur afamélanotide, et non sur le Melanotan II. Sur le Melanotan II lui-même, il n’existe que trois petites études originales et une synthèse du même groupe de recherche. La littérature sur les effets indésirables est bien plus abondante : cas rapportés, séries de cas, analyses de forums Internet et analyses en laboratoire de produits du marché gris.</w:t>
      </w:r>
    </w:p>
    <w:bookmarkStart w:id="2030" w:name="les-études-cliniques-des-années-1990"/>
    <w:p>
      <w:pPr>
        <w:pStyle w:val="Heading4"/>
      </w:pPr>
      <w:r>
        <w:t xml:space="preserve">Les études cliniques des années 1990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Dorr 1996, PMID 8637402</w:t>
            </w:r>
          </w:p>
        </w:tc>
        <w:tc>
          <w:tcPr/>
          <w:p>
            <w:pPr>
              <w:pStyle w:val="Compact"/>
              <w:jc w:val="left"/>
            </w:pPr>
            <w:r>
              <w:t xml:space="preserve">3 hommes en bonne santé, simple aveugle, alternance principe actif et sérum physiologique</w:t>
            </w:r>
          </w:p>
        </w:tc>
        <w:tc>
          <w:tcPr/>
          <w:p>
            <w:pPr>
              <w:pStyle w:val="Compact"/>
              <w:jc w:val="left"/>
            </w:pPr>
            <w:r>
              <w:t xml:space="preserve">2 semaines</w:t>
            </w:r>
          </w:p>
        </w:tc>
        <w:tc>
          <w:tcPr/>
          <w:p>
            <w:pPr>
              <w:pStyle w:val="Compact"/>
              <w:jc w:val="left"/>
            </w:pPr>
            <w:r>
              <w:t xml:space="preserve">Bronzage du visage, du haut du corps et des fesses chez 2 sur 3 ; érections spontanées ; nausées, fatigue</w:t>
            </w:r>
          </w:p>
        </w:tc>
      </w:tr>
      <w:tr>
        <w:tc>
          <w:tcPr/>
          <w:p>
            <w:pPr>
              <w:pStyle w:val="Compact"/>
              <w:jc w:val="left"/>
            </w:pPr>
            <w:r>
              <w:t xml:space="preserve">Wessells 1998, PMID 9679884</w:t>
            </w:r>
          </w:p>
        </w:tc>
        <w:tc>
          <w:tcPr/>
          <w:p>
            <w:pPr>
              <w:pStyle w:val="Compact"/>
              <w:jc w:val="left"/>
            </w:pPr>
            <w:r>
              <w:t xml:space="preserve">10 hommes atteints de dysfonction érectile d’origine psychogène, étude croisée en double aveugle contre placebo</w:t>
            </w:r>
          </w:p>
        </w:tc>
        <w:tc>
          <w:tcPr/>
          <w:p>
            <w:pPr>
              <w:pStyle w:val="Compact"/>
              <w:jc w:val="left"/>
            </w:pPr>
            <w:r>
              <w:t xml:space="preserve">Doses uniques</w:t>
            </w:r>
          </w:p>
        </w:tc>
        <w:tc>
          <w:tcPr/>
          <w:p>
            <w:pPr>
              <w:pStyle w:val="Compact"/>
              <w:jc w:val="left"/>
            </w:pPr>
            <w:r>
              <w:t xml:space="preserve">Érections chez 8 sur 10 ; durée de rigidité élevée 38,0 contre 3,0 minutes</w:t>
            </w:r>
          </w:p>
        </w:tc>
      </w:tr>
      <w:tr>
        <w:tc>
          <w:tcPr/>
          <w:p>
            <w:pPr>
              <w:pStyle w:val="Compact"/>
              <w:jc w:val="left"/>
            </w:pPr>
            <w:r>
              <w:t xml:space="preserve">Wessells 2000, PMID 11018622</w:t>
            </w:r>
          </w:p>
        </w:tc>
        <w:tc>
          <w:tcPr/>
          <w:p>
            <w:pPr>
              <w:pStyle w:val="Compact"/>
              <w:jc w:val="left"/>
            </w:pPr>
            <w:r>
              <w:t xml:space="preserve">10 hommes atteints de dysfonction érectile d’origine organique, étude croisée en double aveugle</w:t>
            </w:r>
          </w:p>
        </w:tc>
        <w:tc>
          <w:tcPr/>
          <w:p>
            <w:pPr>
              <w:pStyle w:val="Compact"/>
              <w:jc w:val="left"/>
            </w:pPr>
            <w:r>
              <w:t xml:space="preserve">Doses uniques</w:t>
            </w:r>
          </w:p>
        </w:tc>
        <w:tc>
          <w:tcPr/>
          <w:p>
            <w:pPr>
              <w:pStyle w:val="Compact"/>
              <w:jc w:val="left"/>
            </w:pPr>
            <w:r>
              <w:t xml:space="preserve">Érections après 12 injections sur 19 contre 1 administration de placebo sur 21 ; 4 injections sur 19 avec fortes nausées</w:t>
            </w:r>
          </w:p>
        </w:tc>
      </w:tr>
      <w:tr>
        <w:tc>
          <w:tcPr/>
          <w:p>
            <w:pPr>
              <w:pStyle w:val="Compact"/>
              <w:jc w:val="left"/>
            </w:pPr>
            <w:r>
              <w:t xml:space="preserve">Wessells 2000 (synthèse), PMID 11035391</w:t>
            </w:r>
          </w:p>
        </w:tc>
        <w:tc>
          <w:tcPr/>
          <w:p>
            <w:pPr>
              <w:pStyle w:val="Compact"/>
              <w:jc w:val="left"/>
            </w:pPr>
            <w:r>
              <w:t xml:space="preserve">les deux études réunies, 20 hommes</w:t>
            </w:r>
          </w:p>
        </w:tc>
        <w:tc>
          <w:tcPr/>
          <w:p>
            <w:pPr>
              <w:pStyle w:val="Compact"/>
              <w:jc w:val="left"/>
            </w:pPr>
            <w:r>
              <w:t xml:space="preserve">Doses uniques</w:t>
            </w:r>
          </w:p>
        </w:tc>
        <w:tc>
          <w:tcPr/>
          <w:p>
            <w:pPr>
              <w:pStyle w:val="Compact"/>
              <w:jc w:val="left"/>
            </w:pPr>
            <w:r>
              <w:t xml:space="preserve">Érections sans stimulation sexuelle chez 17 sur 20 ; désir accru après 68 % contre 19 % des administrations</w:t>
            </w:r>
          </w:p>
        </w:tc>
      </w:tr>
    </w:tbl>
    <w:p>
      <w:pPr>
        <w:pStyle w:val="BodyText"/>
      </w:pPr>
      <w:r>
        <w:t xml:space="preserve">La première étude chez l’humain</w:t>
      </w:r>
      <w:r>
        <w:rPr>
          <w:rStyle w:val="FootnoteReference"/>
        </w:rPr>
        <w:footnoteReference w:id="2027"/>
      </w:r>
      <w:r>
        <w:t xml:space="preserve"> </w:t>
      </w:r>
      <w:r>
        <w:t xml:space="preserve">était une étude pilote portant sur seulement trois hommes. Tous les effets que décriront plus tard les utilisateurs sur Internet y apparaissaient déjà : deux des trois hommes ont visiblement bronzé, de légères nausées sont survenues à la plupart des paliers de dose, l’un d’eux a ressenti une fatigue plus marquée. Un « complexe d’étirements et de bâillements » s’accompagnait d’érections spontanées qui revenaient à répétition pendant une à cinq heures selon la dose.</w:t>
      </w:r>
    </w:p>
    <w:p>
      <w:pPr>
        <w:pStyle w:val="BodyText"/>
      </w:pPr>
      <w:r>
        <w:t xml:space="preserve">Le groupe de travail de l’urologue Hunter Wessells a ensuite étudié l’effet érectile. Dans deux petites études croisées (chaque participant recevait dans un ordre aléatoire le principe actif et le placebo), le Melanotan II a déclenché des érections chez la majorité des hommes atteints de dysfonction érectile, même sans stimulation sexuelle</w:t>
      </w:r>
      <w:r>
        <w:rPr>
          <w:rStyle w:val="FootnoteReference"/>
        </w:rPr>
        <w:footnoteReference w:id="2028"/>
      </w:r>
      <w:r>
        <w:t xml:space="preserve">. Dans la synthèse des deux études, les hommes ont rapporté un désir accru après 68 % des administrations de Melanotan, contre 19 % après placebo. De fortes nausées sont survenues dans 12,9 % des cas</w:t>
      </w:r>
      <w:r>
        <w:rPr>
          <w:rStyle w:val="FootnoteReference"/>
        </w:rPr>
        <w:footnoteReference w:id="2029"/>
      </w:r>
      <w:r>
        <w:t xml:space="preserve">.</w:t>
      </w:r>
    </w:p>
    <w:p>
      <w:pPr>
        <w:pStyle w:val="BodyText"/>
      </w:pPr>
      <w:r>
        <w:t xml:space="preserve">La recherche clinique sur le Melanotan II s’est arrêtée là. Le développement s’est orienté vers le brémélanotide, évalué sous forme de spray nasal puis d’injection. Pour le bronzage chez les personnes en bonne santé, il n’existe pas une seule étude contrôlée avec le Melanotan II.</w:t>
      </w:r>
    </w:p>
    <w:bookmarkEnd w:id="2030"/>
    <w:bookmarkStart w:id="2033" w:name="les-études-sur-le-melanotan-i"/>
    <w:p>
      <w:pPr>
        <w:pStyle w:val="Heading4"/>
      </w:pPr>
      <w:r>
        <w:t xml:space="preserve">Les études sur le Melanotan I</w:t>
      </w:r>
    </w:p>
    <w:p>
      <w:pPr>
        <w:pStyle w:val="FirstParagraph"/>
      </w:pPr>
      <w:r>
        <w:t xml:space="preserve">Pour situer les choses : les autres études issues de la requête dans la base de données concernent le Melanotan I. Dans ces études, des volontaires ont produit davantage d’eumélanine après les injections, presque deux fois plus qu’auparavant dans la peau de l’avant-bras</w:t>
      </w:r>
      <w:r>
        <w:rPr>
          <w:rStyle w:val="FootnoteReference"/>
        </w:rPr>
        <w:footnoteReference w:id="2031"/>
      </w:r>
      <w:r>
        <w:t xml:space="preserve">. Combiné à la lumière du soleil, le bronzage était renforcé et prolongé</w:t>
      </w:r>
      <w:r>
        <w:rPr>
          <w:rStyle w:val="FootnoteReference"/>
        </w:rPr>
        <w:footnoteReference w:id="2032"/>
      </w:r>
      <w:r>
        <w:t xml:space="preserve">. Ces résultats appartiennent à l’histoire de l’afamélanotide et ne peuvent pas être transposés au Melanotan II, qui agit davantage sur le cerveau.</w:t>
      </w:r>
    </w:p>
    <w:bookmarkEnd w:id="2033"/>
    <w:bookmarkStart w:id="2039" w:name="qui-utilise-le-melanotan-ii"/>
    <w:p>
      <w:pPr>
        <w:pStyle w:val="Heading4"/>
      </w:pPr>
      <w:r>
        <w:t xml:space="preserve">Qui utilise le Melanotan II</w:t>
      </w:r>
    </w:p>
    <w:p>
      <w:pPr>
        <w:pStyle w:val="FirstParagraph"/>
      </w:pPr>
      <w:r>
        <w:t xml:space="preserve">Le Melanotan II n’ayant jamais été autorisé, presque tout ce que l’on sait de son usage actuel provient d’observations faites en dehors d’études. Dès 2009, des spécialistes britanniques ont décrit dans le British Medical Journal la diffusion du Melanotan I et II dans la population générale</w:t>
      </w:r>
      <w:r>
        <w:rPr>
          <w:rStyle w:val="FootnoteReference"/>
        </w:rPr>
        <w:footnoteReference w:id="2034"/>
      </w:r>
      <w:r>
        <w:t xml:space="preserve">. Une revue systématique a classé le Melanotan parmi les produits fréquemment injectés pour l’optimisation du corps et des performances, aux côtés des stéroïdes anabolisants et de l’hormone de croissance</w:t>
      </w:r>
      <w:r>
        <w:rPr>
          <w:rStyle w:val="FootnoteReference"/>
        </w:rPr>
        <w:footnoteReference w:id="2035"/>
      </w:r>
      <w:r>
        <w:t xml:space="preserve">.</w:t>
      </w:r>
    </w:p>
    <w:p>
      <w:pPr>
        <w:pStyle w:val="BodyText"/>
      </w:pPr>
      <w:r>
        <w:t xml:space="preserve">Une analyse de forums Internet britanniques et irlandais des années 2016 et 2017 a examiné 623 messages de 205 personnes</w:t>
      </w:r>
      <w:r>
        <w:rPr>
          <w:rStyle w:val="FootnoteReference"/>
        </w:rPr>
        <w:footnoteReference w:id="2036"/>
      </w:r>
      <w:r>
        <w:t xml:space="preserve">. Comme motivations, les utilisatrices et utilisateurs citaient surtout un teint hâlé avant les vacances et avant les compétitions de culturisme. Les forums révélaient des informations erronées, des schémas de dosage élaborés par les utilisateurs eux-mêmes, la combinaison avec des cabines de bronzage et d’autres pratiques à risque. Une enquête en ligne auprès d’utilisateurs décrit à quel point la substance était facile à obtenir</w:t>
      </w:r>
      <w:r>
        <w:rPr>
          <w:rStyle w:val="FootnoteReference"/>
        </w:rPr>
        <w:footnoteReference w:id="2037"/>
      </w:r>
      <w:r>
        <w:t xml:space="preserve">.</w:t>
      </w:r>
    </w:p>
    <w:p>
      <w:pPr>
        <w:pStyle w:val="BodyText"/>
      </w:pPr>
      <w:r>
        <w:t xml:space="preserve">Ces dernières années, la publicité s’est de plus en plus déplacée vers les réseaux sociaux comme TikTok, où le Melanotan est promu comme « Barbie Drug ». Plusieurs revues de dermatologie ont analysé ces contenus et mettent en garde contre leur banalisation</w:t>
      </w:r>
      <w:r>
        <w:rPr>
          <w:rStyle w:val="FootnoteReference"/>
        </w:rPr>
        <w:footnoteReference w:id="2038"/>
      </w:r>
      <w:r>
        <w:t xml:space="preserve">.</w:t>
      </w:r>
    </w:p>
    <w:bookmarkEnd w:id="2039"/>
    <w:bookmarkEnd w:id="2040"/>
    <w:bookmarkStart w:id="2044" w:name="études-animales-et-de-laboratoire-47"/>
    <w:p>
      <w:pPr>
        <w:pStyle w:val="Heading3"/>
      </w:pPr>
      <w:r>
        <w:t xml:space="preserve">Études animales et de laboratoire</w:t>
      </w:r>
    </w:p>
    <w:p>
      <w:pPr>
        <w:pStyle w:val="FirstParagraph"/>
      </w:pPr>
      <w:r>
        <w:t xml:space="preserve">En recherche fondamentale, le Melanotan II est un outil standard pour activer les récepteurs des mélanocortines. Les expérimentations animales sont donc nombreuses, mais elles répondent le plus souvent à des questions de neurosciences et ne concernent pas la sécurité chez l’humain :</w:t>
      </w:r>
    </w:p>
    <w:p>
      <w:pPr>
        <w:numPr>
          <w:ilvl w:val="0"/>
          <w:numId w:val="1259"/>
        </w:numPr>
        <w:pStyle w:val="Compact"/>
      </w:pPr>
      <w:r>
        <w:rPr>
          <w:bCs/>
          <w:b/>
        </w:rPr>
        <w:t xml:space="preserve">Poids et graisse :</w:t>
      </w:r>
      <w:r>
        <w:t xml:space="preserve"> </w:t>
      </w:r>
      <w:r>
        <w:t xml:space="preserve">chez des souris et des rats en surpoids soumis à un régime riche en graisses, le Melanotan II a réduit le poids et la masse grasse, principalement par une diminution de la prise alimentaire</w:t>
      </w:r>
      <w:r>
        <w:rPr>
          <w:rStyle w:val="FootnoteReference"/>
        </w:rPr>
        <w:footnoteReference w:id="2041"/>
      </w:r>
      <w:r>
        <w:t xml:space="preserve">.</w:t>
      </w:r>
    </w:p>
    <w:p>
      <w:pPr>
        <w:numPr>
          <w:ilvl w:val="0"/>
          <w:numId w:val="1259"/>
        </w:numPr>
        <w:pStyle w:val="Compact"/>
      </w:pPr>
      <w:r>
        <w:rPr>
          <w:bCs/>
          <w:b/>
        </w:rPr>
        <w:t xml:space="preserve">Température corporelle :</w:t>
      </w:r>
      <w:r>
        <w:t xml:space="preserve"> </w:t>
      </w:r>
      <w:r>
        <w:t xml:space="preserve">chez la souris, il a provoqué une forte hypothermie transitoire, médiée par les mastocytes et l’histamine</w:t>
      </w:r>
      <w:r>
        <w:rPr>
          <w:rStyle w:val="FootnoteReference"/>
        </w:rPr>
        <w:footnoteReference w:id="2042"/>
      </w:r>
      <w:r>
        <w:t xml:space="preserve">.</w:t>
      </w:r>
    </w:p>
    <w:p>
      <w:pPr>
        <w:numPr>
          <w:ilvl w:val="0"/>
          <w:numId w:val="1259"/>
        </w:numPr>
        <w:pStyle w:val="Compact"/>
      </w:pPr>
      <w:r>
        <w:rPr>
          <w:bCs/>
          <w:b/>
        </w:rPr>
        <w:t xml:space="preserve">Comportement social :</w:t>
      </w:r>
      <w:r>
        <w:t xml:space="preserve"> </w:t>
      </w:r>
      <w:r>
        <w:t xml:space="preserve">dans un modèle murin d’autisme, une administration d’une semaine a amélioré des mesures du comportement social</w:t>
      </w:r>
      <w:r>
        <w:rPr>
          <w:rStyle w:val="FootnoteReference"/>
        </w:rPr>
        <w:footnoteReference w:id="2043"/>
      </w:r>
      <w:r>
        <w:t xml:space="preserve">. La voie supposée passe par une activation du système de l’ocytocine (chapitre 2E05).</w:t>
      </w:r>
    </w:p>
    <w:p>
      <w:pPr>
        <w:pStyle w:val="FirstParagraph"/>
      </w:pPr>
      <w:r>
        <w:t xml:space="preserve">Aucun de ces résultats n’a été confirmé chez l’humain.</w:t>
      </w:r>
    </w:p>
    <w:bookmarkEnd w:id="2044"/>
    <w:bookmarkStart w:id="2070" w:name="risques-et-effets-indésirables-47"/>
    <w:p>
      <w:pPr>
        <w:pStyle w:val="Heading3"/>
      </w:pPr>
      <w:r>
        <w:t xml:space="preserve">Risques et effets indésirables</w:t>
      </w:r>
    </w:p>
    <w:p>
      <w:pPr>
        <w:pStyle w:val="FirstParagraph"/>
      </w:pPr>
      <w:r>
        <w:t xml:space="preserve">Les risques du Melanotan II peuvent être classés en trois groupes : les effets attendus via les récepteurs des mélanocortines, les modifications cutanées avec la question non résolue du cancer de la peau, et les cas isolés graves.</w:t>
      </w:r>
    </w:p>
    <w:bookmarkStart w:id="2049" w:name="effets-attendus"/>
    <w:p>
      <w:pPr>
        <w:pStyle w:val="Heading4"/>
      </w:pPr>
      <w:r>
        <w:t xml:space="preserve">Effets attendus</w:t>
      </w:r>
    </w:p>
    <w:p>
      <w:pPr>
        <w:pStyle w:val="FirstParagraph"/>
      </w:pPr>
      <w:r>
        <w:t xml:space="preserve">Nausées, rougeur du visage, bâillements et étirements, perte d’appétit, fatigue et érections spontanées sont déjà apparus dans les études</w:t>
      </w:r>
      <w:r>
        <w:rPr>
          <w:rStyle w:val="FootnoteReference"/>
        </w:rPr>
        <w:footnoteReference w:id="2045"/>
      </w:r>
      <w:r>
        <w:t xml:space="preserve">. La pigmentation ne concerne pas seulement la peau : des cas rapportés décrivent des bandes sombres transversales dans les ongles des doigts</w:t>
      </w:r>
      <w:r>
        <w:rPr>
          <w:rStyle w:val="FootnoteReference"/>
        </w:rPr>
        <w:footnoteReference w:id="2046"/>
      </w:r>
      <w:r>
        <w:t xml:space="preserve"> </w:t>
      </w:r>
      <w:r>
        <w:t xml:space="preserve">et des modifications pigmentaires de la muqueuse buccale</w:t>
      </w:r>
      <w:r>
        <w:rPr>
          <w:rStyle w:val="FootnoteReference"/>
        </w:rPr>
        <w:footnoteReference w:id="2047"/>
      </w:r>
      <w:r>
        <w:t xml:space="preserve">. Paradoxalement, des taches claires, dépigmentées, ont aussi été décrites</w:t>
      </w:r>
      <w:r>
        <w:rPr>
          <w:rStyle w:val="FootnoteReference"/>
        </w:rPr>
        <w:footnoteReference w:id="2048"/>
      </w:r>
      <w:r>
        <w:t xml:space="preserve">.</w:t>
      </w:r>
    </w:p>
    <w:bookmarkEnd w:id="2049"/>
    <w:bookmarkStart w:id="2057" w:name="grains-de-beauté-et-mélanome"/>
    <w:p>
      <w:pPr>
        <w:pStyle w:val="Heading4"/>
      </w:pPr>
      <w:r>
        <w:t xml:space="preserve">Grains de beauté et mélanome</w:t>
      </w:r>
    </w:p>
    <w:p>
      <w:pPr>
        <w:pStyle w:val="FirstParagraph"/>
      </w:pPr>
      <w:r>
        <w:t xml:space="preserve">C’est la préoccupation qui occupe le plus les dermatologues. Le Melanotan II stimule toutes les cellules pigmentaires, y compris celles des grains de beauté existants (nævus). Plusieurs cas rapportés décrivent :</w:t>
      </w:r>
    </w:p>
    <w:p>
      <w:pPr>
        <w:numPr>
          <w:ilvl w:val="0"/>
          <w:numId w:val="1260"/>
        </w:numPr>
        <w:pStyle w:val="Compact"/>
      </w:pPr>
      <w:r>
        <w:rPr>
          <w:bCs/>
          <w:b/>
        </w:rPr>
        <w:t xml:space="preserve">l’apparition de nombreux nouveaux grains de beauté</w:t>
      </w:r>
      <w:r>
        <w:t xml:space="preserve"> </w:t>
      </w:r>
      <w:r>
        <w:t xml:space="preserve">(nævus éruptifs) après des injections de Melanotan</w:t>
      </w:r>
      <w:r>
        <w:rPr>
          <w:rStyle w:val="FootnoteReference"/>
        </w:rPr>
        <w:footnoteReference w:id="2050"/>
      </w:r>
      <w:r>
        <w:t xml:space="preserve">, parfois d’aspect inhabituel, atypique</w:t>
      </w:r>
      <w:r>
        <w:rPr>
          <w:rStyle w:val="FootnoteReference"/>
        </w:rPr>
        <w:footnoteReference w:id="2051"/>
      </w:r>
      <w:r>
        <w:t xml:space="preserve"> </w:t>
      </w:r>
      <w:r>
        <w:t xml:space="preserve">;</w:t>
      </w:r>
    </w:p>
    <w:p>
      <w:pPr>
        <w:numPr>
          <w:ilvl w:val="0"/>
          <w:numId w:val="1260"/>
        </w:numPr>
        <w:pStyle w:val="Compact"/>
      </w:pPr>
      <w:r>
        <w:rPr>
          <w:bCs/>
          <w:b/>
        </w:rPr>
        <w:t xml:space="preserve">des grains de beauté existants qui foncent et se modifient</w:t>
      </w:r>
      <w:r>
        <w:t xml:space="preserve"> </w:t>
      </w:r>
      <w:r>
        <w:t xml:space="preserve">;</w:t>
      </w:r>
    </w:p>
    <w:p>
      <w:pPr>
        <w:numPr>
          <w:ilvl w:val="0"/>
          <w:numId w:val="1260"/>
        </w:numPr>
        <w:pStyle w:val="Compact"/>
      </w:pPr>
      <w:r>
        <w:rPr>
          <w:bCs/>
          <w:b/>
        </w:rPr>
        <w:t xml:space="preserve">des mélanomes</w:t>
      </w:r>
      <w:r>
        <w:t xml:space="preserve">, c’est-à-dire des cancers de la peau pigmentés, pendant ou peu après l’utilisation</w:t>
      </w:r>
      <w:r>
        <w:rPr>
          <w:rStyle w:val="FootnoteReference"/>
        </w:rPr>
        <w:footnoteReference w:id="2052"/>
      </w:r>
      <w:r>
        <w:t xml:space="preserve">. Une femme de 20 ans à la peau claire a développé un mélanome sur la fesse trois mois après une auto-administration de trois à quatre semaines, combinée à des séances de bronzage en cabine</w:t>
      </w:r>
      <w:r>
        <w:rPr>
          <w:rStyle w:val="FootnoteReference"/>
        </w:rPr>
        <w:footnoteReference w:id="2053"/>
      </w:r>
      <w:r>
        <w:t xml:space="preserve">. Un cas publié en 2025 décrit un mélanome de la muqueuse buccale chez une jeune femme de 22 ans qui avait utilisé un spray nasal de Melanotan II</w:t>
      </w:r>
      <w:r>
        <w:rPr>
          <w:rStyle w:val="FootnoteReference"/>
        </w:rPr>
        <w:footnoteReference w:id="2054"/>
      </w:r>
      <w:r>
        <w:t xml:space="preserve">.</w:t>
      </w:r>
    </w:p>
    <w:p>
      <w:pPr>
        <w:pStyle w:val="FirstParagraph"/>
      </w:pPr>
      <w:r>
        <w:t xml:space="preserve">Une revue de tous les cas publiés de grains de beauté apparus brutalement (179 personnes) a relevé parmi les facteurs déclenchants, outre l’immunosuppression et la chimiothérapie, le Melanotan ; 16 % des cas présentaient au moins un nævus dysplasique, c’est-à-dire anormalement modifié</w:t>
      </w:r>
      <w:r>
        <w:rPr>
          <w:rStyle w:val="FootnoteReference"/>
        </w:rPr>
        <w:footnoteReference w:id="2055"/>
      </w:r>
      <w:r>
        <w:t xml:space="preserve">.</w:t>
      </w:r>
    </w:p>
    <w:p>
      <w:pPr>
        <w:pStyle w:val="BodyText"/>
      </w:pPr>
      <w:r>
        <w:rPr>
          <w:bCs/>
          <w:b/>
        </w:rPr>
        <w:t xml:space="preserve">Ce que signifient ces données :</w:t>
      </w:r>
      <w:r>
        <w:t xml:space="preserve"> </w:t>
      </w:r>
      <w:r>
        <w:t xml:space="preserve">les cas rapportés ne prouvent pas de lien de causalité. Beaucoup de personnes concernées utilisaient en même temps des cabines de bronzage ou s’exposaient intensément au soleil, ce qui augmente indépendamment le risque de mélanome. Une revue conclut qu’un lien n’est pas démontré de façon concluante, mais que l’accumulation des cas incite à la prudence</w:t>
      </w:r>
      <w:r>
        <w:rPr>
          <w:rStyle w:val="FootnoteReference"/>
        </w:rPr>
        <w:footnoteReference w:id="2056"/>
      </w:r>
      <w:r>
        <w:t xml:space="preserve">. Le Melanotan II n’ayant jamais été étudié de manière systématique, personne ne peut dire quelle est l’ampleur d’un éventuel risque. À titre de comparaison : pour l’afamélanotide, apparenté et autorisé, une étude par dermoscopie n’a montré que des modifications transitoires des grains de beauté, sans indice de transformation maligne (chapitre 2E03) – mais ces données ne valent pas pour le Melanotan II.</w:t>
      </w:r>
    </w:p>
    <w:bookmarkEnd w:id="2057"/>
    <w:bookmarkStart w:id="2065" w:name="cas-isolés-graves"/>
    <w:p>
      <w:pPr>
        <w:pStyle w:val="Heading4"/>
      </w:pPr>
      <w:r>
        <w:t xml:space="preserve">Cas isolés graves</w:t>
      </w:r>
    </w:p>
    <w:p>
      <w:pPr>
        <w:numPr>
          <w:ilvl w:val="0"/>
          <w:numId w:val="1261"/>
        </w:numPr>
        <w:pStyle w:val="Compact"/>
      </w:pPr>
      <w:r>
        <w:rPr>
          <w:bCs/>
          <w:b/>
        </w:rPr>
        <w:t xml:space="preserve">Priapisme :</w:t>
      </w:r>
      <w:r>
        <w:t xml:space="preserve"> </w:t>
      </w:r>
      <w:r>
        <w:t xml:space="preserve">érection prolongée douloureuse, une urgence urologique. Plusieurs cas rapportés la décrivent après des injections de Melanotan</w:t>
      </w:r>
      <w:r>
        <w:rPr>
          <w:rStyle w:val="FootnoteReference"/>
        </w:rPr>
        <w:footnoteReference w:id="2058"/>
      </w:r>
      <w:r>
        <w:t xml:space="preserve">. Dans un cas, un drainage chirurgical a été nécessaire</w:t>
      </w:r>
      <w:r>
        <w:rPr>
          <w:rStyle w:val="FootnoteReference"/>
        </w:rPr>
        <w:footnoteReference w:id="2059"/>
      </w:r>
      <w:r>
        <w:t xml:space="preserve"> </w:t>
      </w:r>
      <w:r>
        <w:t xml:space="preserve">; dans un autre, la capacité érectile n’était toujours pas rétablie quatre semaines plus tard</w:t>
      </w:r>
      <w:r>
        <w:rPr>
          <w:rStyle w:val="FootnoteReference"/>
        </w:rPr>
        <w:footnoteReference w:id="2060"/>
      </w:r>
      <w:r>
        <w:t xml:space="preserve">.</w:t>
      </w:r>
    </w:p>
    <w:p>
      <w:pPr>
        <w:numPr>
          <w:ilvl w:val="0"/>
          <w:numId w:val="1261"/>
        </w:numPr>
        <w:pStyle w:val="Compact"/>
      </w:pPr>
      <w:r>
        <w:rPr>
          <w:bCs/>
          <w:b/>
        </w:rPr>
        <w:t xml:space="preserve">Destruction musculaire et atteinte rénale :</w:t>
      </w:r>
      <w:r>
        <w:t xml:space="preserve"> </w:t>
      </w:r>
      <w:r>
        <w:t xml:space="preserve">un homme de 39 ans s’est injecté, selon ses propres dires, six fois la quantité de départ recommandée. Il a développé une tachycardie, une agitation et une destruction musculaire sévère (rhabdomyolyse), avec une élévation de l’enzyme musculaire CK à 17 773 UI/l et une atteinte rénale transitoire ; la substance a été confirmée en laboratoire comme étant du Melanotan II</w:t>
      </w:r>
      <w:r>
        <w:rPr>
          <w:rStyle w:val="FootnoteReference"/>
        </w:rPr>
        <w:footnoteReference w:id="2061"/>
      </w:r>
      <w:r>
        <w:t xml:space="preserve">.</w:t>
      </w:r>
    </w:p>
    <w:p>
      <w:pPr>
        <w:numPr>
          <w:ilvl w:val="0"/>
          <w:numId w:val="1261"/>
        </w:numPr>
        <w:pStyle w:val="Compact"/>
      </w:pPr>
      <w:r>
        <w:rPr>
          <w:bCs/>
          <w:b/>
        </w:rPr>
        <w:t xml:space="preserve">Infarctus rénal :</w:t>
      </w:r>
      <w:r>
        <w:t xml:space="preserve"> </w:t>
      </w:r>
      <w:r>
        <w:t xml:space="preserve">un cas rapporté avec revue de la littérature soupçonne le Melanotan II d’être à l’origine d’une occlusion de vaisseaux rénaux</w:t>
      </w:r>
      <w:r>
        <w:rPr>
          <w:rStyle w:val="FootnoteReference"/>
        </w:rPr>
        <w:footnoteReference w:id="2062"/>
      </w:r>
      <w:r>
        <w:t xml:space="preserve">.</w:t>
      </w:r>
    </w:p>
    <w:p>
      <w:pPr>
        <w:numPr>
          <w:ilvl w:val="0"/>
          <w:numId w:val="1261"/>
        </w:numPr>
        <w:pStyle w:val="Compact"/>
      </w:pPr>
      <w:r>
        <w:rPr>
          <w:bCs/>
          <w:b/>
        </w:rPr>
        <w:t xml:space="preserve">Œdème cérébral :</w:t>
      </w:r>
      <w:r>
        <w:t xml:space="preserve"> </w:t>
      </w:r>
      <w:r>
        <w:t xml:space="preserve">un cas rapporté décrit un syndrome d’encéphalopathie postérieure réversible (PRES), un œdème de la région occipitale du cerveau, en lien avec le Melanotan</w:t>
      </w:r>
      <w:r>
        <w:rPr>
          <w:rStyle w:val="FootnoteReference"/>
        </w:rPr>
        <w:footnoteReference w:id="2063"/>
      </w:r>
      <w:r>
        <w:t xml:space="preserve">.</w:t>
      </w:r>
    </w:p>
    <w:p>
      <w:pPr>
        <w:numPr>
          <w:ilvl w:val="0"/>
          <w:numId w:val="1261"/>
        </w:numPr>
        <w:pStyle w:val="Compact"/>
      </w:pPr>
      <w:r>
        <w:rPr>
          <w:bCs/>
          <w:b/>
        </w:rPr>
        <w:t xml:space="preserve">Inflammation cutanée :</w:t>
      </w:r>
      <w:r>
        <w:t xml:space="preserve"> </w:t>
      </w:r>
      <w:r>
        <w:t xml:space="preserve">un pyoderma gangrenosum, une maladie cutanée ulcéreuse grave, a également été décrit</w:t>
      </w:r>
      <w:r>
        <w:rPr>
          <w:rStyle w:val="FootnoteReference"/>
        </w:rPr>
        <w:footnoteReference w:id="2064"/>
      </w:r>
      <w:r>
        <w:t xml:space="preserve">.</w:t>
      </w:r>
    </w:p>
    <w:bookmarkEnd w:id="2065"/>
    <w:bookmarkStart w:id="2069" w:name="risques-liés-au-marché-gris"/>
    <w:p>
      <w:pPr>
        <w:pStyle w:val="Heading4"/>
      </w:pPr>
      <w:r>
        <w:t xml:space="preserve">Risques liés au marché gris</w:t>
      </w:r>
    </w:p>
    <w:p>
      <w:pPr>
        <w:pStyle w:val="FirstParagraph"/>
      </w:pPr>
      <w:r>
        <w:t xml:space="preserve">Un laboratoire a acheté des flacons de Melanotan II auprès de trois boutiques en ligne. Toutes promettaient 10 mg par flacon ; en réalité, ils contenaient entre 4,32 et 8,84 mg. Les produits de deux boutiques contenaient 4,1 à 5,9 % d’impuretés inconnues</w:t>
      </w:r>
      <w:r>
        <w:rPr>
          <w:rStyle w:val="FootnoteReference"/>
        </w:rPr>
        <w:footnoteReference w:id="2066"/>
      </w:r>
      <w:r>
        <w:t xml:space="preserve">. Un laboratoire de police scientifique a mesuré une pureté de 30 % dans un échantillon saisi</w:t>
      </w:r>
      <w:r>
        <w:rPr>
          <w:rStyle w:val="FootnoteReference"/>
        </w:rPr>
        <w:footnoteReference w:id="2067"/>
      </w:r>
      <w:r>
        <w:t xml:space="preserve">. S’y ajoutent les risques d’une préparation non stérile et du partage d’aiguilles, sur lesquels les spécialistes attirent expressément l’attention</w:t>
      </w:r>
      <w:r>
        <w:rPr>
          <w:rStyle w:val="FootnoteReference"/>
        </w:rPr>
        <w:footnoteReference w:id="2068"/>
      </w:r>
      <w:r>
        <w:t xml:space="preserve">. Pour en savoir plus sur la pureté et les contrefaçons sur le marché gris, voir les parties I et IV.</w:t>
      </w:r>
    </w:p>
    <w:bookmarkEnd w:id="2069"/>
    <w:bookmarkEnd w:id="2070"/>
    <w:bookmarkStart w:id="2073" w:name="statut-juridique-47"/>
    <w:p>
      <w:pPr>
        <w:pStyle w:val="Heading3"/>
      </w:pPr>
      <w:r>
        <w:t xml:space="preserve">Statut juridique</w:t>
      </w:r>
    </w:p>
    <w:p>
      <w:pPr>
        <w:pStyle w:val="FirstParagraph"/>
      </w:pPr>
      <w:r>
        <w:rPr>
          <w:iCs/>
          <w:i/>
        </w:rPr>
        <w:t xml:space="preserve">État 2026, à vérifier.</w:t>
      </w:r>
    </w:p>
    <w:p>
      <w:pPr>
        <w:numPr>
          <w:ilvl w:val="0"/>
          <w:numId w:val="1262"/>
        </w:numPr>
        <w:pStyle w:val="Compact"/>
      </w:pPr>
      <w:r>
        <w:rPr>
          <w:bCs/>
          <w:b/>
        </w:rPr>
        <w:t xml:space="preserve">UE :</w:t>
      </w:r>
      <w:r>
        <w:t xml:space="preserve"> </w:t>
      </w:r>
      <w:r>
        <w:t xml:space="preserve">le Melanotan II n’est autorisé dans aucun État membre. Comme il est proposé pour un usage chez l’humain avec un effet sur les fonctions corporelles, il est juridiquement considéré comme un médicament ; sa fabrication, son importation et sa vente sans autorisation sont interdites. La mention « réservé à la recherche » n’y change rien.</w:t>
      </w:r>
    </w:p>
    <w:p>
      <w:pPr>
        <w:numPr>
          <w:ilvl w:val="0"/>
          <w:numId w:val="1262"/>
        </w:numPr>
        <w:pStyle w:val="Compact"/>
      </w:pPr>
      <w:r>
        <w:rPr>
          <w:bCs/>
          <w:b/>
        </w:rPr>
        <w:t xml:space="preserve">Allemagne et Autriche :</w:t>
      </w:r>
      <w:r>
        <w:t xml:space="preserve"> </w:t>
      </w:r>
      <w:r>
        <w:t xml:space="preserve">non autorisé. La remise en vue d’un usage chez l’humain enfreint la loi sur les médicaments de chacun de ces pays. Les autorités et les douanes saisissent les envois.</w:t>
      </w:r>
    </w:p>
    <w:p>
      <w:pPr>
        <w:numPr>
          <w:ilvl w:val="0"/>
          <w:numId w:val="1262"/>
        </w:numPr>
        <w:pStyle w:val="Compact"/>
      </w:pPr>
      <w:r>
        <w:rPr>
          <w:bCs/>
          <w:b/>
        </w:rPr>
        <w:t xml:space="preserve">Mises en garde des autorités :</w:t>
      </w:r>
      <w:r>
        <w:t xml:space="preserve"> </w:t>
      </w:r>
      <w:r>
        <w:t xml:space="preserve">plusieurs autorités nationales du médicament et de la santé ont mis en garde contre le Melanotan I et II</w:t>
      </w:r>
      <w:r>
        <w:rPr>
          <w:rStyle w:val="FootnoteReference"/>
        </w:rPr>
        <w:footnoteReference w:id="2071"/>
      </w:r>
      <w:r>
        <w:t xml:space="preserve">. À la connaissance de l’auteur, les autorités britanniques et irlandaises ont été parmi les premières à partir de 2008, suivies plus tard par d’autres pays européens et l’Australie. Au Royaume-Uni, la vente est expressément illégale</w:t>
      </w:r>
      <w:r>
        <w:rPr>
          <w:rStyle w:val="FootnoteReference"/>
        </w:rPr>
        <w:footnoteReference w:id="2072"/>
      </w:r>
      <w:r>
        <w:t xml:space="preserve">.</w:t>
      </w:r>
    </w:p>
    <w:p>
      <w:pPr>
        <w:numPr>
          <w:ilvl w:val="0"/>
          <w:numId w:val="1262"/>
        </w:numPr>
        <w:pStyle w:val="Compact"/>
      </w:pPr>
      <w:r>
        <w:rPr>
          <w:bCs/>
          <w:b/>
        </w:rPr>
        <w:t xml:space="preserve">États-Unis :</w:t>
      </w:r>
      <w:r>
        <w:t xml:space="preserve"> </w:t>
      </w:r>
      <w:r>
        <w:t xml:space="preserve">pas d’autorisation de la FDA ; la distribution comme médicament à usage humain n’est pas permise.</w:t>
      </w:r>
    </w:p>
    <w:p>
      <w:pPr>
        <w:numPr>
          <w:ilvl w:val="0"/>
          <w:numId w:val="1262"/>
        </w:numPr>
        <w:pStyle w:val="Compact"/>
      </w:pPr>
      <w:r>
        <w:rPr>
          <w:bCs/>
          <w:b/>
        </w:rPr>
        <w:t xml:space="preserve">AMA (WADA) :</w:t>
      </w:r>
      <w:r>
        <w:t xml:space="preserve"> </w:t>
      </w:r>
      <w:r>
        <w:t xml:space="preserve">interdit en tant que substance non approuvée (S0).</w:t>
      </w:r>
    </w:p>
    <w:bookmarkEnd w:id="2073"/>
    <w:bookmarkStart w:id="2074" w:name="études-en-cours-et-perspectives-47"/>
    <w:p>
      <w:pPr>
        <w:pStyle w:val="Heading3"/>
      </w:pPr>
      <w:r>
        <w:t xml:space="preserve">Études en cours et perspectives</w:t>
      </w:r>
    </w:p>
    <w:p>
      <w:pPr>
        <w:pStyle w:val="FirstParagraph"/>
      </w:pPr>
      <w:r>
        <w:rPr>
          <w:bCs/>
          <w:b/>
        </w:rPr>
        <w:t xml:space="preserve">Établi (études enregistrées) :</w:t>
      </w:r>
      <w:r>
        <w:t xml:space="preserve"> </w:t>
      </w:r>
      <w:r>
        <w:t xml:space="preserve">aucune. Une entrée sur le Melanotan II dans le vitiligo figurait certes sur ClinicalTrials.gov ; mais le promoteur de cette entrée a aussi enregistré des entrées qui se présentent elles-mêmes comme fictives. Cette entrée n’est donc pas considérée ici comme une véritable étude. Cela montre au passage qu’une entrée de registre ne prouve pas qu’une étude a réellement lieu.</w:t>
      </w:r>
    </w:p>
    <w:p>
      <w:pPr>
        <w:pStyle w:val="BodyText"/>
      </w:pPr>
      <w:r>
        <w:rPr>
          <w:bCs/>
          <w:b/>
        </w:rPr>
        <w:t xml:space="preserve">Appréciation de l’auteur :</w:t>
      </w:r>
      <w:r>
        <w:t xml:space="preserve"> </w:t>
      </w:r>
      <w:r>
        <w:t xml:space="preserve">il n’existe aucune voie réaliste vers une autorisation comme produit bronzant chez les personnes en bonne santé : le bénéfice est cosmétique, les effets indésirables passant par le cerveau sont marqués, et la question des grains de beauté et du mélanome devrait être tranchée par de grandes études de longue durée. Les applications médicalement pertinentes des agonistes des mélanocortines sont poursuivies avec des molécules plus sélectives – l’afamélanotide pour la peau, le brémélanotide et le setmélanotide pour le cerveau. La popularité sur les réseaux sociaux devrait encore faire augmenter le nombre de cas rapportés.</w:t>
      </w:r>
    </w:p>
    <w:bookmarkEnd w:id="2074"/>
    <w:bookmarkStart w:id="2075" w:name="conclusion-47"/>
    <w:p>
      <w:pPr>
        <w:pStyle w:val="Heading3"/>
      </w:pPr>
      <w:r>
        <w:t xml:space="preserve">Conclusion</w:t>
      </w:r>
    </w:p>
    <w:p>
      <w:pPr>
        <w:pStyle w:val="FirstParagraph"/>
      </w:pPr>
      <w:r>
        <w:t xml:space="preserve">Le Melanotan II est un peptide de recherche des années 1990, testé seulement chez environ deux douzaines de personnes dans de petites études et jamais autorisé. Il fait bronzer la peau, mais provoque régulièrement, via des récepteurs cérébraux, des nausées et des érections spontanées. Des cas rapportés décrivent des grains de beauté nouveaux ou modifiés, des mélanomes, des priapismes et une destruction musculaire ; un lien de causalité avec le cancer de la peau n’est pas prouvé, mais n’est pas non plus exclu. Lors d’analyses en laboratoire, les produits du marché gris contenaient moins de principe actif qu’annoncé ainsi que des impuretés inconnues. Les données sont insuffisantes pour qualifier le Melanotan II de sûr.</w:t>
      </w:r>
    </w:p>
    <w:bookmarkEnd w:id="2075"/>
    <w:bookmarkEnd w:id="2076"/>
    <w:bookmarkStart w:id="2136" w:name="afamélanotide"/>
    <w:p>
      <w:pPr>
        <w:pStyle w:val="Heading2"/>
      </w:pPr>
      <w:r>
        <w:t xml:space="preserve">Afamélanotide</w:t>
      </w:r>
    </w:p>
    <w:bookmarkStart w:id="2079" w:name="fiche-signalétique-48"/>
    <w:p>
      <w:pPr>
        <w:pStyle w:val="Heading3"/>
      </w:pPr>
      <w:r>
        <w:t xml:space="preserve">Fiche signalétique</w:t>
      </w:r>
    </w:p>
    <w:p>
      <w:pPr>
        <w:numPr>
          <w:ilvl w:val="0"/>
          <w:numId w:val="1263"/>
        </w:numPr>
        <w:pStyle w:val="Compact"/>
      </w:pPr>
      <w:r>
        <w:rPr>
          <w:bCs/>
          <w:b/>
        </w:rPr>
        <w:t xml:space="preserve">Type/structure :</w:t>
      </w:r>
      <w:r>
        <w:t xml:space="preserve"> </w:t>
      </w:r>
      <w:r>
        <w:t xml:space="preserve">peptide linéaire de 13 acides aminés. Il correspond à l’hormone endogène alpha-MSH dans laquelle deux constituants ont été remplacés (en position 4 par la norleucine, en position 7 par la forme D, image en miroir, de la phénylalanine). Ces modifications le rendent plus stable et plus puissant. Anciens noms : Melanotan I, MT-I, NDP-MSH, CUV1647.</w:t>
      </w:r>
    </w:p>
    <w:p>
      <w:pPr>
        <w:numPr>
          <w:ilvl w:val="0"/>
          <w:numId w:val="1263"/>
        </w:numPr>
        <w:pStyle w:val="Compact"/>
      </w:pPr>
      <w:r>
        <w:rPr>
          <w:bCs/>
          <w:b/>
        </w:rPr>
        <w:t xml:space="preserve">Origine :</w:t>
      </w:r>
      <w:r>
        <w:t xml:space="preserve"> </w:t>
      </w:r>
      <w:r>
        <w:t xml:space="preserve">mis au point à l’université de l’Arizona en même temps que le Melanotan II</w:t>
      </w:r>
      <w:r>
        <w:rPr>
          <w:rStyle w:val="FootnoteReference"/>
        </w:rPr>
        <w:footnoteReference w:id="2077"/>
      </w:r>
      <w:r>
        <w:t xml:space="preserve"> </w:t>
      </w:r>
      <w:r>
        <w:t xml:space="preserve">; développé ensuite en médicament par l’entreprise australienne Clinuvel.</w:t>
      </w:r>
    </w:p>
    <w:p>
      <w:pPr>
        <w:numPr>
          <w:ilvl w:val="0"/>
          <w:numId w:val="1263"/>
        </w:numPr>
        <w:pStyle w:val="Compact"/>
      </w:pPr>
      <w:r>
        <w:rPr>
          <w:bCs/>
          <w:b/>
        </w:rPr>
        <w:t xml:space="preserve">Principe d’action :</w:t>
      </w:r>
      <w:r>
        <w:t xml:space="preserve"> </w:t>
      </w:r>
      <w:r>
        <w:t xml:space="preserve">agoniste du récepteur 1 des mélanocortines (MC1R) des cellules pigmentaires. Il stimule la production d’eumélanine, le pigment foncé photoprotecteur – sans exposition préalable aux UV.</w:t>
      </w:r>
    </w:p>
    <w:p>
      <w:pPr>
        <w:numPr>
          <w:ilvl w:val="0"/>
          <w:numId w:val="1263"/>
        </w:numPr>
        <w:pStyle w:val="Compact"/>
      </w:pPr>
      <w:r>
        <w:rPr>
          <w:bCs/>
          <w:b/>
        </w:rPr>
        <w:t xml:space="preserve">Forme galénique :</w:t>
      </w:r>
      <w:r>
        <w:t xml:space="preserve"> </w:t>
      </w:r>
      <w:r>
        <w:t xml:space="preserve">petit implant résorbable (16 mg), placé sous la peau, qui libère le principe actif pendant plusieurs semaines. Il est posé dans des centres spécialisés.</w:t>
      </w:r>
    </w:p>
    <w:p>
      <w:pPr>
        <w:numPr>
          <w:ilvl w:val="0"/>
          <w:numId w:val="1263"/>
        </w:numPr>
        <w:pStyle w:val="Compact"/>
      </w:pPr>
      <w:r>
        <w:rPr>
          <w:bCs/>
          <w:b/>
        </w:rPr>
        <w:t xml:space="preserve">Autorisation UE :</w:t>
      </w:r>
      <w:r>
        <w:t xml:space="preserve"> </w:t>
      </w:r>
      <w:r>
        <w:t xml:space="preserve">oui, depuis 2014 (Scenesse) pour la prévention de la phototoxicité chez les adultes atteints de protoporphyrie érythropoïétique (PPE). L’autorisation était assortie de conditions, notamment une étude de sécurité post-autorisation et un registre de patients</w:t>
      </w:r>
      <w:r>
        <w:rPr>
          <w:rStyle w:val="FootnoteReference"/>
        </w:rPr>
        <w:footnoteReference w:id="2078"/>
      </w:r>
      <w:r>
        <w:t xml:space="preserve">.</w:t>
      </w:r>
    </w:p>
    <w:p>
      <w:pPr>
        <w:numPr>
          <w:ilvl w:val="0"/>
          <w:numId w:val="1263"/>
        </w:numPr>
        <w:pStyle w:val="Compact"/>
      </w:pPr>
      <w:r>
        <w:rPr>
          <w:bCs/>
          <w:b/>
        </w:rPr>
        <w:t xml:space="preserve">Autorisation États-Unis :</w:t>
      </w:r>
      <w:r>
        <w:t xml:space="preserve"> </w:t>
      </w:r>
      <w:r>
        <w:t xml:space="preserve">oui, depuis 2019 pour les adultes atteints de PPE.</w:t>
      </w:r>
    </w:p>
    <w:p>
      <w:pPr>
        <w:numPr>
          <w:ilvl w:val="0"/>
          <w:numId w:val="1263"/>
        </w:numPr>
        <w:pStyle w:val="Compact"/>
      </w:pPr>
      <w:r>
        <w:rPr>
          <w:bCs/>
          <w:b/>
        </w:rPr>
        <w:t xml:space="preserve">AMA (WADA) :</w:t>
      </w:r>
      <w:r>
        <w:t xml:space="preserve"> </w:t>
      </w:r>
      <w:r>
        <w:t xml:space="preserve">pas listé.</w:t>
      </w:r>
    </w:p>
    <w:p>
      <w:pPr>
        <w:numPr>
          <w:ilvl w:val="0"/>
          <w:numId w:val="1263"/>
        </w:numPr>
        <w:pStyle w:val="Compact"/>
      </w:pPr>
      <w:r>
        <w:rPr>
          <w:bCs/>
          <w:b/>
        </w:rPr>
        <w:t xml:space="preserve">Niveau de preuve :</w:t>
      </w:r>
      <w:r>
        <w:t xml:space="preserve"> </w:t>
      </w:r>
      <w:r>
        <w:rPr>
          <w:bCs/>
          <w:b/>
        </w:rPr>
        <w:t xml:space="preserve">A</w:t>
      </w:r>
      <w:r>
        <w:t xml:space="preserve"> </w:t>
      </w:r>
      <w:r>
        <w:t xml:space="preserve">– autorisation dans l’UE et aux États-Unis sur la base de deux études randomisées contrôlées contre placebo, complétées par plusieurs cohortes à long terme. En raison de la rareté de la maladie, les études sont plus petites que pour les maladies fréquentes.</w:t>
      </w:r>
    </w:p>
    <w:bookmarkEnd w:id="2079"/>
    <w:bookmarkStart w:id="2082" w:name="mode-daction-supposé-48"/>
    <w:p>
      <w:pPr>
        <w:pStyle w:val="Heading3"/>
      </w:pPr>
      <w:r>
        <w:t xml:space="preserve">Mode d’action supposé</w:t>
      </w:r>
    </w:p>
    <w:p>
      <w:pPr>
        <w:pStyle w:val="FirstParagraph"/>
      </w:pPr>
      <w:r>
        <w:t xml:space="preserve">La protoporphyrie érythropoïétique (PPE) est une maladie héréditaire rare. En Europe, au moins une personne sur 140 000 est concernée</w:t>
      </w:r>
      <w:r>
        <w:rPr>
          <w:rStyle w:val="FootnoteReference"/>
        </w:rPr>
        <w:footnoteReference w:id="2080"/>
      </w:r>
      <w:r>
        <w:t xml:space="preserve">. En raison d’un déficit enzymatique dans la synthèse du pigment rouge du sang, un précurseur, la protoporphyrine IX, s’accumule dans le sang et la peau. Cette substance est activée par la lumière visible et endommage alors les tissus et les petits vaisseaux sanguins de la peau.</w:t>
      </w:r>
    </w:p>
    <w:p>
      <w:pPr>
        <w:pStyle w:val="BodyText"/>
      </w:pPr>
      <w:r>
        <w:t xml:space="preserve">Il en résulte des douleurs brûlantes, persistant souvent plusieurs jours, après quelques minutes au soleil – fréquemment sans modification visible de la peau. Les personnes concernées évitent la lumière du jour dès l’enfance. La protection solaire classique n’aide guère, car c’est surtout la lumière visible, et non le rayonnement UV, qui déclenche la réaction. Une partie des personnes atteintes développe en outre des lésions du foie, car la protoporphyrine excédentaire est éliminée par la bile</w:t>
      </w:r>
      <w:r>
        <w:rPr>
          <w:rStyle w:val="FootnoteReference"/>
        </w:rPr>
        <w:footnoteReference w:id="2081"/>
      </w:r>
      <w:r>
        <w:t xml:space="preserve">.</w:t>
      </w:r>
    </w:p>
    <w:p>
      <w:pPr>
        <w:pStyle w:val="BodyText"/>
      </w:pPr>
      <w:r>
        <w:t xml:space="preserve">L’afamélanotide n’agit pas sur la cause, mais sur la peau : il la fait bronzer, et l’eumélanine supplémentaire intercepte une partie de la lumière avant qu’elle n’atteigne la protoporphyrine. Des expériences de laboratoire suggèrent en outre des effets anti-inflammatoires et antioxydants. La part de ces effets chez l’humain n’est pas claire.</w:t>
      </w:r>
    </w:p>
    <w:p>
      <w:pPr>
        <w:pStyle w:val="BodyText"/>
      </w:pPr>
      <w:r>
        <w:t xml:space="preserve">Contrairement au Melanotan II (chapitre 2E02), l’afamélanotide agit principalement sur le récepteur pigmentaire MC1R et peu sur les récepteurs cérébraux. C’est pourquoi les nausées et les effets d’accompagnement sexuels sont nettement plus rares.</w:t>
      </w:r>
    </w:p>
    <w:bookmarkEnd w:id="2082"/>
    <w:bookmarkStart w:id="2110" w:name="études-chez-lhumain-48"/>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10</w:t>
      </w:r>
      <w:r>
        <w:t xml:space="preserve"> </w:t>
      </w:r>
      <w:r>
        <w:t xml:space="preserve">études chez l’humain dans PubMed (</w:t>
      </w:r>
      <w:r>
        <w:rPr>
          <w:rStyle w:val="VerbatimChar"/>
        </w:rPr>
        <w:t xml:space="preserve">humanstudien_alle</w:t>
      </w:r>
      <w:r>
        <w:t xml:space="preserve">) et</w:t>
      </w:r>
      <w:r>
        <w:t xml:space="preserve"> </w:t>
      </w:r>
      <w:r>
        <w:rPr>
          <w:bCs/>
          <w:b/>
        </w:rPr>
        <w:t xml:space="preserve">23</w:t>
      </w:r>
      <w:r>
        <w:t xml:space="preserve"> </w:t>
      </w:r>
      <w:r>
        <w:t xml:space="preserve">entrées sur ClinicalTrials.gov. La recherche ne porte toutefois que sur le nom « afamelanotide » ; les études plus anciennes sous les noms Melanotan I ou NDP-MSH ainsi que plusieurs études de cohorte n’y figurent pas et sont présentées ici en complément.</w:t>
      </w:r>
    </w:p>
    <w:bookmarkStart w:id="2086" w:name="X8dbf70b3dbfda365f9fbce45cc06a3110f7d556"/>
    <w:p>
      <w:pPr>
        <w:pStyle w:val="Heading4"/>
      </w:pPr>
      <w:r>
        <w:t xml:space="preserve">Préhistoire : le Melanotan I chez les personnes en bonne santé</w:t>
      </w:r>
    </w:p>
    <w:p>
      <w:pPr>
        <w:pStyle w:val="FirstParagraph"/>
      </w:pPr>
      <w:r>
        <w:t xml:space="preserve">Dans les années 1990 et au début des années 2000, des volontaires en bonne santé ont reçu des injections quotidiennes en Arizona. Leur peau a foncé au niveau du visage, du cou et des avant-bras ; la teneur en eumélanine de la peau de l’avant-bras a augmenté en moyenne de 98 %</w:t>
      </w:r>
      <w:r>
        <w:rPr>
          <w:rStyle w:val="FootnoteReference"/>
        </w:rPr>
        <w:footnoteReference w:id="2083"/>
      </w:r>
      <w:r>
        <w:t xml:space="preserve">. Combinée à la lumière du soleil, la peau bronzait plus fortement et plus longtemps, et les participants sans principe actif avaient besoin de 50 % de temps d’exposition en plus pour obtenir le même bronzage</w:t>
      </w:r>
      <w:r>
        <w:rPr>
          <w:rStyle w:val="FootnoteReference"/>
        </w:rPr>
        <w:footnoteReference w:id="2084"/>
      </w:r>
      <w:r>
        <w:t xml:space="preserve">. Dans une étude portant sur 77 personnes à la peau claire, l’effet était même plus marqué chez les porteurs de certaines variantes du gène MC1R – c’est-à-dire chez les personnes à la peau particulièrement sensible au soleil</w:t>
      </w:r>
      <w:r>
        <w:rPr>
          <w:rStyle w:val="FootnoteReference"/>
        </w:rPr>
        <w:footnoteReference w:id="2085"/>
      </w:r>
      <w:r>
        <w:t xml:space="preserve">. Le projet d’en faire une protection contre le cancer de la peau pour la population générale n’a pas été poursuivi.</w:t>
      </w:r>
    </w:p>
    <w:bookmarkEnd w:id="2086"/>
    <w:bookmarkStart w:id="2090" w:name="les-études-dautorisation-dans-la-ppe"/>
    <w:p>
      <w:pPr>
        <w:pStyle w:val="Heading4"/>
      </w:pPr>
      <w:r>
        <w:t xml:space="preserve">Les études d’autorisation dans la PPE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Harms 2009, PMID 19656325</w:t>
            </w:r>
          </w:p>
        </w:tc>
        <w:tc>
          <w:tcPr/>
          <w:p>
            <w:pPr>
              <w:pStyle w:val="Compact"/>
              <w:jc w:val="left"/>
            </w:pPr>
            <w:r>
              <w:t xml:space="preserve">5 personnes atteintes de PPE, étude pilote ouverte</w:t>
            </w:r>
          </w:p>
        </w:tc>
        <w:tc>
          <w:tcPr/>
          <w:p>
            <w:pPr>
              <w:pStyle w:val="Compact"/>
              <w:jc w:val="left"/>
            </w:pPr>
            <w:r>
              <w:t xml:space="preserve">120 jours</w:t>
            </w:r>
          </w:p>
        </w:tc>
        <w:tc>
          <w:tcPr/>
          <w:p>
            <w:pPr>
              <w:pStyle w:val="Compact"/>
              <w:jc w:val="left"/>
            </w:pPr>
            <w:r>
              <w:t xml:space="preserve">Tolérance à la lumière nettement accrue</w:t>
            </w:r>
          </w:p>
        </w:tc>
      </w:tr>
      <w:tr>
        <w:tc>
          <w:tcPr/>
          <w:p>
            <w:pPr>
              <w:pStyle w:val="Compact"/>
              <w:jc w:val="left"/>
            </w:pPr>
            <w:r>
              <w:t xml:space="preserve">Étude UE (Langendonk 2015), PMID 26132941</w:t>
            </w:r>
          </w:p>
        </w:tc>
        <w:tc>
          <w:tcPr/>
          <w:p>
            <w:pPr>
              <w:pStyle w:val="Compact"/>
              <w:jc w:val="left"/>
            </w:pPr>
            <w:r>
              <w:t xml:space="preserve">74 personnes, ECR contre implant placebo</w:t>
            </w:r>
          </w:p>
        </w:tc>
        <w:tc>
          <w:tcPr/>
          <w:p>
            <w:pPr>
              <w:pStyle w:val="Compact"/>
              <w:jc w:val="left"/>
            </w:pPr>
            <w:r>
              <w:t xml:space="preserve">9 mois</w:t>
            </w:r>
          </w:p>
        </w:tc>
        <w:tc>
          <w:tcPr/>
          <w:p>
            <w:pPr>
              <w:pStyle w:val="Compact"/>
              <w:jc w:val="left"/>
            </w:pPr>
            <w:r>
              <w:t xml:space="preserve">Temps sans douleur en plein soleil, médiane 6,0 contre 0,8 heure ; 77 contre 146 réactions phototoxiques</w:t>
            </w:r>
          </w:p>
        </w:tc>
      </w:tr>
      <w:tr>
        <w:tc>
          <w:tcPr/>
          <w:p>
            <w:pPr>
              <w:pStyle w:val="Compact"/>
              <w:jc w:val="left"/>
            </w:pPr>
            <w:r>
              <w:t xml:space="preserve">Étude États-Unis (Langendonk 2015), PMID 26132941</w:t>
            </w:r>
          </w:p>
        </w:tc>
        <w:tc>
          <w:tcPr/>
          <w:p>
            <w:pPr>
              <w:pStyle w:val="Compact"/>
              <w:jc w:val="left"/>
            </w:pPr>
            <w:r>
              <w:t xml:space="preserve">94 personnes, ECR contre implant placebo</w:t>
            </w:r>
          </w:p>
        </w:tc>
        <w:tc>
          <w:tcPr/>
          <w:p>
            <w:pPr>
              <w:pStyle w:val="Compact"/>
              <w:jc w:val="left"/>
            </w:pPr>
            <w:r>
              <w:t xml:space="preserve">6 mois</w:t>
            </w:r>
          </w:p>
        </w:tc>
        <w:tc>
          <w:tcPr/>
          <w:p>
            <w:pPr>
              <w:pStyle w:val="Compact"/>
              <w:jc w:val="left"/>
            </w:pPr>
            <w:r>
              <w:t xml:space="preserve">Temps sans douleur en plein soleil, médiane 69,4 contre 40,8 heures</w:t>
            </w:r>
          </w:p>
        </w:tc>
      </w:tr>
      <w:tr>
        <w:tc>
          <w:tcPr/>
          <w:p>
            <w:pPr>
              <w:pStyle w:val="Compact"/>
              <w:jc w:val="left"/>
            </w:pPr>
            <w:r>
              <w:t xml:space="preserve">Revue systématique (Heerfordt 2023), PMID 36525819</w:t>
            </w:r>
          </w:p>
        </w:tc>
        <w:tc>
          <w:tcPr/>
          <w:p>
            <w:pPr>
              <w:pStyle w:val="Compact"/>
              <w:jc w:val="left"/>
            </w:pPr>
            <w:r>
              <w:t xml:space="preserve">40 études sur 18 traitements de la PPE</w:t>
            </w:r>
          </w:p>
        </w:tc>
        <w:tc>
          <w:tcPr/>
          <w:p>
            <w:pPr>
              <w:pStyle w:val="Compact"/>
              <w:jc w:val="left"/>
            </w:pPr>
            <w:r>
              <w:t xml:space="preserve">–</w:t>
            </w:r>
          </w:p>
        </w:tc>
        <w:tc>
          <w:tcPr/>
          <w:p>
            <w:pPr>
              <w:pStyle w:val="Compact"/>
              <w:jc w:val="left"/>
            </w:pPr>
            <w:r>
              <w:t xml:space="preserve">Effet positif modéré pour l’afamélanotide et la protection solaire minérale ; aucun effet pour le bêta-carotène, entre autres</w:t>
            </w:r>
          </w:p>
        </w:tc>
      </w:tr>
    </w:tbl>
    <w:p>
      <w:pPr>
        <w:pStyle w:val="BodyText"/>
      </w:pPr>
      <w:r>
        <w:t xml:space="preserve">Dans la première étude pilote, cinq personnes atteintes ont reçu deux implants à 60 jours d’intervalle. Elles ont ensuite toléré nettement plus de lumière lors d’un test lumineux standardisé, et la densité de mélanine de la peau a augmenté</w:t>
      </w:r>
      <w:r>
        <w:rPr>
          <w:rStyle w:val="FootnoteReference"/>
        </w:rPr>
        <w:footnoteReference w:id="2087"/>
      </w:r>
      <w:r>
        <w:t xml:space="preserve">.</w:t>
      </w:r>
    </w:p>
    <w:p>
      <w:pPr>
        <w:pStyle w:val="BodyText"/>
      </w:pPr>
      <w:r>
        <w:t xml:space="preserve">L’autorisation repose sur deux études en double aveugle publiées ensemble dans le New England Journal of Medicine</w:t>
      </w:r>
      <w:r>
        <w:rPr>
          <w:rStyle w:val="FootnoteReference"/>
        </w:rPr>
        <w:footnoteReference w:id="2088"/>
      </w:r>
      <w:r>
        <w:t xml:space="preserve">. Tous les 60 jours, les participants recevaient un implant d’afamélanotide ou un implant factice. Le critère principal était le nombre d’heures passées en plein soleil sans douleur, que les participants consignaient dans un journal.</w:t>
      </w:r>
    </w:p>
    <w:p>
      <w:pPr>
        <w:pStyle w:val="BodyText"/>
      </w:pPr>
      <w:r>
        <w:t xml:space="preserve">Les deux études ont montré un avantage pour l’afamélanotide, et dans les deux la qualité de vie s’est améliorée. Les chiffres absolus sont toutefois décevants : dans l’étude européenne, les participants ont passé sur neuf mois, en médiane, six heures sans douleur en plein soleil, contre à peine une heure sous placebo. Si les valeurs sont si basses, cela tient aussi à la maladie elle-même : une personne qui a souffert pendant des années continue d’éviter le soleil, même si elle le tolère mieux. Une telle mesure par journal dépend en outre fortement de la météo et de la saison, ce qui rend les études difficilement comparables</w:t>
      </w:r>
      <w:r>
        <w:rPr>
          <w:rStyle w:val="FootnoteReference"/>
        </w:rPr>
        <w:footnoteReference w:id="2089"/>
      </w:r>
      <w:r>
        <w:t xml:space="preserve">.</w:t>
      </w:r>
    </w:p>
    <w:bookmarkEnd w:id="2090"/>
    <w:bookmarkStart w:id="2094" w:name="X7d6b261d6a8b4f142fddc5b3d145a885bfe65b4"/>
    <w:p>
      <w:pPr>
        <w:pStyle w:val="Heading4"/>
      </w:pPr>
      <w:r>
        <w:t xml:space="preserve">Données à long terme issues de la pratique</w:t>
      </w:r>
    </w:p>
    <w:p>
      <w:pPr>
        <w:pStyle w:val="FirstParagraph"/>
      </w:pPr>
      <w:r>
        <w:t xml:space="preserve">Les études d’autorisation ayant été courtes et petites, les observations issues des soins courants sont particulièrement importantes.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Biolcati 2015, PMID 25494545</w:t>
            </w:r>
          </w:p>
        </w:tc>
        <w:tc>
          <w:tcPr/>
          <w:p>
            <w:pPr>
              <w:pStyle w:val="Compact"/>
              <w:jc w:val="left"/>
            </w:pPr>
            <w:r>
              <w:t xml:space="preserve">115 personnes à Rome et Zurich, 1 023 implants, étude observationnelle</w:t>
            </w:r>
          </w:p>
        </w:tc>
        <w:tc>
          <w:tcPr/>
          <w:p>
            <w:pPr>
              <w:pStyle w:val="Compact"/>
              <w:jc w:val="left"/>
            </w:pPr>
            <w:r>
              <w:t xml:space="preserve">jusqu’à 8 ans</w:t>
            </w:r>
          </w:p>
        </w:tc>
        <w:tc>
          <w:tcPr/>
          <w:p>
            <w:pPr>
              <w:pStyle w:val="Compact"/>
              <w:jc w:val="left"/>
            </w:pPr>
            <w:r>
              <w:t xml:space="preserve">Qualité de vie de 31 % à 74 % de la valeur maximale</w:t>
            </w:r>
          </w:p>
        </w:tc>
      </w:tr>
      <w:tr>
        <w:tc>
          <w:tcPr/>
          <w:p>
            <w:pPr>
              <w:pStyle w:val="Compact"/>
              <w:jc w:val="left"/>
            </w:pPr>
            <w:r>
              <w:t xml:space="preserve">Wensink 2020, PMID 32186677</w:t>
            </w:r>
          </w:p>
        </w:tc>
        <w:tc>
          <w:tcPr/>
          <w:p>
            <w:pPr>
              <w:pStyle w:val="Compact"/>
              <w:jc w:val="left"/>
            </w:pPr>
            <w:r>
              <w:t xml:space="preserve">117 personnes à Rotterdam, cohorte prospective</w:t>
            </w:r>
          </w:p>
        </w:tc>
        <w:tc>
          <w:tcPr/>
          <w:p>
            <w:pPr>
              <w:pStyle w:val="Compact"/>
              <w:jc w:val="left"/>
            </w:pPr>
            <w:r>
              <w:t xml:space="preserve">médiane 2 ans</w:t>
            </w:r>
          </w:p>
        </w:tc>
        <w:tc>
          <w:tcPr/>
          <w:p>
            <w:pPr>
              <w:pStyle w:val="Compact"/>
              <w:jc w:val="left"/>
            </w:pPr>
            <w:r>
              <w:t xml:space="preserve">6,1 heures de plus par semaine en plein air ; 98 % ont poursuivi</w:t>
            </w:r>
          </w:p>
        </w:tc>
      </w:tr>
      <w:tr>
        <w:tc>
          <w:tcPr/>
          <w:p>
            <w:pPr>
              <w:pStyle w:val="Compact"/>
              <w:jc w:val="left"/>
            </w:pPr>
            <w:r>
              <w:t xml:space="preserve">Homey 2025, PMID 40082741</w:t>
            </w:r>
          </w:p>
        </w:tc>
        <w:tc>
          <w:tcPr/>
          <w:p>
            <w:pPr>
              <w:pStyle w:val="Compact"/>
              <w:jc w:val="left"/>
            </w:pPr>
            <w:r>
              <w:t xml:space="preserve">200 personnes en Allemagne, étude de sécurité post-autorisation</w:t>
            </w:r>
          </w:p>
        </w:tc>
        <w:tc>
          <w:tcPr/>
          <w:p>
            <w:pPr>
              <w:pStyle w:val="Compact"/>
              <w:jc w:val="left"/>
            </w:pPr>
            <w:r>
              <w:t xml:space="preserve">en cours</w:t>
            </w:r>
          </w:p>
        </w:tc>
        <w:tc>
          <w:tcPr/>
          <w:p>
            <w:pPr>
              <w:pStyle w:val="Compact"/>
              <w:jc w:val="left"/>
            </w:pPr>
            <w:r>
              <w:t xml:space="preserve">Qualité de vie significativement meilleure ; 91,0 % ont poursuivi</w:t>
            </w:r>
          </w:p>
        </w:tc>
      </w:tr>
      <w:tr>
        <w:tc>
          <w:tcPr/>
          <w:p>
            <w:pPr>
              <w:pStyle w:val="Compact"/>
              <w:jc w:val="left"/>
            </w:pPr>
            <w:r>
              <w:t xml:space="preserve">Seidl-Philipp 2026, PMID 41793078</w:t>
            </w:r>
          </w:p>
        </w:tc>
        <w:tc>
          <w:tcPr/>
          <w:p>
            <w:pPr>
              <w:pStyle w:val="Compact"/>
              <w:jc w:val="left"/>
            </w:pPr>
            <w:r>
              <w:t xml:space="preserve">20 personnes en Autriche</w:t>
            </w:r>
          </w:p>
        </w:tc>
        <w:tc>
          <w:tcPr/>
          <w:p>
            <w:pPr>
              <w:pStyle w:val="Compact"/>
              <w:jc w:val="left"/>
            </w:pPr>
            <w:r>
              <w:t xml:space="preserve">2023</w:t>
            </w:r>
          </w:p>
        </w:tc>
        <w:tc>
          <w:tcPr/>
          <w:p>
            <w:pPr>
              <w:pStyle w:val="Compact"/>
              <w:jc w:val="left"/>
            </w:pPr>
            <w:r>
              <w:t xml:space="preserve">Tolérance à la lumière, médiane de 15 à 250 minutes ; réactions phototoxiques chez 88 % contre 33 %</w:t>
            </w:r>
          </w:p>
        </w:tc>
      </w:tr>
    </w:tbl>
    <w:p>
      <w:pPr>
        <w:pStyle w:val="BodyText"/>
      </w:pPr>
      <w:r>
        <w:t xml:space="preserve">L’étude observationnelle italo-suisse couvrait des traitements depuis 2006. Seules trois personnes ont déclaré que l’effet ne répondait pas à leurs attentes ; 23 % ont interrompu le traitement pour d’autres raisons, par exemple une grossesse ou les coûts</w:t>
      </w:r>
      <w:r>
        <w:rPr>
          <w:rStyle w:val="FootnoteReference"/>
        </w:rPr>
        <w:footnoteReference w:id="2091"/>
      </w:r>
      <w:r>
        <w:t xml:space="preserve">. Dans la cohorte néerlandaise, les réactions phototoxiques sont devenues moins douloureuses, mais leur nombre et leur durée n’ont pas changé de façon significative</w:t>
      </w:r>
      <w:r>
        <w:rPr>
          <w:rStyle w:val="FootnoteReference"/>
        </w:rPr>
        <w:footnoteReference w:id="2092"/>
      </w:r>
      <w:r>
        <w:t xml:space="preserve">. L’analyse autrichienne de l’ensemble des 20 personnes traitées en 2023 montre des améliorations particulièrement nettes de la qualité de vie</w:t>
      </w:r>
      <w:r>
        <w:rPr>
          <w:rStyle w:val="FootnoteReference"/>
        </w:rPr>
        <w:footnoteReference w:id="2093"/>
      </w:r>
      <w:r>
        <w:t xml:space="preserve">.</w:t>
      </w:r>
    </w:p>
    <w:p>
      <w:pPr>
        <w:pStyle w:val="BodyText"/>
      </w:pPr>
      <w:r>
        <w:t xml:space="preserve">Ces cohortes n’ont pas de groupe témoin. Les personnes qui répondent bien restent plus volontiers en traitement, et les attentes envers un médicament coûteux influencent les auto-évaluations. Les taux de poursuite uniformément élevés pour un traitement qui exige une consultation médicale tous les deux mois constituent néanmoins un signal notable.</w:t>
      </w:r>
    </w:p>
    <w:bookmarkEnd w:id="2094"/>
    <w:bookmarkStart w:id="2098" w:name="autres-observations-dans-la-ppe"/>
    <w:p>
      <w:pPr>
        <w:pStyle w:val="Heading4"/>
      </w:pPr>
      <w:r>
        <w:t xml:space="preserve">Autres observations dans la PPE</w:t>
      </w:r>
    </w:p>
    <w:p>
      <w:pPr>
        <w:numPr>
          <w:ilvl w:val="0"/>
          <w:numId w:val="1264"/>
        </w:numPr>
        <w:pStyle w:val="Compact"/>
      </w:pPr>
      <w:r>
        <w:rPr>
          <w:bCs/>
          <w:b/>
        </w:rPr>
        <w:t xml:space="preserve">Foie :</w:t>
      </w:r>
      <w:r>
        <w:t xml:space="preserve"> </w:t>
      </w:r>
      <w:r>
        <w:t xml:space="preserve">dans une analyse suisse portant sur 70 personnes traitées et près de 3 000 valeurs hépatiques, l’ALAT et la bilirubine étaient d’autant plus basses que le nombre d’implants posés l’année précédente était élevé</w:t>
      </w:r>
      <w:r>
        <w:rPr>
          <w:rStyle w:val="FootnoteReference"/>
        </w:rPr>
        <w:footnoteReference w:id="2095"/>
      </w:r>
      <w:r>
        <w:t xml:space="preserve">. Il s’agit d’une association issue de données observationnelles, pas de la preuve d’une protection hépatique.</w:t>
      </w:r>
    </w:p>
    <w:p>
      <w:pPr>
        <w:numPr>
          <w:ilvl w:val="0"/>
          <w:numId w:val="1264"/>
        </w:numPr>
        <w:pStyle w:val="Compact"/>
      </w:pPr>
      <w:r>
        <w:rPr>
          <w:bCs/>
          <w:b/>
        </w:rPr>
        <w:t xml:space="preserve">Vitamine D :</w:t>
      </w:r>
      <w:r>
        <w:t xml:space="preserve"> </w:t>
      </w:r>
      <w:r>
        <w:t xml:space="preserve">l’afamélanotide n’a pas modifié le taux de vitamine D. Dans une étude portant sur 230 personnes, une carence persistait chez 71,8 % ; seule l’administration de vitamine D3 a fait monter les valeurs</w:t>
      </w:r>
      <w:r>
        <w:rPr>
          <w:rStyle w:val="FootnoteReference"/>
        </w:rPr>
        <w:footnoteReference w:id="2096"/>
      </w:r>
      <w:r>
        <w:t xml:space="preserve">.</w:t>
      </w:r>
    </w:p>
    <w:p>
      <w:pPr>
        <w:numPr>
          <w:ilvl w:val="0"/>
          <w:numId w:val="1264"/>
        </w:numPr>
        <w:pStyle w:val="Compact"/>
      </w:pPr>
      <w:r>
        <w:rPr>
          <w:bCs/>
          <w:b/>
        </w:rPr>
        <w:t xml:space="preserve">Anticorps :</w:t>
      </w:r>
      <w:r>
        <w:t xml:space="preserve"> </w:t>
      </w:r>
      <w:r>
        <w:t xml:space="preserve">chez 23 personnes sur 26, aucun anticorps contre le principe actif ne s’est formé sur une période allant jusqu’à six ans ; trois avaient déjà des anticorps mesurables avant le traitement, qui n’ont pas évolué</w:t>
      </w:r>
      <w:r>
        <w:rPr>
          <w:rStyle w:val="FootnoteReference"/>
        </w:rPr>
        <w:footnoteReference w:id="2097"/>
      </w:r>
      <w:r>
        <w:t xml:space="preserve">.</w:t>
      </w:r>
    </w:p>
    <w:bookmarkEnd w:id="2098"/>
    <w:bookmarkStart w:id="2103" w:name="vitiligo"/>
    <w:p>
      <w:pPr>
        <w:pStyle w:val="Heading4"/>
      </w:pPr>
      <w:r>
        <w:t xml:space="preserve">Vitiligo</w:t>
      </w:r>
    </w:p>
    <w:p>
      <w:pPr>
        <w:pStyle w:val="FirstParagraph"/>
      </w:pPr>
      <w:r>
        <w:t xml:space="preserve">Dans le vitiligo, le système immunitaire détruit les cellules pigmentaires ; des taches claires apparaissent. Le traitement de référence est une photothérapie par UVB à spectre étroit. L’afamélanotide est censé stimuler en plus les cellules pigmentaires restantes.</w:t>
      </w:r>
    </w:p>
    <w:p>
      <w:pPr>
        <w:pStyle w:val="BodyText"/>
      </w:pPr>
      <w:r>
        <w:t xml:space="preserve">Après une série de cas portant sur quatre personnes</w:t>
      </w:r>
      <w:r>
        <w:rPr>
          <w:rStyle w:val="FootnoteReference"/>
        </w:rPr>
        <w:footnoteReference w:id="2099"/>
      </w:r>
      <w:r>
        <w:t xml:space="preserve">, une étude randomisée a été menée chez 55 participants</w:t>
      </w:r>
      <w:r>
        <w:rPr>
          <w:rStyle w:val="FootnoteReference"/>
        </w:rPr>
        <w:footnoteReference w:id="2100"/>
      </w:r>
      <w:r>
        <w:t xml:space="preserve">. L’association de la photothérapie et d’implants mensuels a conduit plus rapidement à une repigmentation que la photothérapie seule. Après 168 jours, 48,64 % de la surface étaient repigmentés dans le bras combiné, contre 33,26 % sous photothérapie seule. L’avantage s’est manifesté surtout pour les phototypes plus foncés (IV à VI). Un inconvénient souligné par les spécialistes : la peau saine fonce aussi, si bien que le contraste avec les taches claires peut d’abord augmenter</w:t>
      </w:r>
      <w:r>
        <w:rPr>
          <w:rStyle w:val="FootnoteReference"/>
        </w:rPr>
        <w:footnoteReference w:id="2101"/>
      </w:r>
      <w:r>
        <w:t xml:space="preserve">. Une étude chez des patientes et patients asiatiques a également été publiée</w:t>
      </w:r>
      <w:r>
        <w:rPr>
          <w:rStyle w:val="FootnoteReference"/>
        </w:rPr>
        <w:footnoteReference w:id="2102"/>
      </w:r>
      <w:r>
        <w:t xml:space="preserve">.</w:t>
      </w:r>
    </w:p>
    <w:bookmarkEnd w:id="2103"/>
    <w:bookmarkStart w:id="2109" w:name="Xd2ab616eae0f95a45e72842c86d53f15025b9db"/>
    <w:p>
      <w:pPr>
        <w:pStyle w:val="Heading4"/>
      </w:pPr>
      <w:r>
        <w:t xml:space="preserve">Autres applications dans des études pilotes</w:t>
      </w:r>
    </w:p>
    <w:p>
      <w:pPr>
        <w:pStyle w:val="FirstParagraph"/>
      </w:pPr>
      <w:r>
        <w:t xml:space="preserve">Les résultats suivants proviennent d’études très petites, le plus souvent ouvertes, et doivent être compris comme des hypothèses :</w:t>
      </w:r>
    </w:p>
    <w:p>
      <w:pPr>
        <w:numPr>
          <w:ilvl w:val="0"/>
          <w:numId w:val="1265"/>
        </w:numPr>
        <w:pStyle w:val="Compact"/>
      </w:pPr>
      <w:r>
        <w:rPr>
          <w:bCs/>
          <w:b/>
        </w:rPr>
        <w:t xml:space="preserve">Urticaire solaire</w:t>
      </w:r>
      <w:r>
        <w:t xml:space="preserve"> </w:t>
      </w:r>
      <w:r>
        <w:t xml:space="preserve">(urticaire déclenchée par la lumière) : chez 5 personnes, moins de papules après un implant</w:t>
      </w:r>
      <w:r>
        <w:rPr>
          <w:rStyle w:val="FootnoteReference"/>
        </w:rPr>
        <w:footnoteReference w:id="2104"/>
      </w:r>
      <w:r>
        <w:t xml:space="preserve">.</w:t>
      </w:r>
    </w:p>
    <w:p>
      <w:pPr>
        <w:numPr>
          <w:ilvl w:val="0"/>
          <w:numId w:val="1265"/>
        </w:numPr>
        <w:pStyle w:val="Compact"/>
      </w:pPr>
      <w:r>
        <w:rPr>
          <w:bCs/>
          <w:b/>
        </w:rPr>
        <w:t xml:space="preserve">Acné :</w:t>
      </w:r>
      <w:r>
        <w:t xml:space="preserve"> </w:t>
      </w:r>
      <w:r>
        <w:t xml:space="preserve">chez 3 personnes, moins de lésions inflammatoires</w:t>
      </w:r>
      <w:r>
        <w:rPr>
          <w:rStyle w:val="FootnoteReference"/>
        </w:rPr>
        <w:footnoteReference w:id="2105"/>
      </w:r>
      <w:r>
        <w:t xml:space="preserve">.</w:t>
      </w:r>
    </w:p>
    <w:p>
      <w:pPr>
        <w:numPr>
          <w:ilvl w:val="0"/>
          <w:numId w:val="1265"/>
        </w:numPr>
        <w:pStyle w:val="Compact"/>
      </w:pPr>
      <w:r>
        <w:rPr>
          <w:bCs/>
          <w:b/>
        </w:rPr>
        <w:t xml:space="preserve">Maladie de Hailey-Hailey</w:t>
      </w:r>
      <w:r>
        <w:t xml:space="preserve"> </w:t>
      </w:r>
      <w:r>
        <w:t xml:space="preserve">(maladie bulleuse héréditaire) : guérison des lésions cutanées chez 2 personnes</w:t>
      </w:r>
      <w:r>
        <w:rPr>
          <w:rStyle w:val="FootnoteReference"/>
        </w:rPr>
        <w:footnoteReference w:id="2106"/>
      </w:r>
      <w:r>
        <w:t xml:space="preserve">.</w:t>
      </w:r>
    </w:p>
    <w:p>
      <w:pPr>
        <w:numPr>
          <w:ilvl w:val="0"/>
          <w:numId w:val="1265"/>
        </w:numPr>
        <w:pStyle w:val="Compact"/>
      </w:pPr>
      <w:r>
        <w:rPr>
          <w:bCs/>
          <w:b/>
        </w:rPr>
        <w:t xml:space="preserve">Accident vasculaire cérébral :</w:t>
      </w:r>
      <w:r>
        <w:t xml:space="preserve"> </w:t>
      </w:r>
      <w:r>
        <w:t xml:space="preserve">dans une étude de faisabilité ouverte portant sur 6 personnes, l’administration était réalisable ; une personne est décédée d’un nouvel AVC que les chercheurs n’ont pas attribué au produit</w:t>
      </w:r>
      <w:r>
        <w:rPr>
          <w:rStyle w:val="FootnoteReference"/>
        </w:rPr>
        <w:footnoteReference w:id="2107"/>
      </w:r>
      <w:r>
        <w:t xml:space="preserve">.</w:t>
      </w:r>
    </w:p>
    <w:p>
      <w:pPr>
        <w:numPr>
          <w:ilvl w:val="0"/>
          <w:numId w:val="1265"/>
        </w:numPr>
        <w:pStyle w:val="Compact"/>
      </w:pPr>
      <w:r>
        <w:rPr>
          <w:bCs/>
          <w:b/>
        </w:rPr>
        <w:t xml:space="preserve">Peau saine :</w:t>
      </w:r>
      <w:r>
        <w:t xml:space="preserve"> </w:t>
      </w:r>
      <w:r>
        <w:t xml:space="preserve">chez 9 volontaires en bonne santé, la rougeur cutanée après irradiation UV était moins marquée six jours après l’implant</w:t>
      </w:r>
      <w:r>
        <w:rPr>
          <w:rStyle w:val="FootnoteReference"/>
        </w:rPr>
        <w:footnoteReference w:id="2108"/>
      </w:r>
      <w:r>
        <w:t xml:space="preserve">.</w:t>
      </w:r>
    </w:p>
    <w:bookmarkEnd w:id="2109"/>
    <w:bookmarkEnd w:id="2110"/>
    <w:bookmarkStart w:id="2113" w:name="études-animales-et-de-laboratoire-48"/>
    <w:p>
      <w:pPr>
        <w:pStyle w:val="Heading3"/>
      </w:pPr>
      <w:r>
        <w:t xml:space="preserve">Études animales et de laboratoire</w:t>
      </w:r>
    </w:p>
    <w:p>
      <w:pPr>
        <w:pStyle w:val="FirstParagraph"/>
      </w:pPr>
      <w:r>
        <w:t xml:space="preserve">En culture cellulaire, l’afamélanotide a des effets antioxydants. Dans des cellules cutanées de personnes atteintes de la maladie de Hailey-Hailey, il a activé le facteur protecteur Nrf2 et rétabli en partie la division cellulaire perturbée</w:t>
      </w:r>
      <w:r>
        <w:rPr>
          <w:rStyle w:val="FootnoteReference"/>
        </w:rPr>
        <w:footnoteReference w:id="2111"/>
      </w:r>
      <w:r>
        <w:t xml:space="preserve">. Les études sur la stabilité et les produits de dégradation du principe actif concernent la qualité pharmaceutique</w:t>
      </w:r>
      <w:r>
        <w:rPr>
          <w:rStyle w:val="FootnoteReference"/>
        </w:rPr>
        <w:footnoteReference w:id="2112"/>
      </w:r>
      <w:r>
        <w:t xml:space="preserve">. Pour l’évaluation chez l’humain, les données animales jouent aujourd’hui un rôle secondaire, car les données cliniques sont plus probantes.</w:t>
      </w:r>
    </w:p>
    <w:bookmarkEnd w:id="2113"/>
    <w:bookmarkStart w:id="2124" w:name="risques-et-effets-indésirables-48"/>
    <w:p>
      <w:pPr>
        <w:pStyle w:val="Heading3"/>
      </w:pPr>
      <w:r>
        <w:t xml:space="preserve">Risques et effets indésirables</w:t>
      </w:r>
    </w:p>
    <w:bookmarkStart w:id="2118" w:name="établis-1"/>
    <w:p>
      <w:pPr>
        <w:pStyle w:val="Heading4"/>
      </w:pPr>
      <w:r>
        <w:t xml:space="preserve">Établis</w:t>
      </w:r>
    </w:p>
    <w:p>
      <w:pPr>
        <w:numPr>
          <w:ilvl w:val="0"/>
          <w:numId w:val="1266"/>
        </w:numPr>
        <w:pStyle w:val="Compact"/>
      </w:pPr>
      <w:r>
        <w:rPr>
          <w:bCs/>
          <w:b/>
        </w:rPr>
        <w:t xml:space="preserve">Effets indésirables fréquents, le plus souvent légers :</w:t>
      </w:r>
      <w:r>
        <w:t xml:space="preserve"> </w:t>
      </w:r>
      <w:r>
        <w:t xml:space="preserve">nausées, maux de tête, fatigue et réactions au site d’insertion de l’implant</w:t>
      </w:r>
      <w:r>
        <w:rPr>
          <w:rStyle w:val="FootnoteReference"/>
        </w:rPr>
        <w:footnoteReference w:id="2114"/>
      </w:r>
      <w:r>
        <w:t xml:space="preserve">. Dans les études d’autorisation, aucun événement indésirable grave n’a été attribué au principe actif.</w:t>
      </w:r>
    </w:p>
    <w:p>
      <w:pPr>
        <w:numPr>
          <w:ilvl w:val="0"/>
          <w:numId w:val="1266"/>
        </w:numPr>
        <w:pStyle w:val="Compact"/>
      </w:pPr>
      <w:r>
        <w:rPr>
          <w:bCs/>
          <w:b/>
        </w:rPr>
        <w:t xml:space="preserve">Peau plus foncée et grains de beauté :</w:t>
      </w:r>
      <w:r>
        <w:t xml:space="preserve"> </w:t>
      </w:r>
      <w:r>
        <w:t xml:space="preserve">le bronzage est l’effet recherché. Les grains de beauté et les taches de rousseur foncent aussi. Dans une étude portant sur 15 personnes et 103 grains de beauté, la dermoscopie a montré des modifications transitoires, qui avaient régressé au bout d’un an ; aucun nouveau grain de beauté ni signe de malignité n’est apparu</w:t>
      </w:r>
      <w:r>
        <w:rPr>
          <w:rStyle w:val="FootnoteReference"/>
        </w:rPr>
        <w:footnoteReference w:id="2115"/>
      </w:r>
      <w:r>
        <w:t xml:space="preserve">. Le résumé des caractéristiques du produit prévoit des examens cutanés réguliers.</w:t>
      </w:r>
    </w:p>
    <w:p>
      <w:pPr>
        <w:numPr>
          <w:ilvl w:val="0"/>
          <w:numId w:val="1266"/>
        </w:numPr>
        <w:pStyle w:val="Compact"/>
      </w:pPr>
      <w:r>
        <w:rPr>
          <w:bCs/>
          <w:b/>
        </w:rPr>
        <w:t xml:space="preserve">Des modifications pigmentaires de la muqueuse buccale</w:t>
      </w:r>
      <w:r>
        <w:t xml:space="preserve"> </w:t>
      </w:r>
      <w:r>
        <w:t xml:space="preserve">ont été décrites (de Baat 2020, PMID 32459219 ; cette revue mélange toutefois des observations concernant l’implant autorisé et d’autres concernant le Melanotan du marché gris), de même qu’un cas de dépigmentation apparente en présence d’une dermatite atopique</w:t>
      </w:r>
      <w:r>
        <w:rPr>
          <w:rStyle w:val="FootnoteReference"/>
        </w:rPr>
        <w:footnoteReference w:id="2116"/>
      </w:r>
      <w:r>
        <w:t xml:space="preserve">.</w:t>
      </w:r>
    </w:p>
    <w:p>
      <w:pPr>
        <w:numPr>
          <w:ilvl w:val="0"/>
          <w:numId w:val="1266"/>
        </w:numPr>
        <w:pStyle w:val="Compact"/>
      </w:pPr>
      <w:r>
        <w:rPr>
          <w:bCs/>
          <w:b/>
        </w:rPr>
        <w:t xml:space="preserve">Aucun effet sur la vitamine D :</w:t>
      </w:r>
      <w:r>
        <w:t xml:space="preserve"> </w:t>
      </w:r>
      <w:r>
        <w:t xml:space="preserve">voir plus haut</w:t>
      </w:r>
      <w:r>
        <w:rPr>
          <w:rStyle w:val="FootnoteReference"/>
        </w:rPr>
        <w:footnoteReference w:id="2117"/>
      </w:r>
      <w:r>
        <w:t xml:space="preserve">.</w:t>
      </w:r>
    </w:p>
    <w:bookmarkEnd w:id="2118"/>
    <w:bookmarkStart w:id="2121" w:name="incertains-1"/>
    <w:p>
      <w:pPr>
        <w:pStyle w:val="Heading4"/>
      </w:pPr>
      <w:r>
        <w:t xml:space="preserve">Incertains</w:t>
      </w:r>
    </w:p>
    <w:p>
      <w:pPr>
        <w:pStyle w:val="FirstParagraph"/>
      </w:pPr>
      <w:r>
        <w:t xml:space="preserve">Les données sur la grossesse font largement défaut ; en pratique, le traitement est suspendu. L’afamélanotide n’est pas autorisé chez les enfants et les adolescents</w:t>
      </w:r>
      <w:r>
        <w:rPr>
          <w:rStyle w:val="FootnoteReference"/>
        </w:rPr>
        <w:footnoteReference w:id="2119"/>
      </w:r>
      <w:r>
        <w:t xml:space="preserve">, bien que la PPE débute le plus souvent dans la petite enfance. Quelques traitements d’enfants hors autorisation ont été publiés sous forme de cas rapportés</w:t>
      </w:r>
      <w:r>
        <w:rPr>
          <w:rStyle w:val="FootnoteReference"/>
        </w:rPr>
        <w:footnoteReference w:id="2120"/>
      </w:r>
      <w:r>
        <w:t xml:space="preserve">. Les durées d’observation actuelles ne permettent pas de dire de façon définitive si la stimulation des cellules pigmentaires pendant des décennies influence le risque de cancer de la peau.</w:t>
      </w:r>
    </w:p>
    <w:bookmarkEnd w:id="2121"/>
    <w:bookmarkStart w:id="2123" w:name="distinction-avec-le-marché-gris"/>
    <w:p>
      <w:pPr>
        <w:pStyle w:val="Heading4"/>
      </w:pPr>
      <w:r>
        <w:t xml:space="preserve">Distinction avec le marché gris</w:t>
      </w:r>
    </w:p>
    <w:p>
      <w:pPr>
        <w:pStyle w:val="FirstParagraph"/>
      </w:pPr>
      <w:r>
        <w:t xml:space="preserve">Sur Internet, le « Melanotan I » est proposé comme produit bronzant. Ces produits n’ont en commun avec l’implant autorisé que le nom du principe actif : ils sont vendus sous forme de poudre pour auto-injection, leur pureté et leur teneur ne sont pas contrôlées, et il n’y a aucun suivi médical de la peau. Les données de sécurité issues du traitement de la PPE ne peuvent pas leur être transposées</w:t>
      </w:r>
      <w:r>
        <w:rPr>
          <w:rStyle w:val="FootnoteReference"/>
        </w:rPr>
        <w:footnoteReference w:id="2122"/>
      </w:r>
      <w:r>
        <w:t xml:space="preserve">.</w:t>
      </w:r>
    </w:p>
    <w:bookmarkEnd w:id="2123"/>
    <w:bookmarkEnd w:id="2124"/>
    <w:bookmarkStart w:id="2128" w:name="statut-juridique-48"/>
    <w:p>
      <w:pPr>
        <w:pStyle w:val="Heading3"/>
      </w:pPr>
      <w:r>
        <w:t xml:space="preserve">Statut juridique</w:t>
      </w:r>
    </w:p>
    <w:p>
      <w:pPr>
        <w:pStyle w:val="FirstParagraph"/>
      </w:pPr>
      <w:r>
        <w:rPr>
          <w:iCs/>
          <w:i/>
        </w:rPr>
        <w:t xml:space="preserve">État 2026, à vérifier.</w:t>
      </w:r>
    </w:p>
    <w:p>
      <w:pPr>
        <w:numPr>
          <w:ilvl w:val="0"/>
          <w:numId w:val="1267"/>
        </w:numPr>
        <w:pStyle w:val="Compact"/>
      </w:pPr>
      <w:r>
        <w:rPr>
          <w:bCs/>
          <w:b/>
        </w:rPr>
        <w:t xml:space="preserve">UE :</w:t>
      </w:r>
      <w:r>
        <w:t xml:space="preserve"> </w:t>
      </w:r>
      <w:r>
        <w:t xml:space="preserve">autorisé par procédure centralisée depuis 2014 comme médicament orphelin (Scenesse) pour les adultes atteints de PPE. Le traitement a lieu dans des centres spécialisés ; une étude de sécurité et un registre européen font partie des conditions</w:t>
      </w:r>
      <w:r>
        <w:rPr>
          <w:rStyle w:val="FootnoteReference"/>
        </w:rPr>
        <w:footnoteReference w:id="2125"/>
      </w:r>
      <w:r>
        <w:t xml:space="preserve">.</w:t>
      </w:r>
    </w:p>
    <w:p>
      <w:pPr>
        <w:numPr>
          <w:ilvl w:val="0"/>
          <w:numId w:val="1267"/>
        </w:numPr>
        <w:pStyle w:val="Compact"/>
      </w:pPr>
      <w:r>
        <w:rPr>
          <w:bCs/>
          <w:b/>
        </w:rPr>
        <w:t xml:space="preserve">Allemagne et Autriche :</w:t>
      </w:r>
      <w:r>
        <w:t xml:space="preserve"> </w:t>
      </w:r>
      <w:r>
        <w:t xml:space="preserve">disponible dans des centres spécialisés dans les porphyries et des cliniques dermatologiques ; la prise en charge des coûts doit être clarifiée au cas par cas. Des cohortes de traitement ont été publiées dans les deux pays</w:t>
      </w:r>
      <w:r>
        <w:rPr>
          <w:rStyle w:val="FootnoteReference"/>
        </w:rPr>
        <w:footnoteReference w:id="2126"/>
      </w:r>
      <w:r>
        <w:t xml:space="preserve">.</w:t>
      </w:r>
    </w:p>
    <w:p>
      <w:pPr>
        <w:numPr>
          <w:ilvl w:val="0"/>
          <w:numId w:val="1267"/>
        </w:numPr>
        <w:pStyle w:val="Compact"/>
      </w:pPr>
      <w:r>
        <w:rPr>
          <w:bCs/>
          <w:b/>
        </w:rPr>
        <w:t xml:space="preserve">États-Unis :</w:t>
      </w:r>
      <w:r>
        <w:t xml:space="preserve"> </w:t>
      </w:r>
      <w:r>
        <w:t xml:space="preserve">autorisé depuis 2019 pour les adultes atteints de PPE présentant des réactions phototoxiques.</w:t>
      </w:r>
    </w:p>
    <w:p>
      <w:pPr>
        <w:numPr>
          <w:ilvl w:val="0"/>
          <w:numId w:val="1267"/>
        </w:numPr>
        <w:pStyle w:val="Compact"/>
      </w:pPr>
      <w:r>
        <w:rPr>
          <w:bCs/>
          <w:b/>
        </w:rPr>
        <w:t xml:space="preserve">Coûts :</w:t>
      </w:r>
      <w:r>
        <w:t xml:space="preserve"> </w:t>
      </w:r>
      <w:r>
        <w:t xml:space="preserve">l’afamélanotide fait partie des médicaments coûteux destinés aux maladies rares. En Angleterre, l’autorité d’évaluation NICE a refusé son financement – c’est à ce jour la seule thérapie refusée dans son programme consacré aux maladies très rares. Les représentants des patients critiquent le calcul utilisé à cette occasion</w:t>
      </w:r>
      <w:r>
        <w:rPr>
          <w:rStyle w:val="FootnoteReference"/>
        </w:rPr>
        <w:footnoteReference w:id="2127"/>
      </w:r>
      <w:r>
        <w:t xml:space="preserve">.</w:t>
      </w:r>
    </w:p>
    <w:p>
      <w:pPr>
        <w:numPr>
          <w:ilvl w:val="0"/>
          <w:numId w:val="1267"/>
        </w:numPr>
        <w:pStyle w:val="Compact"/>
      </w:pPr>
      <w:r>
        <w:rPr>
          <w:bCs/>
          <w:b/>
        </w:rPr>
        <w:t xml:space="preserve">AMA (WADA) :</w:t>
      </w:r>
      <w:r>
        <w:t xml:space="preserve"> </w:t>
      </w:r>
      <w:r>
        <w:t xml:space="preserve">pas listé.</w:t>
      </w:r>
    </w:p>
    <w:bookmarkEnd w:id="2128"/>
    <w:bookmarkStart w:id="2134" w:name="études-en-cours-et-perspectives-48"/>
    <w:p>
      <w:pPr>
        <w:pStyle w:val="Heading3"/>
      </w:pPr>
      <w:r>
        <w:t xml:space="preserve">Études en cours et perspectives</w:t>
      </w:r>
    </w:p>
    <w:p>
      <w:pPr>
        <w:pStyle w:val="FirstParagraph"/>
      </w:pPr>
      <w:r>
        <w:rPr>
          <w:bCs/>
          <w:b/>
        </w:rPr>
        <w:t xml:space="preserve">Établi (études enregistrées) :</w:t>
      </w:r>
    </w:p>
    <w:p>
      <w:pPr>
        <w:numPr>
          <w:ilvl w:val="0"/>
          <w:numId w:val="1268"/>
        </w:numPr>
        <w:pStyle w:val="Compact"/>
      </w:pPr>
      <w:r>
        <w:rPr>
          <w:bCs/>
          <w:b/>
        </w:rPr>
        <w:t xml:space="preserve">Vitiligo, phase 3 :</w:t>
      </w:r>
      <w:r>
        <w:t xml:space="preserve"> </w:t>
      </w:r>
      <w:r>
        <w:t xml:space="preserve">une étude portant sur 200 personnes compare l’afamélanotide associé aux UVB à spectre étroit à la photothérapie seule</w:t>
      </w:r>
      <w:r>
        <w:rPr>
          <w:rStyle w:val="FootnoteReference"/>
        </w:rPr>
        <w:footnoteReference w:id="2129"/>
      </w:r>
      <w:r>
        <w:t xml:space="preserve">. La fin prévue était en juin 2026 ; à la date de clôture de la rédaction, aucun résultat évalué par les pairs n’avait été publié dans PubMed. Une petite étude sur le vitiligo du visage</w:t>
      </w:r>
      <w:r>
        <w:rPr>
          <w:rStyle w:val="FootnoteReference"/>
        </w:rPr>
        <w:footnoteReference w:id="2130"/>
      </w:r>
      <w:r>
        <w:t xml:space="preserve"> </w:t>
      </w:r>
      <w:r>
        <w:t xml:space="preserve">est enregistrée.</w:t>
      </w:r>
    </w:p>
    <w:p>
      <w:pPr>
        <w:numPr>
          <w:ilvl w:val="0"/>
          <w:numId w:val="1268"/>
        </w:numPr>
        <w:pStyle w:val="Compact"/>
      </w:pPr>
      <w:r>
        <w:rPr>
          <w:bCs/>
          <w:b/>
        </w:rPr>
        <w:t xml:space="preserve">Autres photodermatoses rares :</w:t>
      </w:r>
      <w:r>
        <w:t xml:space="preserve"> </w:t>
      </w:r>
      <w:r>
        <w:t xml:space="preserve">petites études de phase 2 sur la porphyrie variegata (NCT05854784, terminée) et sur le xeroderma pigmentosum, une maladie héréditaire avec une réparation défaillante des lésions dues aux UV</w:t>
      </w:r>
      <w:r>
        <w:rPr>
          <w:rStyle w:val="FootnoteReference"/>
        </w:rPr>
        <w:footnoteReference w:id="2131"/>
      </w:r>
      <w:r>
        <w:t xml:space="preserve">.</w:t>
      </w:r>
    </w:p>
    <w:p>
      <w:pPr>
        <w:numPr>
          <w:ilvl w:val="0"/>
          <w:numId w:val="1268"/>
        </w:numPr>
        <w:pStyle w:val="Compact"/>
      </w:pPr>
      <w:r>
        <w:rPr>
          <w:bCs/>
          <w:b/>
        </w:rPr>
        <w:t xml:space="preserve">Pharmacologie :</w:t>
      </w:r>
      <w:r>
        <w:t xml:space="preserve"> </w:t>
      </w:r>
      <w:r>
        <w:t xml:space="preserve">une étude de pharmacocinétique dans la PPE portant sur 28 personnes est terminée</w:t>
      </w:r>
      <w:r>
        <w:rPr>
          <w:rStyle w:val="FootnoteReference"/>
        </w:rPr>
        <w:footnoteReference w:id="2132"/>
      </w:r>
      <w:r>
        <w:t xml:space="preserve">.</w:t>
      </w:r>
    </w:p>
    <w:p>
      <w:pPr>
        <w:pStyle w:val="FirstParagraph"/>
      </w:pPr>
      <w:r>
        <w:rPr>
          <w:bCs/>
          <w:b/>
        </w:rPr>
        <w:t xml:space="preserve">Nouvelle concurrence :</w:t>
      </w:r>
      <w:r>
        <w:t xml:space="preserve"> </w:t>
      </w:r>
      <w:r>
        <w:t xml:space="preserve">deux comprimés sont en développement pour la PPE : le dersimélagon, un agoniste non peptidique du MC1R, et le bitopertin, qui agit sur la synthèse du pigment rouge du sang. Tous deux ont montré des effets par rapport au placebo dans des études ; les comparaisons avec l’afamélanotide manquent encore</w:t>
      </w:r>
      <w:r>
        <w:rPr>
          <w:rStyle w:val="FootnoteReference"/>
        </w:rPr>
        <w:footnoteReference w:id="2133"/>
      </w:r>
      <w:r>
        <w:t xml:space="preserve">.</w:t>
      </w:r>
    </w:p>
    <w:p>
      <w:pPr>
        <w:pStyle w:val="BodyText"/>
      </w:pPr>
      <w:r>
        <w:rPr>
          <w:bCs/>
          <w:b/>
        </w:rPr>
        <w:t xml:space="preserve">Appréciation de l’auteur :</w:t>
      </w:r>
      <w:r>
        <w:t xml:space="preserve"> </w:t>
      </w:r>
      <w:r>
        <w:t xml:space="preserve">l’afamélanotide restera pour l’instant la référence dans la PPE. Son rôle éventuel dans le vitiligo dépend du résultat de l’étude de phase 3 ; l’association avec la photothérapie est contraignante, et il existe désormais d’autres options avec les crèmes à base d’inhibiteurs de JAK. Une autorisation pour les adolescents serait particulièrement importante dans la PPE, car la maladie débute dans l’enfance.</w:t>
      </w:r>
    </w:p>
    <w:bookmarkEnd w:id="2134"/>
    <w:bookmarkStart w:id="2135" w:name="conclusion-48"/>
    <w:p>
      <w:pPr>
        <w:pStyle w:val="Heading3"/>
      </w:pPr>
      <w:r>
        <w:t xml:space="preserve">Conclusion</w:t>
      </w:r>
    </w:p>
    <w:p>
      <w:pPr>
        <w:pStyle w:val="FirstParagraph"/>
      </w:pPr>
      <w:r>
        <w:t xml:space="preserve">L’afamélanotide est le peptide le mieux étudié et le seul autorisé dans l’UE qui stimule le bronzage de la peau par le système des mélanocortines. Chez les adultes atteints de protoporphyrie érythropoïétique, il a allongé, dans deux études randomisées, le temps passé au soleil sans douleur et amélioré la qualité de vie ; des cohortes à long terme de plusieurs pays montrent des taux de poursuite élevés et des effets indésirables le plus souvent légers. Dans le vitiligo, il a accéléré la repigmentation sous photothérapie dans une étude randomisée ; les résultats de phase 3 sont attendus. L’implant contrôlé, posé en consultation spécialisée, n’a pratiquement rien en commun avec le « Melanotan I » du marché gris destiné au bronzage cosmétique.</w:t>
      </w:r>
    </w:p>
    <w:bookmarkEnd w:id="2135"/>
    <w:bookmarkEnd w:id="2136"/>
    <w:bookmarkStart w:id="2195" w:name="kisspeptine"/>
    <w:p>
      <w:pPr>
        <w:pStyle w:val="Heading2"/>
      </w:pPr>
      <w:r>
        <w:t xml:space="preserve">Kisspeptine</w:t>
      </w:r>
    </w:p>
    <w:bookmarkStart w:id="2139" w:name="fiche-signalétique-49"/>
    <w:p>
      <w:pPr>
        <w:pStyle w:val="Heading3"/>
      </w:pPr>
      <w:r>
        <w:t xml:space="preserve">Fiche signalétique</w:t>
      </w:r>
    </w:p>
    <w:p>
      <w:pPr>
        <w:numPr>
          <w:ilvl w:val="0"/>
          <w:numId w:val="1269"/>
        </w:numPr>
        <w:pStyle w:val="Compact"/>
      </w:pPr>
      <w:r>
        <w:rPr>
          <w:bCs/>
          <w:b/>
        </w:rPr>
        <w:t xml:space="preserve">Type/structure :</w:t>
      </w:r>
      <w:r>
        <w:t xml:space="preserve"> </w:t>
      </w:r>
      <w:r>
        <w:t xml:space="preserve">famille de peptides endogènes. Le gène KISS1 code une protéine précurseur dont dérivent des fragments de longueurs différentes : kisspeptine-54 (54 acides aminés, la forme prédominante dans le sang), kisspeptine-14, -13 et -10. La forme la plus courte, la kisspeptine-10, contient déjà la partie pleinement active. Les études utilisent les formes naturelles ainsi que des dérivés synthétiques plus stables (par exemple MVT-602 et TAK-448).</w:t>
      </w:r>
    </w:p>
    <w:p>
      <w:pPr>
        <w:numPr>
          <w:ilvl w:val="0"/>
          <w:numId w:val="1269"/>
        </w:numPr>
        <w:pStyle w:val="Compact"/>
      </w:pPr>
      <w:r>
        <w:rPr>
          <w:bCs/>
          <w:b/>
        </w:rPr>
        <w:t xml:space="preserve">Origine :</w:t>
      </w:r>
      <w:r>
        <w:t xml:space="preserve"> </w:t>
      </w:r>
      <w:r>
        <w:t xml:space="preserve">découverte en 1996, d’abord comme gène freinant la formation de métastases des cellules de mélanome</w:t>
      </w:r>
      <w:r>
        <w:rPr>
          <w:rStyle w:val="FootnoteReference"/>
        </w:rPr>
        <w:footnoteReference w:id="2137"/>
      </w:r>
      <w:r>
        <w:t xml:space="preserve">. Le nom vient de la ville de Hershey, en Pennsylvanie, berceau des chocolats « Kisses ». En 2001, le peptide a été identifié comme messager d’un récepteur jusque-là « orphelin » et d’abord appelé métastine</w:t>
      </w:r>
      <w:r>
        <w:rPr>
          <w:rStyle w:val="FootnoteReference"/>
        </w:rPr>
        <w:footnoteReference w:id="2138"/>
      </w:r>
      <w:r>
        <w:t xml:space="preserve">.</w:t>
      </w:r>
    </w:p>
    <w:p>
      <w:pPr>
        <w:numPr>
          <w:ilvl w:val="0"/>
          <w:numId w:val="1269"/>
        </w:numPr>
        <w:pStyle w:val="Compact"/>
      </w:pPr>
      <w:r>
        <w:rPr>
          <w:bCs/>
          <w:b/>
        </w:rPr>
        <w:t xml:space="preserve">Principe d’action :</w:t>
      </w:r>
      <w:r>
        <w:t xml:space="preserve"> </w:t>
      </w:r>
      <w:r>
        <w:t xml:space="preserve">agoniste du récepteur de la kisspeptine (KISS1R, anciennement GPR54) situé sur les neurones à GnRH de l’hypothalamus. La kisspeptine est le principal déclencheur connu de la libération de GnRH et donc de tout l’axe hormonal de la reproduction.</w:t>
      </w:r>
    </w:p>
    <w:p>
      <w:pPr>
        <w:numPr>
          <w:ilvl w:val="0"/>
          <w:numId w:val="1269"/>
        </w:numPr>
        <w:pStyle w:val="Compact"/>
      </w:pPr>
      <w:r>
        <w:rPr>
          <w:bCs/>
          <w:b/>
        </w:rPr>
        <w:t xml:space="preserve">Autorisation UE :</w:t>
      </w:r>
      <w:r>
        <w:t xml:space="preserve"> </w:t>
      </w:r>
      <w:r>
        <w:t xml:space="preserve">non.</w:t>
      </w:r>
    </w:p>
    <w:p>
      <w:pPr>
        <w:numPr>
          <w:ilvl w:val="0"/>
          <w:numId w:val="1269"/>
        </w:numPr>
        <w:pStyle w:val="Compact"/>
      </w:pPr>
      <w:r>
        <w:rPr>
          <w:bCs/>
          <w:b/>
        </w:rPr>
        <w:t xml:space="preserve">Autorisation États-Unis :</w:t>
      </w:r>
      <w:r>
        <w:t xml:space="preserve"> </w:t>
      </w:r>
      <w:r>
        <w:t xml:space="preserve">non.</w:t>
      </w:r>
    </w:p>
    <w:p>
      <w:pPr>
        <w:numPr>
          <w:ilvl w:val="0"/>
          <w:numId w:val="1269"/>
        </w:numPr>
        <w:pStyle w:val="Compact"/>
      </w:pPr>
      <w:r>
        <w:rPr>
          <w:bCs/>
          <w:b/>
        </w:rPr>
        <w:t xml:space="preserve">AMA (WADA) :</w:t>
      </w:r>
      <w:r>
        <w:t xml:space="preserve"> </w:t>
      </w:r>
      <w:r>
        <w:t xml:space="preserve">pas mentionnée nommément. En tant que principe actif non autorisé, la kisspeptine relève de S0 ; chez les hommes, le groupe S2 couvre en outre les facteurs de libération de l’hormone lutéinisante.</w:t>
      </w:r>
    </w:p>
    <w:p>
      <w:pPr>
        <w:numPr>
          <w:ilvl w:val="0"/>
          <w:numId w:val="1269"/>
        </w:numPr>
        <w:pStyle w:val="Compact"/>
      </w:pPr>
      <w:r>
        <w:rPr>
          <w:bCs/>
          <w:b/>
        </w:rPr>
        <w:t xml:space="preserve">Niveau de preuve :</w:t>
      </w:r>
      <w:r>
        <w:t xml:space="preserve"> </w:t>
      </w:r>
      <w:r>
        <w:rPr>
          <w:bCs/>
          <w:b/>
        </w:rPr>
        <w:t xml:space="preserve">B</w:t>
      </w:r>
      <w:r>
        <w:t xml:space="preserve"> </w:t>
      </w:r>
      <w:r>
        <w:t xml:space="preserve">– nombreuses petites études, en partie randomisées, et plusieurs études randomisées de phase 2, principalement à Londres et à Boston. Aucune étude de phase 3, aucune autorisation.</w:t>
      </w:r>
    </w:p>
    <w:bookmarkEnd w:id="2139"/>
    <w:bookmarkStart w:id="2141" w:name="mode-daction-supposé-49"/>
    <w:p>
      <w:pPr>
        <w:pStyle w:val="Heading3"/>
      </w:pPr>
      <w:r>
        <w:t xml:space="preserve">Mode d’action supposé</w:t>
      </w:r>
    </w:p>
    <w:p>
      <w:pPr>
        <w:pStyle w:val="FirstParagraph"/>
      </w:pPr>
      <w:r>
        <w:t xml:space="preserve">La reproduction humaine est pilotée par une chaîne d’hormones. Tout en haut se trouve la GnRH (gonadolibérine, Gonadotropin-Releasing-Hormone), produite par l’hypothalamus et sécrétée par pulses. Elle amène l’hypophyse à libérer les hormones LH (hormone lutéinisante) et FSH (hormone folliculo-stimulante). Celles-ci pilotent à leur tour les ovaires et les testicules : maturation des ovocytes et ovulation, production des spermatozoïdes, production d’œstrogènes et de testostérone. Le chapitre sur la gonadoréline (2E06) décrit cet axe plus en détail.</w:t>
      </w:r>
    </w:p>
    <w:p>
      <w:pPr>
        <w:pStyle w:val="BodyText"/>
      </w:pPr>
      <w:r>
        <w:t xml:space="preserve">La kisspeptine se situe un échelon au-dessus de la GnRH. Des neurones spécialisés de l’hypothalamus la sécrètent et « allument » ainsi les cellules à GnRH. L’importance centrale de cette fonction est apparue en 2003 : les personnes porteuses d’un récepteur de la kisspeptine défectueux n’entrent pas en puberté et restent infertiles</w:t>
      </w:r>
      <w:r>
        <w:rPr>
          <w:rStyle w:val="FootnoteReference"/>
        </w:rPr>
        <w:footnoteReference w:id="2140"/>
      </w:r>
      <w:r>
        <w:t xml:space="preserve">.</w:t>
      </w:r>
    </w:p>
    <w:p>
      <w:pPr>
        <w:pStyle w:val="BodyText"/>
      </w:pPr>
      <w:r>
        <w:t xml:space="preserve">Pour la médecine, la kisspeptine est intéressante pour deux raisons :</w:t>
      </w:r>
    </w:p>
    <w:p>
      <w:pPr>
        <w:numPr>
          <w:ilvl w:val="0"/>
          <w:numId w:val="1270"/>
        </w:numPr>
        <w:pStyle w:val="Compact"/>
      </w:pPr>
      <w:r>
        <w:rPr>
          <w:bCs/>
          <w:b/>
        </w:rPr>
        <w:t xml:space="preserve">Elle agit « par le haut ».</w:t>
      </w:r>
      <w:r>
        <w:t xml:space="preserve"> </w:t>
      </w:r>
      <w:r>
        <w:t xml:space="preserve">Contrairement aux médicaments qui remplacent directement la LH ou la FSH, la kisspeptine stimule la sécrétion endogène de GnRH. La libération hormonale qui s’ensuit reste soumise aux rétrocontrôles naturels. Cela rend une hyperstimulation des ovaires moins probable.</w:t>
      </w:r>
    </w:p>
    <w:p>
      <w:pPr>
        <w:numPr>
          <w:ilvl w:val="0"/>
          <w:numId w:val="1270"/>
        </w:numPr>
        <w:pStyle w:val="Compact"/>
      </w:pPr>
      <w:r>
        <w:rPr>
          <w:bCs/>
          <w:b/>
        </w:rPr>
        <w:t xml:space="preserve">Brièvement, elle stimule ; durablement, elle freine.</w:t>
      </w:r>
      <w:r>
        <w:t xml:space="preserve"> </w:t>
      </w:r>
      <w:r>
        <w:t xml:space="preserve">En administration continue, les récepteurs s’habituent au signal (tachyphylaxie) et l’axe hormonal ralentit. C’est un problème lorsqu’on veut favoriser la fertilité – et une opportunité lorsqu’on veut abaisser les hormones, par exemple dans le cancer de la prostate.</w:t>
      </w:r>
    </w:p>
    <w:p>
      <w:pPr>
        <w:pStyle w:val="FirstParagraph"/>
      </w:pPr>
      <w:r>
        <w:t xml:space="preserve">On trouve aussi des récepteurs de la kisspeptine dans les régions cérébrales qui traitent les émotions et les stimuli sexuels. D’où l’idée que la kisspeptine pourrait influencer le désir sexuel.</w:t>
      </w:r>
    </w:p>
    <w:bookmarkEnd w:id="2141"/>
    <w:bookmarkStart w:id="2176" w:name="études-chez-lhumain-49"/>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a trouvé</w:t>
      </w:r>
      <w:r>
        <w:t xml:space="preserve"> </w:t>
      </w:r>
      <w:r>
        <w:rPr>
          <w:bCs/>
          <w:b/>
        </w:rPr>
        <w:t xml:space="preserve">37</w:t>
      </w:r>
      <w:r>
        <w:t xml:space="preserve"> </w:t>
      </w:r>
      <w:r>
        <w:t xml:space="preserve">études chez l’humain dans PubMed (</w:t>
      </w:r>
      <w:r>
        <w:rPr>
          <w:rStyle w:val="VerbatimChar"/>
        </w:rPr>
        <w:t xml:space="preserve">humanstudien_alle</w:t>
      </w:r>
      <w:r>
        <w:t xml:space="preserve">) et</w:t>
      </w:r>
      <w:r>
        <w:t xml:space="preserve"> </w:t>
      </w:r>
      <w:r>
        <w:rPr>
          <w:bCs/>
          <w:b/>
        </w:rPr>
        <w:t xml:space="preserve">36</w:t>
      </w:r>
      <w:r>
        <w:t xml:space="preserve"> </w:t>
      </w:r>
      <w:r>
        <w:t xml:space="preserve">entrées sur ClinicalTrials.gov. Toutes n’administrent pas la kisspeptine comme principe actif : certaines études se contentent de mesurer les taux sanguins de kisspeptine, par exemple pendant la grossesse. L’administration de kisspeptine chez l’humain a été portée par quelques groupes de recherche, principalement à l’Imperial College de Londres et au Massachusetts General Hospital de Boston. La plupart des études comptent moins de 50 participants.</w:t>
      </w:r>
    </w:p>
    <w:bookmarkStart w:id="2146" w:name="premières-administrations-et-bases"/>
    <w:p>
      <w:pPr>
        <w:pStyle w:val="Heading4"/>
      </w:pPr>
      <w:r>
        <w:t xml:space="preserve">Premières administrations et bases</w:t>
      </w:r>
    </w:p>
    <w:p>
      <w:pPr>
        <w:pStyle w:val="FirstParagraph"/>
      </w:pPr>
      <w:r>
        <w:t xml:space="preserve">La première étude chez l’humain a porté en 2005 sur six hommes en bonne santé. Une perfusion de 90 minutes de kisspeptine-54 a augmenté significativement la LH, la FSH et la testostérone par rapport au sérum physiologique</w:t>
      </w:r>
      <w:r>
        <w:rPr>
          <w:rStyle w:val="FootnoteReference"/>
        </w:rPr>
        <w:footnoteReference w:id="2142"/>
      </w:r>
      <w:r>
        <w:t xml:space="preserve">. La demi-vie dans le sang était d’un peu moins de 28 minutes. Chez la femme, l’effet dépend fortement de la phase du cycle et est le plus marqué peu avant l’ovulation</w:t>
      </w:r>
      <w:r>
        <w:rPr>
          <w:rStyle w:val="FootnoteReference"/>
        </w:rPr>
        <w:footnoteReference w:id="2143"/>
      </w:r>
      <w:r>
        <w:t xml:space="preserve">.</w:t>
      </w:r>
    </w:p>
    <w:p>
      <w:pPr>
        <w:pStyle w:val="BodyText"/>
      </w:pPr>
      <w:r>
        <w:t xml:space="preserve">Chez des hommes en bonne santé, la kisspeptine-10 a déclenché rapidement une hausse de la LH dépendante de la dose et, en perfusion continue, a augmenté la fréquence des pulses de LH</w:t>
      </w:r>
      <w:r>
        <w:rPr>
          <w:rStyle w:val="FootnoteReference"/>
        </w:rPr>
        <w:footnoteReference w:id="2144"/>
      </w:r>
      <w:r>
        <w:t xml:space="preserve">. Les enfants présentant une puberté retardée ont réagi de manière très variable : certains ont eu une réponse nette, d’autres aucune</w:t>
      </w:r>
      <w:r>
        <w:rPr>
          <w:rStyle w:val="FootnoteReference"/>
        </w:rPr>
        <w:footnoteReference w:id="2145"/>
      </w:r>
      <w:r>
        <w:t xml:space="preserve">. Cela pourrait à l’avenir aider à distinguer une simple puberté tardive d’un déficit hormonal permanent.</w:t>
      </w:r>
    </w:p>
    <w:bookmarkEnd w:id="2146"/>
    <w:bookmarkStart w:id="2153" w:name="X47cbcc117c99668409ed03089d23a6fa8467c8d"/>
    <w:p>
      <w:pPr>
        <w:pStyle w:val="Heading4"/>
      </w:pPr>
      <w:r>
        <w:t xml:space="preserve">Traitement de l’infertilité : maturation ovocytaire</w:t>
      </w:r>
    </w:p>
    <w:p>
      <w:pPr>
        <w:pStyle w:val="FirstParagraph"/>
      </w:pPr>
      <w:r>
        <w:t xml:space="preserve">L’application la plus avancée à ce jour est le déclenchement de la maturation ovocytaire lors de la fécondation in vitro (FIV). Habituellement, on injecte pour cela l’hormone hCG. La hCG agit longtemps et peut provoquer chez les femmes sensibles un syndrome d’hyperstimulation ovarienne (SHO) – un déplacement de liquides qui peut, dans les cas extrêmes, mettre la vie en danger. La kisspeptine déclenche à la place une vague de LH endogène plus courte.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Jayasena 2014, PMID 25036713</w:t>
            </w:r>
          </w:p>
        </w:tc>
        <w:tc>
          <w:tcPr/>
          <w:p>
            <w:pPr>
              <w:pStyle w:val="Compact"/>
              <w:jc w:val="left"/>
            </w:pPr>
            <w:r>
              <w:t xml:space="preserve">53 femmes en traitement de FIV, étude de dose sans groupe témoin</w:t>
            </w:r>
          </w:p>
        </w:tc>
        <w:tc>
          <w:tcPr/>
          <w:p>
            <w:pPr>
              <w:pStyle w:val="Compact"/>
              <w:jc w:val="left"/>
            </w:pPr>
            <w:r>
              <w:t xml:space="preserve">un cycle</w:t>
            </w:r>
          </w:p>
        </w:tc>
        <w:tc>
          <w:tcPr/>
          <w:p>
            <w:pPr>
              <w:pStyle w:val="Compact"/>
              <w:jc w:val="left"/>
            </w:pPr>
            <w:r>
              <w:t xml:space="preserve">Maturation ovocytaire à toutes les doses ; grossesse clinique 23 %</w:t>
            </w:r>
          </w:p>
        </w:tc>
      </w:tr>
      <w:tr>
        <w:tc>
          <w:tcPr/>
          <w:p>
            <w:pPr>
              <w:pStyle w:val="Compact"/>
              <w:jc w:val="left"/>
            </w:pPr>
            <w:r>
              <w:t xml:space="preserve">Abbara 2015, PMID 26192876</w:t>
            </w:r>
          </w:p>
        </w:tc>
        <w:tc>
          <w:tcPr/>
          <w:p>
            <w:pPr>
              <w:pStyle w:val="Compact"/>
              <w:jc w:val="left"/>
            </w:pPr>
            <w:r>
              <w:t xml:space="preserve">60 femmes à haut risque de SHO, étude de dose randomisée</w:t>
            </w:r>
          </w:p>
        </w:tc>
        <w:tc>
          <w:tcPr/>
          <w:p>
            <w:pPr>
              <w:pStyle w:val="Compact"/>
              <w:jc w:val="left"/>
            </w:pPr>
            <w:r>
              <w:t xml:space="preserve">un cycle</w:t>
            </w:r>
          </w:p>
        </w:tc>
        <w:tc>
          <w:tcPr/>
          <w:p>
            <w:pPr>
              <w:pStyle w:val="Compact"/>
              <w:jc w:val="left"/>
            </w:pPr>
            <w:r>
              <w:t xml:space="preserve">Maturation ovocytaire chez 95 % ; naissance vivante 45 % par transfert ; aucun SHO modéré ou sévère</w:t>
            </w:r>
          </w:p>
        </w:tc>
      </w:tr>
      <w:tr>
        <w:tc>
          <w:tcPr/>
          <w:p>
            <w:pPr>
              <w:pStyle w:val="Compact"/>
              <w:jc w:val="left"/>
            </w:pPr>
            <w:r>
              <w:t xml:space="preserve">Abbara 2017, PMID 28854728</w:t>
            </w:r>
          </w:p>
        </w:tc>
        <w:tc>
          <w:tcPr/>
          <w:p>
            <w:pPr>
              <w:pStyle w:val="Compact"/>
              <w:jc w:val="left"/>
            </w:pPr>
            <w:r>
              <w:t xml:space="preserve">62 femmes à haut risque de SHO, ECR : seconde dose contre sérum physiologique</w:t>
            </w:r>
          </w:p>
        </w:tc>
        <w:tc>
          <w:tcPr/>
          <w:p>
            <w:pPr>
              <w:pStyle w:val="Compact"/>
              <w:jc w:val="left"/>
            </w:pPr>
            <w:r>
              <w:t xml:space="preserve">un cycle</w:t>
            </w:r>
          </w:p>
        </w:tc>
        <w:tc>
          <w:tcPr/>
          <w:p>
            <w:pPr>
              <w:pStyle w:val="Compact"/>
              <w:jc w:val="left"/>
            </w:pPr>
            <w:r>
              <w:t xml:space="preserve">Rendement ovocytaire suffisant chez 71 % contre 45 %</w:t>
            </w:r>
          </w:p>
        </w:tc>
      </w:tr>
      <w:tr>
        <w:tc>
          <w:tcPr/>
          <w:p>
            <w:pPr>
              <w:pStyle w:val="Compact"/>
              <w:jc w:val="left"/>
            </w:pPr>
            <w:r>
              <w:t xml:space="preserve">Abbara 2024, PMID 37925096</w:t>
            </w:r>
          </w:p>
        </w:tc>
        <w:tc>
          <w:tcPr/>
          <w:p>
            <w:pPr>
              <w:pStyle w:val="Compact"/>
              <w:jc w:val="left"/>
            </w:pPr>
            <w:r>
              <w:t xml:space="preserve">24 et 75 femmes en bonne santé, deux ECR avec l’analogue MVT-602</w:t>
            </w:r>
          </w:p>
        </w:tc>
        <w:tc>
          <w:tcPr/>
          <w:p>
            <w:pPr>
              <w:pStyle w:val="Compact"/>
              <w:jc w:val="left"/>
            </w:pPr>
            <w:r>
              <w:t xml:space="preserve">dose unique</w:t>
            </w:r>
          </w:p>
        </w:tc>
        <w:tc>
          <w:tcPr/>
          <w:p>
            <w:pPr>
              <w:pStyle w:val="Compact"/>
              <w:jc w:val="left"/>
            </w:pPr>
            <w:r>
              <w:t xml:space="preserve">Hausse de la LH semblable à celle du milieu de cycle naturel ; ovulation en 5 jours chez jusqu’à 100 %</w:t>
            </w:r>
          </w:p>
        </w:tc>
      </w:tr>
    </w:tbl>
    <w:p>
      <w:pPr>
        <w:pStyle w:val="BodyText"/>
      </w:pPr>
      <w:r>
        <w:t xml:space="preserve">Dans la première étude</w:t>
      </w:r>
      <w:r>
        <w:rPr>
          <w:rStyle w:val="FootnoteReference"/>
        </w:rPr>
        <w:footnoteReference w:id="2147"/>
      </w:r>
      <w:r>
        <w:t xml:space="preserve">, 53 femmes ont reçu une injection unique de kisspeptine. À toutes les doses testées, des ovocytes ont mûri ; chez 49 femmes, des embryons ont été transférés, et douze ont eu une grossesse clinique. Il était ainsi démontré pour la première fois qu’une grossesse est possible après une maturation ovocytaire déclenchée par la kisspeptine.</w:t>
      </w:r>
    </w:p>
    <w:p>
      <w:pPr>
        <w:pStyle w:val="BodyText"/>
      </w:pPr>
      <w:r>
        <w:t xml:space="preserve">L’étude suivante s’est concentrée sur les femmes à haut risque d’hyperstimulation</w:t>
      </w:r>
      <w:r>
        <w:rPr>
          <w:rStyle w:val="FootnoteReference"/>
        </w:rPr>
        <w:footnoteReference w:id="2148"/>
      </w:r>
      <w:r>
        <w:t xml:space="preserve">. Aucune des 60 femmes n’a développé de SHO modéré ou sévère ; le taux de naissances vivantes par transfert d’embryon était de 45 %. Une seconde dose de kisspeptine dix heures après la première a amélioré le rendement en ovocytes matures</w:t>
      </w:r>
      <w:r>
        <w:rPr>
          <w:rStyle w:val="FootnoteReference"/>
        </w:rPr>
        <w:footnoteReference w:id="2149"/>
      </w:r>
      <w:r>
        <w:t xml:space="preserve">.</w:t>
      </w:r>
    </w:p>
    <w:p>
      <w:pPr>
        <w:pStyle w:val="BodyText"/>
      </w:pPr>
      <w:r>
        <w:rPr>
          <w:bCs/>
          <w:b/>
        </w:rPr>
        <w:t xml:space="preserve">Mise en perspective :</w:t>
      </w:r>
      <w:r>
        <w:t xml:space="preserve"> </w:t>
      </w:r>
      <w:r>
        <w:t xml:space="preserve">ces études montrent que le principe fonctionne. Elles n’étaient toutefois pas conçues pour comparer directement la kisspeptine aux alternatives établies – outre la hCG, il existe déjà, pour les patientes à haut risque, le déclenchement par un agoniste de la GnRH. Les auteurs eux-mêmes réclament de telles études comparatives</w:t>
      </w:r>
      <w:r>
        <w:rPr>
          <w:rStyle w:val="FootnoteReference"/>
        </w:rPr>
        <w:footnoteReference w:id="2150"/>
      </w:r>
      <w:r>
        <w:t xml:space="preserve">.</w:t>
      </w:r>
    </w:p>
    <w:p>
      <w:pPr>
        <w:pStyle w:val="BodyText"/>
      </w:pPr>
      <w:r>
        <w:t xml:space="preserve">L’analogue synthétique MVT-602 agit nettement plus longtemps que la kisspeptine naturelle : chez des femmes en bonne santé, le pic de LH est survenu après environ 21 heures au lieu de 5, et la quantité totale de LH sécrétée était environ quatre fois plus importante</w:t>
      </w:r>
      <w:r>
        <w:rPr>
          <w:rStyle w:val="FootnoteReference"/>
        </w:rPr>
        <w:footnoteReference w:id="2151"/>
      </w:r>
      <w:r>
        <w:t xml:space="preserve">. Dans deux études randomisées réunissant au total 99 femmes, le MVT-602 a été bien toléré et a déclenché, dans la seconde étude, une ovulation en cinq jours chez 75 à 100 % des femmes selon la dose – mais aussi chez 60 % sous placebo, car les participantes étaient en bonne santé</w:t>
      </w:r>
      <w:r>
        <w:rPr>
          <w:rStyle w:val="FootnoteReference"/>
        </w:rPr>
        <w:footnoteReference w:id="2152"/>
      </w:r>
      <w:r>
        <w:t xml:space="preserve">.</w:t>
      </w:r>
    </w:p>
    <w:bookmarkEnd w:id="2153"/>
    <w:bookmarkStart w:id="2159" w:name="absence-de-règles-et-sopk"/>
    <w:p>
      <w:pPr>
        <w:pStyle w:val="Heading4"/>
      </w:pPr>
      <w:r>
        <w:t xml:space="preserve">Absence de règles et SOPK</w:t>
      </w:r>
    </w:p>
    <w:p>
      <w:pPr>
        <w:pStyle w:val="FirstParagraph"/>
      </w:pPr>
      <w:r>
        <w:t xml:space="preserve">Dans l’aménorrhée hypothalamique, les règles s’arrêtent parce que le cerveau sécrète trop peu de GnRH – souvent en raison d’un poids insuffisant, d’un sport intensif ou du stress. Une injection unique de kisspeptine a fortement augmenté la LH et la FSH chez les femmes concernées. Mais avec une administration deux fois par jour pendant deux semaines, l’effet avait presque disparu</w:t>
      </w:r>
      <w:r>
        <w:rPr>
          <w:rStyle w:val="FootnoteReference"/>
        </w:rPr>
        <w:footnoteReference w:id="2154"/>
      </w:r>
      <w:r>
        <w:t xml:space="preserve">. Des administrations deux fois par semaine n’ont entraîné qu’une accoutumance partielle</w:t>
      </w:r>
      <w:r>
        <w:rPr>
          <w:rStyle w:val="FootnoteReference"/>
        </w:rPr>
        <w:footnoteReference w:id="2155"/>
      </w:r>
      <w:r>
        <w:t xml:space="preserve">, et une perfusion continue a transitoirement triplé le nombre de pulses de LH</w:t>
      </w:r>
      <w:r>
        <w:rPr>
          <w:rStyle w:val="FootnoteReference"/>
        </w:rPr>
        <w:footnoteReference w:id="2156"/>
      </w:r>
      <w:r>
        <w:t xml:space="preserve">. Chez des personnes porteuses d’un défaut génétique du système de la neurokinine B, une perfusion de kisspeptine a rétabli la sécrétion hormonale pulsatile</w:t>
      </w:r>
      <w:r>
        <w:rPr>
          <w:rStyle w:val="FootnoteReference"/>
        </w:rPr>
        <w:footnoteReference w:id="2157"/>
      </w:r>
      <w:r>
        <w:t xml:space="preserve">.</w:t>
      </w:r>
    </w:p>
    <w:p>
      <w:pPr>
        <w:pStyle w:val="BodyText"/>
      </w:pPr>
      <w:r>
        <w:t xml:space="preserve">Dans le syndrome des ovaires polykystiques (SOPK), la situation est plus complexe. Dans une étude pilote portant sur 12 femmes, la kisspeptine n’a que légèrement augmenté le taux de LH ; deux femmes ont ovulé, chez la plupart il ne s’est rien passé</w:t>
      </w:r>
      <w:r>
        <w:rPr>
          <w:rStyle w:val="FootnoteReference"/>
        </w:rPr>
        <w:footnoteReference w:id="2158"/>
      </w:r>
      <w:r>
        <w:t xml:space="preserve">.</w:t>
      </w:r>
    </w:p>
    <w:bookmarkEnd w:id="2159"/>
    <w:bookmarkStart w:id="2162" w:name="hommes-testostérone-et-diabète"/>
    <w:p>
      <w:pPr>
        <w:pStyle w:val="Heading4"/>
      </w:pPr>
      <w:r>
        <w:t xml:space="preserve">Hommes : testostérone et diabète</w:t>
      </w:r>
    </w:p>
    <w:p>
      <w:pPr>
        <w:pStyle w:val="FirstParagraph"/>
      </w:pPr>
      <w:r>
        <w:t xml:space="preserve">Chez cinq hommes atteints de diabète de type 2 avec une testostérone basse, une perfusion de kisspeptine-10 a augmenté la LH, la fréquence des pulses de LH et la testostérone</w:t>
      </w:r>
      <w:r>
        <w:rPr>
          <w:rStyle w:val="FootnoteReference"/>
        </w:rPr>
        <w:footnoteReference w:id="2160"/>
      </w:r>
      <w:r>
        <w:t xml:space="preserve">. Une nouvelle étude chez 15 hommes en bonne santé a montré que des perfusions sous-cutanées de huit heures par jour maintenaient la sécrétion hormonale pendant douze jours, alors qu’une perfusion continue n’avait plus d’effet sur la LH et la FSH au bout de cinq jours</w:t>
      </w:r>
      <w:r>
        <w:rPr>
          <w:rStyle w:val="FootnoteReference"/>
        </w:rPr>
        <w:footnoteReference w:id="2161"/>
      </w:r>
      <w:r>
        <w:t xml:space="preserve">. C’est une étape importante vers un éventuel traitement au long cours.</w:t>
      </w:r>
    </w:p>
    <w:bookmarkEnd w:id="2162"/>
    <w:bookmarkStart w:id="2166" w:name="désir-sexuel-et-cerveau"/>
    <w:p>
      <w:pPr>
        <w:pStyle w:val="Heading4"/>
      </w:pPr>
      <w:r>
        <w:t xml:space="preserve">Désir sexuel et cerveau</w:t>
      </w:r>
    </w:p>
    <w:p>
      <w:pPr>
        <w:pStyle w:val="FirstParagraph"/>
      </w:pPr>
      <w:r>
        <w:t xml:space="preserve">Le groupe londonien a étudié par imagerie par résonance magnétique fonctionnelle (IRMf) comment la kisspeptine modifie le traitement des images érotiques.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Comninos 2017, PMID 28112678</w:t>
            </w:r>
          </w:p>
        </w:tc>
        <w:tc>
          <w:tcPr/>
          <w:p>
            <w:pPr>
              <w:pStyle w:val="Compact"/>
              <w:jc w:val="left"/>
            </w:pPr>
            <w:r>
              <w:t xml:space="preserve">29 jeunes hommes en bonne santé, étude croisée contre placebo</w:t>
            </w:r>
          </w:p>
        </w:tc>
        <w:tc>
          <w:tcPr/>
          <w:p>
            <w:pPr>
              <w:pStyle w:val="Compact"/>
              <w:jc w:val="left"/>
            </w:pPr>
            <w:r>
              <w:t xml:space="preserve">perfusion unique</w:t>
            </w:r>
          </w:p>
        </w:tc>
        <w:tc>
          <w:tcPr/>
          <w:p>
            <w:pPr>
              <w:pStyle w:val="Compact"/>
              <w:jc w:val="left"/>
            </w:pPr>
            <w:r>
              <w:t xml:space="preserve">Davantage d’activité dans les régions cérébrales limbiques face aux stimuli sexuels ; moins d’humeur négative</w:t>
            </w:r>
          </w:p>
        </w:tc>
      </w:tr>
      <w:tr>
        <w:tc>
          <w:tcPr/>
          <w:p>
            <w:pPr>
              <w:pStyle w:val="Compact"/>
              <w:jc w:val="left"/>
            </w:pPr>
            <w:r>
              <w:t xml:space="preserve">Thurston 2022, PMID 36287566</w:t>
            </w:r>
          </w:p>
        </w:tc>
        <w:tc>
          <w:tcPr/>
          <w:p>
            <w:pPr>
              <w:pStyle w:val="Compact"/>
              <w:jc w:val="left"/>
            </w:pPr>
            <w:r>
              <w:t xml:space="preserve">32 femmes atteintes de HSDD, étude croisée en double aveugle</w:t>
            </w:r>
          </w:p>
        </w:tc>
        <w:tc>
          <w:tcPr/>
          <w:p>
            <w:pPr>
              <w:pStyle w:val="Compact"/>
              <w:jc w:val="left"/>
            </w:pPr>
            <w:r>
              <w:t xml:space="preserve">75 minutes</w:t>
            </w:r>
          </w:p>
        </w:tc>
        <w:tc>
          <w:tcPr/>
          <w:p>
            <w:pPr>
              <w:pStyle w:val="Compact"/>
              <w:jc w:val="left"/>
            </w:pPr>
            <w:r>
              <w:t xml:space="preserve">Activité modifiée dans les régions cérébrales liées aux stimuli sexuels et à l’attirance ; aucun effet indésirable</w:t>
            </w:r>
          </w:p>
        </w:tc>
      </w:tr>
      <w:tr>
        <w:tc>
          <w:tcPr/>
          <w:p>
            <w:pPr>
              <w:pStyle w:val="Compact"/>
              <w:jc w:val="left"/>
            </w:pPr>
            <w:r>
              <w:t xml:space="preserve">Mills 2023, PMID 36735255</w:t>
            </w:r>
          </w:p>
        </w:tc>
        <w:tc>
          <w:tcPr/>
          <w:p>
            <w:pPr>
              <w:pStyle w:val="Compact"/>
              <w:jc w:val="left"/>
            </w:pPr>
            <w:r>
              <w:t xml:space="preserve">32 hommes atteints de HSDD, étude croisée en double aveugle</w:t>
            </w:r>
          </w:p>
        </w:tc>
        <w:tc>
          <w:tcPr/>
          <w:p>
            <w:pPr>
              <w:pStyle w:val="Compact"/>
              <w:jc w:val="left"/>
            </w:pPr>
            <w:r>
              <w:t xml:space="preserve">75 minutes</w:t>
            </w:r>
          </w:p>
        </w:tc>
        <w:tc>
          <w:tcPr/>
          <w:p>
            <w:pPr>
              <w:pStyle w:val="Compact"/>
              <w:jc w:val="left"/>
            </w:pPr>
            <w:r>
              <w:t xml:space="preserve">Activité cérébrale modifiée ; tumescence pénienne devant des vidéos érotiques jusqu’à 56 % plus forte que sous placebo</w:t>
            </w:r>
          </w:p>
        </w:tc>
      </w:tr>
    </w:tbl>
    <w:p>
      <w:pPr>
        <w:pStyle w:val="BodyText"/>
      </w:pPr>
      <w:r>
        <w:t xml:space="preserve">Le HSDD (trouble du désir sexuel hypoactif) désigne un désir sexuel durablement faible qui s’accompagne d’une souffrance. Chez les hommes atteints de HSDD, une perfusion unique de kisspeptine a renforcé non seulement l’activité des régions cérébrales sexuelles, mais aussi l’excitation physique mesurable et certaines déclarations concernant le désir, par exemple l’« envie de faire l’amour »</w:t>
      </w:r>
      <w:r>
        <w:rPr>
          <w:rStyle w:val="FootnoteReference"/>
        </w:rPr>
        <w:footnoteReference w:id="2163"/>
      </w:r>
      <w:r>
        <w:t xml:space="preserve">. Chez les femmes atteintes de HSDD, les modifications de l’activité cérébrale étaient corrélées à la souffrance et à l’aversion sexuelle</w:t>
      </w:r>
      <w:r>
        <w:rPr>
          <w:rStyle w:val="FootnoteReference"/>
        </w:rPr>
        <w:footnoteReference w:id="2164"/>
      </w:r>
      <w:r>
        <w:t xml:space="preserve">.</w:t>
      </w:r>
    </w:p>
    <w:p>
      <w:pPr>
        <w:pStyle w:val="BodyText"/>
      </w:pPr>
      <w:r>
        <w:rPr>
          <w:bCs/>
          <w:b/>
        </w:rPr>
        <w:t xml:space="preserve">Mise en perspective :</w:t>
      </w:r>
      <w:r>
        <w:t xml:space="preserve"> </w:t>
      </w:r>
      <w:r>
        <w:t xml:space="preserve">ces études évaluent une perfusion unique en laboratoire, avec l’activité cérébrale comme critère principal. Elles ne disent rien sur la capacité de la kisspeptine à améliorer le vécu sexuel au quotidien sur plusieurs semaines. L’administration en perfusion ne convient pas à un traitement au quotidien. Une étude portant sur 95 personnes n’a trouvé aucun effet sur l’anxiété, le cortisol, la pression artérielle ou la fréquence cardiaque</w:t>
      </w:r>
      <w:r>
        <w:rPr>
          <w:rStyle w:val="FootnoteReference"/>
        </w:rPr>
        <w:footnoteReference w:id="2165"/>
      </w:r>
      <w:r>
        <w:t xml:space="preserve"> </w:t>
      </w:r>
      <w:r>
        <w:t xml:space="preserve">– un résultat rassurant pour la tolérance, pas une preuve d’efficacité.</w:t>
      </w:r>
    </w:p>
    <w:bookmarkEnd w:id="2166"/>
    <w:bookmarkStart w:id="2168" w:name="spray-nasal"/>
    <w:p>
      <w:pPr>
        <w:pStyle w:val="Heading4"/>
      </w:pPr>
      <w:r>
        <w:t xml:space="preserve">Spray nasal</w:t>
      </w:r>
    </w:p>
    <w:p>
      <w:pPr>
        <w:pStyle w:val="FirstParagraph"/>
      </w:pPr>
      <w:r>
        <w:t xml:space="preserve">Un spray nasal de kisspeptine-54 a augmenté la LH chez des hommes et des femmes en bonne santé ainsi que chez des femmes atteintes d’aménorrhée hypothalamique, sans effets indésirables</w:t>
      </w:r>
      <w:r>
        <w:rPr>
          <w:rStyle w:val="FootnoteReference"/>
        </w:rPr>
        <w:footnoteReference w:id="2167"/>
      </w:r>
      <w:r>
        <w:t xml:space="preserve">. Cela ouvre une voie possible vers un traitement sans aiguille. Chez la souris, la kisspeptine a été détectée dans la muqueuse olfactive, ce qui suggère un passage par le système olfactif.</w:t>
      </w:r>
    </w:p>
    <w:bookmarkEnd w:id="2168"/>
    <w:bookmarkStart w:id="2172" w:name="autres-résultats"/>
    <w:p>
      <w:pPr>
        <w:pStyle w:val="Heading4"/>
      </w:pPr>
      <w:r>
        <w:t xml:space="preserve">Autres résultats</w:t>
      </w:r>
    </w:p>
    <w:p>
      <w:pPr>
        <w:numPr>
          <w:ilvl w:val="0"/>
          <w:numId w:val="1271"/>
        </w:numPr>
        <w:pStyle w:val="Compact"/>
      </w:pPr>
      <w:r>
        <w:rPr>
          <w:bCs/>
          <w:b/>
        </w:rPr>
        <w:t xml:space="preserve">Os :</w:t>
      </w:r>
      <w:r>
        <w:t xml:space="preserve"> </w:t>
      </w:r>
      <w:r>
        <w:t xml:space="preserve">chez 26 hommes en bonne santé, le marqueur de formation osseuse ostéocalcine a augmenté jusqu’à 20,3 % après une administration de kisspeptine</w:t>
      </w:r>
      <w:r>
        <w:rPr>
          <w:rStyle w:val="FootnoteReference"/>
        </w:rPr>
        <w:footnoteReference w:id="2169"/>
      </w:r>
      <w:r>
        <w:t xml:space="preserve">.</w:t>
      </w:r>
    </w:p>
    <w:p>
      <w:pPr>
        <w:numPr>
          <w:ilvl w:val="0"/>
          <w:numId w:val="1271"/>
        </w:numPr>
        <w:pStyle w:val="Compact"/>
      </w:pPr>
      <w:r>
        <w:rPr>
          <w:bCs/>
          <w:b/>
        </w:rPr>
        <w:t xml:space="preserve">Métabolisme :</w:t>
      </w:r>
      <w:r>
        <w:t xml:space="preserve"> </w:t>
      </w:r>
      <w:r>
        <w:t xml:space="preserve">chez 15 hommes en bonne santé, la kisspeptine a augmenté la sécrétion d’insuline après une charge en glucose, sans modifier l’appétit ni la quantité de nourriture consommée</w:t>
      </w:r>
      <w:r>
        <w:rPr>
          <w:rStyle w:val="FootnoteReference"/>
        </w:rPr>
        <w:footnoteReference w:id="2170"/>
      </w:r>
      <w:r>
        <w:t xml:space="preserve">.</w:t>
      </w:r>
    </w:p>
    <w:p>
      <w:pPr>
        <w:numPr>
          <w:ilvl w:val="0"/>
          <w:numId w:val="1271"/>
        </w:numPr>
        <w:pStyle w:val="Compact"/>
      </w:pPr>
      <w:r>
        <w:rPr>
          <w:bCs/>
          <w:b/>
        </w:rPr>
        <w:t xml:space="preserve">Ocytocine :</w:t>
      </w:r>
      <w:r>
        <w:t xml:space="preserve"> </w:t>
      </w:r>
      <w:r>
        <w:t xml:space="preserve">après une injection de kisspeptine, le taux sanguin d’ocytocine a augmenté, davantage chez les hommes que chez les femmes</w:t>
      </w:r>
      <w:r>
        <w:rPr>
          <w:rStyle w:val="FootnoteReference"/>
        </w:rPr>
        <w:footnoteReference w:id="2171"/>
      </w:r>
      <w:r>
        <w:t xml:space="preserve">. Cette réaction est étudiée comme test possible d’un déficit en ocytocine (chapitre 2E05).</w:t>
      </w:r>
    </w:p>
    <w:bookmarkEnd w:id="2172"/>
    <w:bookmarkStart w:id="2175" w:name="linverse-abaisser-les-hormones"/>
    <w:p>
      <w:pPr>
        <w:pStyle w:val="Heading4"/>
      </w:pPr>
      <w:r>
        <w:t xml:space="preserve">L’inverse : abaisser les hormones</w:t>
      </w:r>
    </w:p>
    <w:p>
      <w:pPr>
        <w:pStyle w:val="FirstParagraph"/>
      </w:pPr>
      <w:r>
        <w:t xml:space="preserve">En administration continue, l’analogue synthétique TAK-448 est devenu un bloqueur hormonal. Chez des hommes en bonne santé de plus de 50 ans, la testostérone est tombée au niveau de la castration après une semaine de perfusion continue ; chez des hommes atteints d’un cancer de la prostate, une injection retard a abaissé la testostérone et le marqueur tumoral PSA</w:t>
      </w:r>
      <w:r>
        <w:rPr>
          <w:rStyle w:val="FootnoteReference"/>
        </w:rPr>
        <w:footnoteReference w:id="2173"/>
      </w:r>
      <w:r>
        <w:t xml:space="preserve">. Deux autres études de phase 2 du fabricant ont été arrêtées prématurément</w:t>
      </w:r>
      <w:r>
        <w:rPr>
          <w:rStyle w:val="FootnoteReference"/>
        </w:rPr>
        <w:footnoteReference w:id="2174"/>
      </w:r>
      <w:r>
        <w:t xml:space="preserve">.</w:t>
      </w:r>
    </w:p>
    <w:bookmarkEnd w:id="2175"/>
    <w:bookmarkEnd w:id="2176"/>
    <w:bookmarkStart w:id="2181" w:name="études-animales-et-de-laboratoire-49"/>
    <w:p>
      <w:pPr>
        <w:pStyle w:val="Heading3"/>
      </w:pPr>
      <w:r>
        <w:t xml:space="preserve">Études animales et de laboratoire</w:t>
      </w:r>
    </w:p>
    <w:p>
      <w:pPr>
        <w:pStyle w:val="FirstParagraph"/>
      </w:pPr>
      <w:r>
        <w:t xml:space="preserve">Le rôle de la kisspeptine dans la puberté et la reproduction a d’abord été démontré chez des souris dont le gène du récepteur avait été invalidé ; ces animaux restent sexuellement immatures</w:t>
      </w:r>
      <w:r>
        <w:rPr>
          <w:rStyle w:val="FootnoteReference"/>
        </w:rPr>
        <w:footnoteReference w:id="2177"/>
      </w:r>
      <w:r>
        <w:t xml:space="preserve">. À l’origine, le peptide avait été décrit comme un frein à la formation de métastases : en culture cellulaire et chez la souris, il a inhibé la dissémination des cellules de mélanome</w:t>
      </w:r>
      <w:r>
        <w:rPr>
          <w:rStyle w:val="FootnoteReference"/>
        </w:rPr>
        <w:footnoteReference w:id="2178"/>
      </w:r>
      <w:r>
        <w:t xml:space="preserve">. La possibilité d’en tirer un usage thérapeutique reste ouverte.</w:t>
      </w:r>
    </w:p>
    <w:p>
      <w:pPr>
        <w:pStyle w:val="BodyText"/>
      </w:pPr>
      <w:r>
        <w:t xml:space="preserve">Dans des modèles de SOPK chez le rat, la kisspeptine a rétabli l’ovulation chez une partie des animaux, mais pas chez les autres</w:t>
      </w:r>
      <w:r>
        <w:rPr>
          <w:rStyle w:val="FootnoteReference"/>
        </w:rPr>
        <w:footnoteReference w:id="2179"/>
      </w:r>
      <w:r>
        <w:t xml:space="preserve">. La recherche fondamentale sur la kisspeptine et la neurokinine B est résumée dans une revue</w:t>
      </w:r>
      <w:r>
        <w:rPr>
          <w:rStyle w:val="FootnoteReference"/>
        </w:rPr>
        <w:footnoteReference w:id="2180"/>
      </w:r>
      <w:r>
        <w:t xml:space="preserve">.</w:t>
      </w:r>
    </w:p>
    <w:bookmarkEnd w:id="2181"/>
    <w:bookmarkStart w:id="2189" w:name="risques-et-effets-indésirables-49"/>
    <w:p>
      <w:pPr>
        <w:pStyle w:val="Heading3"/>
      </w:pPr>
      <w:r>
        <w:t xml:space="preserve">Risques et effets indésirables</w:t>
      </w:r>
    </w:p>
    <w:bookmarkStart w:id="2186" w:name="établis-2"/>
    <w:p>
      <w:pPr>
        <w:pStyle w:val="Heading4"/>
      </w:pPr>
      <w:r>
        <w:t xml:space="preserve">Établis</w:t>
      </w:r>
    </w:p>
    <w:p>
      <w:pPr>
        <w:pStyle w:val="FirstParagraph"/>
      </w:pPr>
      <w:r>
        <w:t xml:space="preserve">Dans toutes les études publiées, la kisspeptine a été bien tolérée. Plusieurs études rapportent expressément l’absence d’effets indésirables</w:t>
      </w:r>
      <w:r>
        <w:rPr>
          <w:rStyle w:val="FootnoteReference"/>
        </w:rPr>
        <w:footnoteReference w:id="2182"/>
      </w:r>
      <w:r>
        <w:t xml:space="preserve">. La kisspeptine n’a modifié ni l’hormone de croissance, ni la prolactine, ni la TSH qui pilote la thyroïde</w:t>
      </w:r>
      <w:r>
        <w:rPr>
          <w:rStyle w:val="FootnoteReference"/>
        </w:rPr>
        <w:footnoteReference w:id="2183"/>
      </w:r>
      <w:r>
        <w:t xml:space="preserve">, et n’a eu aucune influence sur l’anxiété, la pression artérielle ou la fréquence cardiaque</w:t>
      </w:r>
      <w:r>
        <w:rPr>
          <w:rStyle w:val="FootnoteReference"/>
        </w:rPr>
        <w:footnoteReference w:id="2184"/>
      </w:r>
      <w:r>
        <w:t xml:space="preserve">. Avec l’analogue TAK-448, des effets indésirables légers à modérés sont survenus chez 26 % des personnes traitées</w:t>
      </w:r>
      <w:r>
        <w:rPr>
          <w:rStyle w:val="FootnoteReference"/>
        </w:rPr>
        <w:footnoteReference w:id="2185"/>
      </w:r>
      <w:r>
        <w:t xml:space="preserve">.</w:t>
      </w:r>
    </w:p>
    <w:bookmarkEnd w:id="2186"/>
    <w:bookmarkStart w:id="2187" w:name="théoriques-et-incertains"/>
    <w:p>
      <w:pPr>
        <w:pStyle w:val="Heading4"/>
      </w:pPr>
      <w:r>
        <w:t xml:space="preserve">Théoriques et incertains</w:t>
      </w:r>
    </w:p>
    <w:p>
      <w:pPr>
        <w:numPr>
          <w:ilvl w:val="0"/>
          <w:numId w:val="1272"/>
        </w:numPr>
        <w:pStyle w:val="Compact"/>
      </w:pPr>
      <w:r>
        <w:rPr>
          <w:bCs/>
          <w:b/>
        </w:rPr>
        <w:t xml:space="preserve">Accoutumance et chute hormonale :</w:t>
      </w:r>
      <w:r>
        <w:t xml:space="preserve"> </w:t>
      </w:r>
      <w:r>
        <w:t xml:space="preserve">en administration continue, l’effet inverse de celui recherché peut se produire, comme le montrent les études sur le TAK-448. Utiliser la kisspeptine sans contrôle médical expose donc à une suppression de son propre axe hormonal.</w:t>
      </w:r>
    </w:p>
    <w:p>
      <w:pPr>
        <w:numPr>
          <w:ilvl w:val="0"/>
          <w:numId w:val="1272"/>
        </w:numPr>
        <w:pStyle w:val="Compact"/>
      </w:pPr>
      <w:r>
        <w:rPr>
          <w:bCs/>
          <w:b/>
        </w:rPr>
        <w:t xml:space="preserve">Données à long terme :</w:t>
      </w:r>
      <w:r>
        <w:t xml:space="preserve"> </w:t>
      </w:r>
      <w:r>
        <w:t xml:space="preserve">elles font défaut. Les études les plus longues ont duré huit semaines.</w:t>
      </w:r>
    </w:p>
    <w:p>
      <w:pPr>
        <w:numPr>
          <w:ilvl w:val="0"/>
          <w:numId w:val="1272"/>
        </w:numPr>
        <w:pStyle w:val="Compact"/>
      </w:pPr>
      <w:r>
        <w:rPr>
          <w:bCs/>
          <w:b/>
        </w:rPr>
        <w:t xml:space="preserve">Grossesse :</w:t>
      </w:r>
      <w:r>
        <w:t xml:space="preserve"> </w:t>
      </w:r>
      <w:r>
        <w:t xml:space="preserve">des enfants sont nés après une utilisation en FIV ; aucune donnée systématique sur la santé de ces enfants n’a été publiée.</w:t>
      </w:r>
    </w:p>
    <w:bookmarkEnd w:id="2187"/>
    <w:bookmarkStart w:id="2188" w:name="marché-gris-2"/>
    <w:p>
      <w:pPr>
        <w:pStyle w:val="Heading4"/>
      </w:pPr>
      <w:r>
        <w:t xml:space="preserve">Marché gris</w:t>
      </w:r>
    </w:p>
    <w:p>
      <w:pPr>
        <w:pStyle w:val="FirstParagraph"/>
      </w:pPr>
      <w:r>
        <w:t xml:space="preserve">La kisspeptine-10 est proposée sur Internet comme « research peptide » et promue sur des forums pour augmenter la testostérone ou la libido. Il n’existe aucune étude sur ces produits. En raison de la courte demi-vie et de l’accoutumance en cas d’administrations fréquentes, un effet durable en auto-administration n’est pas démontré ; la pureté et la teneur ne sont pas contrôlées (voir parties I et IV).</w:t>
      </w:r>
    </w:p>
    <w:bookmarkEnd w:id="2188"/>
    <w:bookmarkEnd w:id="2189"/>
    <w:bookmarkStart w:id="2190" w:name="statut-juridique-49"/>
    <w:p>
      <w:pPr>
        <w:pStyle w:val="Heading3"/>
      </w:pPr>
      <w:r>
        <w:t xml:space="preserve">Statut juridique</w:t>
      </w:r>
    </w:p>
    <w:p>
      <w:pPr>
        <w:pStyle w:val="FirstParagraph"/>
      </w:pPr>
      <w:r>
        <w:rPr>
          <w:iCs/>
          <w:i/>
        </w:rPr>
        <w:t xml:space="preserve">État 2026, à vérifier.</w:t>
      </w:r>
    </w:p>
    <w:p>
      <w:pPr>
        <w:numPr>
          <w:ilvl w:val="0"/>
          <w:numId w:val="1273"/>
        </w:numPr>
        <w:pStyle w:val="Compact"/>
      </w:pPr>
      <w:r>
        <w:rPr>
          <w:bCs/>
          <w:b/>
        </w:rPr>
        <w:t xml:space="preserve">UE, Allemagne, Autriche :</w:t>
      </w:r>
      <w:r>
        <w:t xml:space="preserve"> </w:t>
      </w:r>
      <w:r>
        <w:t xml:space="preserve">pas d’autorisation. La kisspeptine ne peut être administrée à l’humain que dans le cadre d’études cliniques autorisées. La vente pour un usage chez l’humain est illégale.</w:t>
      </w:r>
    </w:p>
    <w:p>
      <w:pPr>
        <w:numPr>
          <w:ilvl w:val="0"/>
          <w:numId w:val="1273"/>
        </w:numPr>
        <w:pStyle w:val="Compact"/>
      </w:pPr>
      <w:r>
        <w:rPr>
          <w:bCs/>
          <w:b/>
        </w:rPr>
        <w:t xml:space="preserve">États-Unis :</w:t>
      </w:r>
      <w:r>
        <w:t xml:space="preserve"> </w:t>
      </w:r>
      <w:r>
        <w:t xml:space="preserve">pas d’autorisation ; utilisation uniquement dans des études autorisées par la FDA.</w:t>
      </w:r>
    </w:p>
    <w:p>
      <w:pPr>
        <w:numPr>
          <w:ilvl w:val="0"/>
          <w:numId w:val="1273"/>
        </w:numPr>
        <w:pStyle w:val="Compact"/>
      </w:pPr>
      <w:r>
        <w:rPr>
          <w:bCs/>
          <w:b/>
        </w:rPr>
        <w:t xml:space="preserve">AMA (WADA) :</w:t>
      </w:r>
      <w:r>
        <w:t xml:space="preserve"> </w:t>
      </w:r>
      <w:r>
        <w:t xml:space="preserve">chez les hommes, les facteurs de libération de la LH sont interdits au titre de S2, les principes actifs non autorisés en général au titre de S0. La kisspeptine n’est pas mentionnée nommément, mais relève selon l’appréciation de l’auteur de ces groupes.</w:t>
      </w:r>
    </w:p>
    <w:bookmarkEnd w:id="2190"/>
    <w:bookmarkStart w:id="2193" w:name="études-en-cours-et-perspectives-49"/>
    <w:p>
      <w:pPr>
        <w:pStyle w:val="Heading3"/>
      </w:pPr>
      <w:r>
        <w:t xml:space="preserve">Études en cours et perspectives</w:t>
      </w:r>
    </w:p>
    <w:p>
      <w:pPr>
        <w:pStyle w:val="FirstParagraph"/>
      </w:pPr>
      <w:r>
        <w:rPr>
          <w:bCs/>
          <w:b/>
        </w:rPr>
        <w:t xml:space="preserve">Établi (études enregistrées) :</w:t>
      </w:r>
    </w:p>
    <w:p>
      <w:pPr>
        <w:numPr>
          <w:ilvl w:val="0"/>
          <w:numId w:val="1274"/>
        </w:numPr>
        <w:pStyle w:val="Compact"/>
      </w:pPr>
      <w:r>
        <w:rPr>
          <w:bCs/>
          <w:b/>
        </w:rPr>
        <w:t xml:space="preserve">Massachusetts General Hospital, Boston :</w:t>
      </w:r>
      <w:r>
        <w:t xml:space="preserve"> </w:t>
      </w:r>
      <w:r>
        <w:t xml:space="preserve">plusieurs études de phase 1 et de phase 2 avec administration sous-cutanée répétée de kisspeptine dans le déficit hormonal congénital (hypogonadisme hypogonadotrope idiopathique, NCT05896293, 36 personnes, jusqu’en 2028) et dans l’aménorrhée hypothalamique (NCT07224438, 20 personnes, jusqu’en 2030). Une autre étude utilise la kisspeptine comme test de la fonction des neurones à GnRH</w:t>
      </w:r>
      <w:r>
        <w:rPr>
          <w:rStyle w:val="FootnoteReference"/>
        </w:rPr>
        <w:footnoteReference w:id="2191"/>
      </w:r>
      <w:r>
        <w:t xml:space="preserve">.</w:t>
      </w:r>
    </w:p>
    <w:p>
      <w:pPr>
        <w:numPr>
          <w:ilvl w:val="0"/>
          <w:numId w:val="1274"/>
        </w:numPr>
        <w:pStyle w:val="Compact"/>
      </w:pPr>
      <w:r>
        <w:rPr>
          <w:bCs/>
          <w:b/>
        </w:rPr>
        <w:t xml:space="preserve">Imperial College London :</w:t>
      </w:r>
      <w:r>
        <w:t xml:space="preserve"> </w:t>
      </w:r>
      <w:r>
        <w:t xml:space="preserve">une étude en cours depuis 2014 sur la sécrétion hormonale lors d’une administration prolongée de kisspeptine (NCT02081924, 76 personnes).</w:t>
      </w:r>
    </w:p>
    <w:p>
      <w:pPr>
        <w:numPr>
          <w:ilvl w:val="0"/>
          <w:numId w:val="1274"/>
        </w:numPr>
        <w:pStyle w:val="Compact"/>
      </w:pPr>
      <w:r>
        <w:t xml:space="preserve">Une étude de phase 2 avec administration pulsatile de kisspeptine dans l’hypogonadisme est terminée</w:t>
      </w:r>
      <w:r>
        <w:rPr>
          <w:rStyle w:val="FootnoteReference"/>
        </w:rPr>
        <w:footnoteReference w:id="2192"/>
      </w:r>
      <w:r>
        <w:t xml:space="preserve"> </w:t>
      </w:r>
      <w:r>
        <w:t xml:space="preserve">; aucun résultat n’avait été publié dans PubMed à la date de clôture de la rédaction.</w:t>
      </w:r>
    </w:p>
    <w:p>
      <w:pPr>
        <w:pStyle w:val="FirstParagraph"/>
      </w:pPr>
      <w:r>
        <w:rPr>
          <w:bCs/>
          <w:b/>
        </w:rPr>
        <w:t xml:space="preserve">Appréciation de l’auteur :</w:t>
      </w:r>
      <w:r>
        <w:t xml:space="preserve"> </w:t>
      </w:r>
      <w:r>
        <w:t xml:space="preserve">pour ce qui est des bases, la kisspeptine est l’un des peptides les plus solides scientifiquement de ce livre – son rôle dans la puberté est démontré génétiquement. Le développement clinique est toutefois lent, car il est principalement porté par des universités. Une autorisation paraît la plus réaliste pour la maturation ovocytaire chez les femmes à risque de SHO ou comme test diagnostique des troubles de la puberté, mais il faudrait pour cela de plus grandes études comparatives. Pour le traitement du manque de désir sexuel, toute preuve d’un bénéfice au quotidien fait encore défaut.</w:t>
      </w:r>
    </w:p>
    <w:bookmarkEnd w:id="2193"/>
    <w:bookmarkStart w:id="2194" w:name="conclusion-49"/>
    <w:p>
      <w:pPr>
        <w:pStyle w:val="Heading3"/>
      </w:pPr>
      <w:r>
        <w:t xml:space="preserve">Conclusion</w:t>
      </w:r>
    </w:p>
    <w:p>
      <w:pPr>
        <w:pStyle w:val="FirstParagraph"/>
      </w:pPr>
      <w:r>
        <w:t xml:space="preserve">La kisspeptine est l’interrupteur principal endogène des hormones de la reproduction, comme le montrent de manière frappante les personnes porteuses d’un défaut du récepteur. Dans de petites études, elle a déclenché de façon fiable la sécrétion de LH et permis, chez des femmes à haut risque d’hyperstimulation, une maturation ovocytaire sans SHO sévère. Des études de laboratoire avec imagerie cérébrale suggèrent des effets sur le traitement des stimuli sexuels, mais ne prouvent pas un bénéfice au quotidien. Le principal obstacle pratique est l’accoutumance lors d’administrations fréquentes, qui peut aller jusqu’à la suppression de l’axe hormonal. La kisspeptine n’est autorisée nulle part ; en dehors des études, il n’existe aucune utilisation évaluée.</w:t>
      </w:r>
    </w:p>
    <w:bookmarkEnd w:id="2194"/>
    <w:bookmarkEnd w:id="2195"/>
    <w:bookmarkStart w:id="2275" w:name="ocytocine-spray-nasal"/>
    <w:p>
      <w:pPr>
        <w:pStyle w:val="Heading2"/>
      </w:pPr>
      <w:r>
        <w:t xml:space="preserve">Ocytocine (spray nasal)</w:t>
      </w:r>
    </w:p>
    <w:bookmarkStart w:id="2196" w:name="fiche-signalétique-50"/>
    <w:p>
      <w:pPr>
        <w:pStyle w:val="Heading3"/>
      </w:pPr>
      <w:r>
        <w:t xml:space="preserve">Fiche signalétique</w:t>
      </w:r>
    </w:p>
    <w:p>
      <w:pPr>
        <w:numPr>
          <w:ilvl w:val="0"/>
          <w:numId w:val="1275"/>
        </w:numPr>
        <w:pStyle w:val="Compact"/>
      </w:pPr>
      <w:r>
        <w:rPr>
          <w:bCs/>
          <w:b/>
        </w:rPr>
        <w:t xml:space="preserve">Type/structure :</w:t>
      </w:r>
      <w:r>
        <w:t xml:space="preserve"> </w:t>
      </w:r>
      <w:r>
        <w:t xml:space="preserve">hormone peptidique endogène de neuf acides aminés. Deux ponts soufrés referment six d’entre eux en anneau. L’ocytocine est étroitement apparentée à l’hormone vasopressine (hormone antidiurétique), dont elle ne diffère que par deux constituants.</w:t>
      </w:r>
    </w:p>
    <w:p>
      <w:pPr>
        <w:numPr>
          <w:ilvl w:val="0"/>
          <w:numId w:val="1275"/>
        </w:numPr>
        <w:pStyle w:val="Compact"/>
      </w:pPr>
      <w:r>
        <w:rPr>
          <w:bCs/>
          <w:b/>
        </w:rPr>
        <w:t xml:space="preserve">Origine :</w:t>
      </w:r>
      <w:r>
        <w:t xml:space="preserve"> </w:t>
      </w:r>
      <w:r>
        <w:t xml:space="preserve">produite par des neurones de l’hypothalamus et libérée dans le sang par la posthypophyse ; c’est aussi un messager à l’intérieur du cerveau. En 1953, l’ocytocine a été la première hormone peptidique reproduite en laboratoire ; Vincent du Vigneaud a reçu pour cela le prix Nobel de chimie en 1955.</w:t>
      </w:r>
    </w:p>
    <w:p>
      <w:pPr>
        <w:numPr>
          <w:ilvl w:val="0"/>
          <w:numId w:val="1275"/>
        </w:numPr>
        <w:pStyle w:val="Compact"/>
      </w:pPr>
      <w:r>
        <w:rPr>
          <w:bCs/>
          <w:b/>
        </w:rPr>
        <w:t xml:space="preserve">Principe d’action :</w:t>
      </w:r>
      <w:r>
        <w:t xml:space="preserve"> </w:t>
      </w:r>
      <w:r>
        <w:t xml:space="preserve">agoniste du récepteur de l’ocytocine. Dans l’organisme, elle déclenche les contractions et le réflexe d’éjection du lait ; dans le cerveau, elle participe à l’attachement, au comportement social et à la régulation du stress.</w:t>
      </w:r>
    </w:p>
    <w:p>
      <w:pPr>
        <w:numPr>
          <w:ilvl w:val="0"/>
          <w:numId w:val="1275"/>
        </w:numPr>
        <w:pStyle w:val="Compact"/>
      </w:pPr>
      <w:r>
        <w:rPr>
          <w:bCs/>
          <w:b/>
        </w:rPr>
        <w:t xml:space="preserve">Autorisation UE et États-Unis (injection/perfusion) :</w:t>
      </w:r>
      <w:r>
        <w:t xml:space="preserve"> </w:t>
      </w:r>
      <w:r>
        <w:t xml:space="preserve">oui, depuis des décennies en obstétrique, pour déclencher et soutenir les contractions et prévenir les hémorragies importantes après l’accouchement.</w:t>
      </w:r>
    </w:p>
    <w:p>
      <w:pPr>
        <w:numPr>
          <w:ilvl w:val="0"/>
          <w:numId w:val="1275"/>
        </w:numPr>
        <w:pStyle w:val="Compact"/>
      </w:pPr>
      <w:r>
        <w:rPr>
          <w:bCs/>
          <w:b/>
        </w:rPr>
        <w:t xml:space="preserve">Autorisation comme spray nasal :</w:t>
      </w:r>
      <w:r>
        <w:t xml:space="preserve"> </w:t>
      </w:r>
      <w:r>
        <w:t xml:space="preserve">un spray nasal d’ocytocine était autrefois autorisé dans plusieurs pays européens pour favoriser l’écoulement du lait pendant l’allaitement, mais il n’est plus commercialisé dans de nombreux pays. Pour des usages psychiques, sociaux ou sexuels, l’ocytocine n’est autorisée nulle part.</w:t>
      </w:r>
    </w:p>
    <w:p>
      <w:pPr>
        <w:numPr>
          <w:ilvl w:val="0"/>
          <w:numId w:val="1275"/>
        </w:numPr>
        <w:pStyle w:val="Compact"/>
      </w:pPr>
      <w:r>
        <w:rPr>
          <w:bCs/>
          <w:b/>
        </w:rPr>
        <w:t xml:space="preserve">AMA (WADA) :</w:t>
      </w:r>
      <w:r>
        <w:t xml:space="preserve"> </w:t>
      </w:r>
      <w:r>
        <w:t xml:space="preserve">pas listée.</w:t>
      </w:r>
    </w:p>
    <w:p>
      <w:pPr>
        <w:numPr>
          <w:ilvl w:val="0"/>
          <w:numId w:val="1275"/>
        </w:numPr>
        <w:pStyle w:val="Compact"/>
      </w:pPr>
      <w:r>
        <w:rPr>
          <w:bCs/>
          <w:b/>
        </w:rPr>
        <w:t xml:space="preserve">Niveau de preuve :</w:t>
      </w:r>
      <w:r>
        <w:t xml:space="preserve"> </w:t>
      </w:r>
      <w:r>
        <w:rPr>
          <w:bCs/>
          <w:b/>
        </w:rPr>
        <w:t xml:space="preserve">B</w:t>
      </w:r>
      <w:r>
        <w:t xml:space="preserve"> </w:t>
      </w:r>
      <w:r>
        <w:t xml:space="preserve">pour l’utilisation en spray nasal – des centaines d’études randomisées, mais en majorité petites et à dose unique ; les rares grandes études de traitement ont été négatives. Pour l’obstétrique (perfusion, injection), le niveau A s’applique ; elle n’est pas le sujet principal de ce chapitre.</w:t>
      </w:r>
    </w:p>
    <w:bookmarkEnd w:id="2196"/>
    <w:bookmarkStart w:id="2208" w:name="mode-daction-supposé-50"/>
    <w:p>
      <w:pPr>
        <w:pStyle w:val="Heading3"/>
      </w:pPr>
      <w:r>
        <w:t xml:space="preserve">Mode d’action supposé</w:t>
      </w:r>
    </w:p>
    <w:bookmarkStart w:id="2197" w:name="Xcc3977743071b8b3af64068fcbd3e7e614a14b9"/>
    <w:p>
      <w:pPr>
        <w:pStyle w:val="Heading4"/>
      </w:pPr>
      <w:r>
        <w:t xml:space="preserve">De l’hormone des contractions à l’« hormone des câlins »</w:t>
      </w:r>
    </w:p>
    <w:p>
      <w:pPr>
        <w:pStyle w:val="FirstParagraph"/>
      </w:pPr>
      <w:r>
        <w:t xml:space="preserve">L’ocytocine tire son nom de l’expression grecque signifiant « accouchement rapide ». Ses fonctions classiques sont physiques : elle fait se contracter l’utérus et expulse le lait des glandes mammaires. Depuis les années 1990, un second rôle a attiré l’attention. Chez les campagnols des prairies, qui forment des couples pour la vie, l’attachement au partenaire dépend du système de l’ocytocine dans le cerveau (expérimentations animales). Chez les moutons et les rongeurs, elle pilote le comportement de soin des mères envers leur progéniture.</w:t>
      </w:r>
    </w:p>
    <w:p>
      <w:pPr>
        <w:pStyle w:val="BodyText"/>
      </w:pPr>
      <w:r>
        <w:t xml:space="preserve">À partir de 2005, ces observations animales ont donné lieu à une vague d’études chez l’humain, qui administraient l’ocytocine en spray nasal et mesuraient le comportement social. Les médias ont forgé des étiquettes comme « hormone des câlins », « hormone de la confiance » ou « hormone de l’amour ». Comme le montre ce chapitre, les données actuelles sont bien plus décevantes que ces slogans.</w:t>
      </w:r>
    </w:p>
    <w:bookmarkEnd w:id="2197"/>
    <w:bookmarkStart w:id="2205" w:name="le-problème-du-nez"/>
    <w:p>
      <w:pPr>
        <w:pStyle w:val="Heading4"/>
      </w:pPr>
      <w:r>
        <w:t xml:space="preserve">Le problème du nez</w:t>
      </w:r>
    </w:p>
    <w:p>
      <w:pPr>
        <w:pStyle w:val="FirstParagraph"/>
      </w:pPr>
      <w:r>
        <w:t xml:space="preserve">En tant que peptide, l’ocytocine est trop grosse et trop hydrosoluble pour franchir la barrière hémato-encéphalique en quantité notable. Le spray nasal est censé trouver, par les nerfs olfactifs et trijumeaux de la muqueuse nasale, un chemin direct vers le cerveau. Savoir si cela fonctionne, et dans quelle mesure, est l’une des questions centrales non résolues du domaine :</w:t>
      </w:r>
    </w:p>
    <w:p>
      <w:pPr>
        <w:numPr>
          <w:ilvl w:val="0"/>
          <w:numId w:val="1276"/>
        </w:numPr>
        <w:pStyle w:val="Compact"/>
      </w:pPr>
      <w:r>
        <w:rPr>
          <w:bCs/>
          <w:b/>
        </w:rPr>
        <w:t xml:space="preserve">Point de vue sceptique :</w:t>
      </w:r>
      <w:r>
        <w:t xml:space="preserve"> </w:t>
      </w:r>
      <w:r>
        <w:t xml:space="preserve">seule une infime fraction de la quantité pulvérisée atteint le liquide céphalorachidien, tandis que le taux sanguin s’élève bien au-delà des valeurs naturelles. Beaucoup d’effets observés pourraient donc provenir d’actions dans l’organisme, par exemple sur le cœur ou l’intestin, qui influenceraient ensuite indirectement le cerveau</w:t>
      </w:r>
      <w:r>
        <w:rPr>
          <w:rStyle w:val="FootnoteReference"/>
        </w:rPr>
        <w:footnoteReference w:id="2198"/>
      </w:r>
      <w:r>
        <w:t xml:space="preserve">.</w:t>
      </w:r>
    </w:p>
    <w:p>
      <w:pPr>
        <w:numPr>
          <w:ilvl w:val="0"/>
          <w:numId w:val="1276"/>
        </w:numPr>
        <w:pStyle w:val="Compact"/>
      </w:pPr>
      <w:r>
        <w:rPr>
          <w:bCs/>
          <w:b/>
        </w:rPr>
        <w:t xml:space="preserve">Observations chez le singe :</w:t>
      </w:r>
      <w:r>
        <w:t xml:space="preserve"> </w:t>
      </w:r>
      <w:r>
        <w:t xml:space="preserve">chez des macaques rhésus, l’ocytocine marquée a atteint le liquide céphalorachidien après administration nasale comme après administration intraveineuse ; la voie nasale n’était pas supérieure</w:t>
      </w:r>
      <w:r>
        <w:rPr>
          <w:rStyle w:val="FootnoteReference"/>
        </w:rPr>
        <w:footnoteReference w:id="2199"/>
      </w:r>
      <w:r>
        <w:t xml:space="preserve">. Dans une seconde étude, de l’ocytocine marquée a été retrouvée après administration nasale – mais pas intraveineuse – dans des régions cérébrales situées le long des voies olfactives et trigéminales</w:t>
      </w:r>
      <w:r>
        <w:rPr>
          <w:rStyle w:val="FootnoteReference"/>
        </w:rPr>
        <w:footnoteReference w:id="2200"/>
      </w:r>
      <w:r>
        <w:t xml:space="preserve">.</w:t>
      </w:r>
    </w:p>
    <w:p>
      <w:pPr>
        <w:numPr>
          <w:ilvl w:val="0"/>
          <w:numId w:val="1276"/>
        </w:numPr>
        <w:pStyle w:val="Compact"/>
      </w:pPr>
      <w:r>
        <w:rPr>
          <w:bCs/>
          <w:b/>
        </w:rPr>
        <w:t xml:space="preserve">Observations chez l’humain :</w:t>
      </w:r>
      <w:r>
        <w:t xml:space="preserve"> </w:t>
      </w:r>
      <w:r>
        <w:t xml:space="preserve">une étude a comparé spray nasal, nébuliseur et perfusion. La diminution de la perfusion sanguine de l’amygdale s’expliquait entièrement par la hausse dans le sang ; il y avait en même temps des indices d’effets directs par voie nasale dans d’autres régions</w:t>
      </w:r>
      <w:r>
        <w:rPr>
          <w:rStyle w:val="FootnoteReference"/>
        </w:rPr>
        <w:footnoteReference w:id="2201"/>
      </w:r>
      <w:r>
        <w:t xml:space="preserve">.</w:t>
      </w:r>
    </w:p>
    <w:p>
      <w:pPr>
        <w:numPr>
          <w:ilvl w:val="0"/>
          <w:numId w:val="1276"/>
        </w:numPr>
        <w:pStyle w:val="Compact"/>
      </w:pPr>
      <w:r>
        <w:rPr>
          <w:bCs/>
          <w:b/>
        </w:rPr>
        <w:t xml:space="preserve">Problèmes de mesure :</w:t>
      </w:r>
      <w:r>
        <w:t xml:space="preserve"> </w:t>
      </w:r>
      <w:r>
        <w:t xml:space="preserve">les taux sanguins d’ocytocine ne reflètent pas les valeurs cérébrales dans des conditions de repos</w:t>
      </w:r>
      <w:r>
        <w:rPr>
          <w:rStyle w:val="FootnoteReference"/>
        </w:rPr>
        <w:footnoteReference w:id="2202"/>
      </w:r>
      <w:r>
        <w:t xml:space="preserve">. Beaucoup d’études plus anciennes utilisaient en outre des méthodes de mesure aujourd’hui considérées comme peu fiables</w:t>
      </w:r>
      <w:r>
        <w:rPr>
          <w:rStyle w:val="FootnoteReference"/>
        </w:rPr>
        <w:footnoteReference w:id="2203"/>
      </w:r>
      <w:r>
        <w:t xml:space="preserve">.</w:t>
      </w:r>
    </w:p>
    <w:p>
      <w:pPr>
        <w:pStyle w:val="FirstParagraph"/>
      </w:pPr>
      <w:r>
        <w:t xml:space="preserve">Les spécialistes qui portent un regard globalement positif sur le domaine considèrent désormais comme démontrée une voie directe du nez vers le cerveau, mais soulignent que la dose, la technique de pulvérisation et le sexe des participants influencent fortement les résultats</w:t>
      </w:r>
      <w:r>
        <w:rPr>
          <w:rStyle w:val="FootnoteReference"/>
        </w:rPr>
        <w:footnoteReference w:id="2204"/>
      </w:r>
      <w:r>
        <w:t xml:space="preserve">. Pour toi, lectrice ou lecteur, cela signifie : l’arrivée d’un spray nasal d’ocytocine dans le cerveau dépend de nombreux détails, et même les spécialistes ne s’accordent pas sur l’ordre de grandeur.</w:t>
      </w:r>
    </w:p>
    <w:bookmarkEnd w:id="2205"/>
    <w:bookmarkStart w:id="2207" w:name="en-bref-locytocine-en-obstétrique"/>
    <w:p>
      <w:pPr>
        <w:pStyle w:val="Heading4"/>
      </w:pPr>
      <w:r>
        <w:t xml:space="preserve">En bref : l’ocytocine en obstétrique</w:t>
      </w:r>
    </w:p>
    <w:p>
      <w:pPr>
        <w:pStyle w:val="FirstParagraph"/>
      </w:pPr>
      <w:r>
        <w:t xml:space="preserve">En perfusion ou en injection, l’ocytocine est l’un des médicaments les plus importants au monde ; l’Organisation mondiale de la santé l’inscrit sur sa liste des médicaments essentiels. Elle est utilisée pour déclencher ou renforcer les contractions et pour prévenir les hémorragies importantes après l’accouchement. Une revue Cochrane portant sur 24 études a conclu que l’ocytocine administrée en prévention réduit environ de moitié le risque d’une perte sanguine de 500 ml ou plus (risque relatif 0,51), avec une qualité parfois faible des études individuelles</w:t>
      </w:r>
      <w:r>
        <w:rPr>
          <w:rStyle w:val="FootnoteReference"/>
        </w:rPr>
        <w:footnoteReference w:id="2206"/>
      </w:r>
      <w:r>
        <w:t xml:space="preserve">. Cet usage relève exclusivement des sages-femmes et des médecins ; la posologie et la surveillance sont régies par le résumé des caractéristiques du produit. Il ne joue aucun rôle dans l’évaluation du spray nasal pour des questions psychiques.</w:t>
      </w:r>
    </w:p>
    <w:bookmarkEnd w:id="2207"/>
    <w:bookmarkEnd w:id="2208"/>
    <w:bookmarkStart w:id="2253" w:name="études-chez-lhumain-50"/>
    <w:p>
      <w:pPr>
        <w:pStyle w:val="Heading3"/>
      </w:pPr>
      <w:r>
        <w:t xml:space="preserve">Études chez l’humain</w:t>
      </w:r>
    </w:p>
    <w:p>
      <w:pPr>
        <w:pStyle w:val="FirstParagraph"/>
      </w:pPr>
      <w:r>
        <w:rPr>
          <w:bCs/>
          <w:b/>
        </w:rPr>
        <w:t xml:space="preserve">Ampleur des données (requête d’octobre 2026) :</w:t>
      </w:r>
      <w:r>
        <w:t xml:space="preserve"> </w:t>
      </w:r>
      <w:r>
        <w:t xml:space="preserve">la recherche automatisée de ce livre (terme « intranasal oxytocin » dans le titre ou le résumé) a trouvé</w:t>
      </w:r>
      <w:r>
        <w:t xml:space="preserve"> </w:t>
      </w:r>
      <w:r>
        <w:rPr>
          <w:bCs/>
          <w:b/>
        </w:rPr>
        <w:t xml:space="preserve">349</w:t>
      </w:r>
      <w:r>
        <w:t xml:space="preserve"> </w:t>
      </w:r>
      <w:r>
        <w:t xml:space="preserve">études chez l’humain dans PubMed (</w:t>
      </w:r>
      <w:r>
        <w:rPr>
          <w:rStyle w:val="VerbatimChar"/>
        </w:rPr>
        <w:t xml:space="preserve">humanstudien_alle</w:t>
      </w:r>
      <w:r>
        <w:t xml:space="preserve">) et</w:t>
      </w:r>
      <w:r>
        <w:t xml:space="preserve"> </w:t>
      </w:r>
      <w:r>
        <w:rPr>
          <w:bCs/>
          <w:b/>
        </w:rPr>
        <w:t xml:space="preserve">263</w:t>
      </w:r>
      <w:r>
        <w:t xml:space="preserve"> </w:t>
      </w:r>
      <w:r>
        <w:t xml:space="preserve">entrées sur ClinicalTrials.gov, dont une vingtaine encore en phase de recrutement. S’y ajoutent au moins 15 méta-analyses et revues systématiques. L’ocytocine est ainsi le peptide le plus étudié chez l’humain dans cette partie du livre. La grande majorité des études n’a toutefois administré qu’une seule dose, le plus souvent à 20 à 60 jeunes hommes en bonne santé, et mesuré des changements à court terme lors de tests de laboratoire ou au scanner cérébral.</w:t>
      </w:r>
    </w:p>
    <w:p>
      <w:pPr>
        <w:pStyle w:val="BodyText"/>
      </w:pPr>
      <w:r>
        <w:t xml:space="preserve">Ce chapitre classe les études en quatre groupes : les études fondamentales chez les personnes en bonne santé suivies de la crise de la réplication, l’autisme comme principal domaine thérapeutique, d’autres troubles psychiatriques et enfin le métabolisme, la douleur et la sexualité.</w:t>
      </w:r>
    </w:p>
    <w:bookmarkStart w:id="2212" w:name="Xf27cf3ffb10920fe52b515f4a2c3ff3f8391d9a"/>
    <w:p>
      <w:pPr>
        <w:pStyle w:val="Heading4"/>
      </w:pPr>
      <w:r>
        <w:t xml:space="preserve">Comportement social chez les personnes en bonne santé : confiance, stress, émotions</w:t>
      </w:r>
    </w:p>
    <w:p>
      <w:pPr>
        <w:pStyle w:val="FirstParagraph"/>
      </w:pPr>
      <w:r>
        <w:rPr>
          <w:bCs/>
          <w:b/>
        </w:rPr>
        <w:t xml:space="preserve">Confiance.</w:t>
      </w:r>
      <w:r>
        <w:t xml:space="preserve"> </w:t>
      </w:r>
      <w:r>
        <w:t xml:space="preserve">L’étude fondatrice du domaine est parue en 2005 dans Nature : des hommes ayant inhalé de l’ocytocine confiaient davantage d’argent à un inconnu lors d’un jeu économique</w:t>
      </w:r>
      <w:r>
        <w:rPr>
          <w:rStyle w:val="FootnoteReference"/>
        </w:rPr>
        <w:footnoteReference w:id="2209"/>
      </w:r>
      <w:r>
        <w:t xml:space="preserve">. Dans ce « jeu de la confiance », un investisseur décide combien d’argent il confie à un dépositaire ; la somme est multipliée, et le dépositaire décide combien il en rend. L’ocytocine n’augmentait pas la prise de risque en général, mais spécifiquement la disposition à prendre des risques sociaux.</w:t>
      </w:r>
    </w:p>
    <w:p>
      <w:pPr>
        <w:pStyle w:val="BodyText"/>
      </w:pPr>
      <w:r>
        <w:rPr>
          <w:bCs/>
          <w:b/>
        </w:rPr>
        <w:t xml:space="preserve">Stress.</w:t>
      </w:r>
      <w:r>
        <w:t xml:space="preserve"> </w:t>
      </w:r>
      <w:r>
        <w:t xml:space="preserve">Dans une étude portant sur 37 hommes en bonne santé, l’ocytocine a atténué l’anxiété lors d’un test de stress standardisé (discours en public et calcul mental devant un auditoire). Les valeurs les plus basses de l’hormone du stress cortisol ont été observées chez les hommes qui recevaient de l’ocytocine et étaient en plus soutenus par leur meilleur ami</w:t>
      </w:r>
      <w:r>
        <w:rPr>
          <w:rStyle w:val="FootnoteReference"/>
        </w:rPr>
        <w:footnoteReference w:id="2210"/>
      </w:r>
      <w:r>
        <w:t xml:space="preserve">.</w:t>
      </w:r>
    </w:p>
    <w:p>
      <w:pPr>
        <w:pStyle w:val="BodyText"/>
      </w:pPr>
      <w:r>
        <w:rPr>
          <w:bCs/>
          <w:b/>
        </w:rPr>
        <w:t xml:space="preserve">Reconnaître les émotions.</w:t>
      </w:r>
      <w:r>
        <w:t xml:space="preserve"> </w:t>
      </w:r>
      <w:r>
        <w:t xml:space="preserve">Une méta-analyse de 33 études a montré qu’une dose unique améliorait légèrement, chez les personnes en bonne santé, la reconnaissance des émotions de base, surtout la peur. Chez les personnes atteintes de troubles psychiques, en revanche, aucun effet n’est apparu</w:t>
      </w:r>
      <w:r>
        <w:rPr>
          <w:rStyle w:val="FootnoteReference"/>
        </w:rPr>
        <w:footnoteReference w:id="2211"/>
      </w:r>
      <w:r>
        <w:t xml:space="preserve">.</w:t>
      </w:r>
    </w:p>
    <w:p>
      <w:pPr>
        <w:pStyle w:val="BodyText"/>
      </w:pPr>
      <w:r>
        <w:t xml:space="preserve">Des centaines d’autres études ont rapporté des effets sur le regard, l’empathie, la mémoire des visages, l’appartenance au groupe, le mensonge, la générosité, la jalousie et bien d’autres choses. Beaucoup de ces résultats n’apparaissaient que dans des sous-groupes, par exemple seulement chez les hommes, seulement chez les personnes anxieuses ou seulement pour certaines variantes génétiques du récepteur de l’ocytocine.</w:t>
      </w:r>
    </w:p>
    <w:bookmarkEnd w:id="2212"/>
    <w:bookmarkStart w:id="2218" w:name="la-crise-de-la-réplication"/>
    <w:p>
      <w:pPr>
        <w:pStyle w:val="Heading4"/>
      </w:pPr>
      <w:r>
        <w:t xml:space="preserve">La crise de la réplication</w:t>
      </w:r>
    </w:p>
    <w:p>
      <w:pPr>
        <w:pStyle w:val="FirstParagraph"/>
      </w:pPr>
      <w:r>
        <w:t xml:space="preserve">À partir de 2015 environ, les doutes se sont multipliés. Le terme de crise de la réplication désigne le problème suivant : beaucoup de résultats publiés en psychologie et en médecine ne se confirment pas lorsque d’autres chercheurs reproduisent les études. L’ocytocine en est devenue un exemple 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Étude</w:t>
            </w:r>
          </w:p>
        </w:tc>
        <w:tc>
          <w:tcPr/>
          <w:p>
            <w:pPr>
              <w:pStyle w:val="Compact"/>
              <w:jc w:val="left"/>
            </w:pPr>
            <w:r>
              <w:t xml:space="preserve">Type</w:t>
            </w:r>
          </w:p>
        </w:tc>
        <w:tc>
          <w:tcPr/>
          <w:p>
            <w:pPr>
              <w:pStyle w:val="Compact"/>
              <w:jc w:val="left"/>
            </w:pPr>
            <w:r>
              <w:t xml:space="preserve">Message clé</w:t>
            </w:r>
          </w:p>
        </w:tc>
      </w:tr>
      <w:tr>
        <w:tc>
          <w:tcPr/>
          <w:p>
            <w:pPr>
              <w:pStyle w:val="Compact"/>
              <w:jc w:val="left"/>
            </w:pPr>
            <w:r>
              <w:t xml:space="preserve">Kosfeld 2005, PMID 15931222</w:t>
            </w:r>
          </w:p>
        </w:tc>
        <w:tc>
          <w:tcPr/>
          <w:p>
            <w:pPr>
              <w:pStyle w:val="Compact"/>
              <w:jc w:val="left"/>
            </w:pPr>
            <w:r>
              <w:t xml:space="preserve">Étude originale, jeu de la confiance</w:t>
            </w:r>
          </w:p>
        </w:tc>
        <w:tc>
          <w:tcPr/>
          <w:p>
            <w:pPr>
              <w:pStyle w:val="Compact"/>
              <w:jc w:val="left"/>
            </w:pPr>
            <w:r>
              <w:t xml:space="preserve">L’ocytocine augmente la confiance</w:t>
            </w:r>
          </w:p>
        </w:tc>
      </w:tr>
      <w:tr>
        <w:tc>
          <w:tcPr/>
          <w:p>
            <w:pPr>
              <w:pStyle w:val="Compact"/>
              <w:jc w:val="left"/>
            </w:pPr>
            <w:r>
              <w:t xml:space="preserve">Nave 2015, PMID 26581735</w:t>
            </w:r>
          </w:p>
        </w:tc>
        <w:tc>
          <w:tcPr/>
          <w:p>
            <w:pPr>
              <w:pStyle w:val="Compact"/>
              <w:jc w:val="left"/>
            </w:pPr>
            <w:r>
              <w:t xml:space="preserve">Revue critique</w:t>
            </w:r>
          </w:p>
        </w:tc>
        <w:tc>
          <w:tcPr/>
          <w:p>
            <w:pPr>
              <w:pStyle w:val="Compact"/>
              <w:jc w:val="left"/>
            </w:pPr>
            <w:r>
              <w:t xml:space="preserve">L’effet sur la confiance n’a pas pu être reproduit de manière fiable</w:t>
            </w:r>
          </w:p>
        </w:tc>
      </w:tr>
      <w:tr>
        <w:tc>
          <w:tcPr/>
          <w:p>
            <w:pPr>
              <w:pStyle w:val="Compact"/>
              <w:jc w:val="left"/>
            </w:pPr>
            <w:r>
              <w:t xml:space="preserve">Lane 2015, PMID 26368396</w:t>
            </w:r>
          </w:p>
        </w:tc>
        <w:tc>
          <w:tcPr/>
          <w:p>
            <w:pPr>
              <w:pStyle w:val="Compact"/>
              <w:jc w:val="left"/>
            </w:pPr>
            <w:r>
              <w:t xml:space="preserve">Deux études de réplication (95 et 61 personnes)</w:t>
            </w:r>
          </w:p>
        </w:tc>
        <w:tc>
          <w:tcPr/>
          <w:p>
            <w:pPr>
              <w:pStyle w:val="Compact"/>
              <w:jc w:val="left"/>
            </w:pPr>
            <w:r>
              <w:t xml:space="preserve">Grand effet non confirmé dans un autre test de confiance</w:t>
            </w:r>
          </w:p>
        </w:tc>
      </w:tr>
      <w:tr>
        <w:tc>
          <w:tcPr/>
          <w:p>
            <w:pPr>
              <w:pStyle w:val="Compact"/>
              <w:jc w:val="left"/>
            </w:pPr>
            <w:r>
              <w:t xml:space="preserve">Walum 2016, PMID 26210057</w:t>
            </w:r>
          </w:p>
        </w:tc>
        <w:tc>
          <w:tcPr/>
          <w:p>
            <w:pPr>
              <w:pStyle w:val="Compact"/>
              <w:jc w:val="left"/>
            </w:pPr>
            <w:r>
              <w:t xml:space="preserve">Analyse statistique du domaine</w:t>
            </w:r>
          </w:p>
        </w:tc>
        <w:tc>
          <w:tcPr/>
          <w:p>
            <w:pPr>
              <w:pStyle w:val="Compact"/>
              <w:jc w:val="left"/>
            </w:pPr>
            <w:r>
              <w:t xml:space="preserve">Études le plus souvent trop petites ; la plupart des résultats publiés ne sont probablement pas de vrais effets</w:t>
            </w:r>
          </w:p>
        </w:tc>
      </w:tr>
      <w:tr>
        <w:tc>
          <w:tcPr/>
          <w:p>
            <w:pPr>
              <w:pStyle w:val="Compact"/>
              <w:jc w:val="left"/>
            </w:pPr>
            <w:r>
              <w:t xml:space="preserve">Mierop 2020, PMID 32633663</w:t>
            </w:r>
          </w:p>
        </w:tc>
        <w:tc>
          <w:tcPr/>
          <w:p>
            <w:pPr>
              <w:pStyle w:val="Compact"/>
              <w:jc w:val="left"/>
            </w:pPr>
            <w:r>
              <w:t xml:space="preserve">Revue systématique</w:t>
            </w:r>
          </w:p>
        </w:tc>
        <w:tc>
          <w:tcPr/>
          <w:p>
            <w:pPr>
              <w:pStyle w:val="Compact"/>
              <w:jc w:val="left"/>
            </w:pPr>
            <w:r>
              <w:t xml:space="preserve">Tentatives de réplication des interactions le plus souvent infructueuses ; puissance statistique dangereusement faible</w:t>
            </w:r>
          </w:p>
        </w:tc>
      </w:tr>
      <w:tr>
        <w:tc>
          <w:tcPr/>
          <w:p>
            <w:pPr>
              <w:pStyle w:val="Compact"/>
              <w:jc w:val="left"/>
            </w:pPr>
            <w:r>
              <w:t xml:space="preserve">Declerck 2020, PMID 32514040</w:t>
            </w:r>
          </w:p>
        </w:tc>
        <w:tc>
          <w:tcPr/>
          <w:p>
            <w:pPr>
              <w:pStyle w:val="Compact"/>
              <w:jc w:val="left"/>
            </w:pPr>
            <w:r>
              <w:t xml:space="preserve">Étude de réplication préenregistrée</w:t>
            </w:r>
          </w:p>
        </w:tc>
        <w:tc>
          <w:tcPr/>
          <w:p>
            <w:pPr>
              <w:pStyle w:val="Compact"/>
              <w:jc w:val="left"/>
            </w:pPr>
            <w:r>
              <w:t xml:space="preserve">Aucun effet sur la confiance dans la condition originale</w:t>
            </w:r>
          </w:p>
        </w:tc>
      </w:tr>
      <w:tr>
        <w:tc>
          <w:tcPr/>
          <w:p>
            <w:pPr>
              <w:pStyle w:val="Compact"/>
              <w:jc w:val="left"/>
            </w:pPr>
            <w:r>
              <w:t xml:space="preserve">Vogt 2026, PMID 42561025</w:t>
            </w:r>
          </w:p>
        </w:tc>
        <w:tc>
          <w:tcPr/>
          <w:p>
            <w:pPr>
              <w:pStyle w:val="Compact"/>
              <w:jc w:val="left"/>
            </w:pPr>
            <w:r>
              <w:t xml:space="preserve">Étude préenregistrée, 359 hommes ayant une faible confiance de base</w:t>
            </w:r>
          </w:p>
        </w:tc>
        <w:tc>
          <w:tcPr/>
          <w:p>
            <w:pPr>
              <w:pStyle w:val="Compact"/>
              <w:jc w:val="left"/>
            </w:pPr>
            <w:r>
              <w:t xml:space="preserve">Confiance augmentée d’environ 15 %</w:t>
            </w:r>
          </w:p>
        </w:tc>
      </w:tr>
    </w:tbl>
    <w:p>
      <w:pPr>
        <w:pStyle w:val="BodyText"/>
      </w:pPr>
      <w:r>
        <w:t xml:space="preserve">Une revue de 2015 a conclu que l’ensemble des données ne démontre pas que la confiance humaine est liée de manière fiable à l’ocytocine ni causée par elle</w:t>
      </w:r>
      <w:r>
        <w:rPr>
          <w:rStyle w:val="FootnoteReference"/>
        </w:rPr>
        <w:footnoteReference w:id="2213"/>
      </w:r>
      <w:r>
        <w:t xml:space="preserve">. Une analyse statistique de toutes les études sur le spray nasal est allée plus loin : les études seraient en règle générale trop petites pour détecter des effets réalistes, et il est très probable que la plupart des résultats publiés ne représentent pas de vrais effets</w:t>
      </w:r>
      <w:r>
        <w:rPr>
          <w:rStyle w:val="FootnoteReference"/>
        </w:rPr>
        <w:footnoteReference w:id="2214"/>
      </w:r>
      <w:r>
        <w:t xml:space="preserve">.</w:t>
      </w:r>
    </w:p>
    <w:p>
      <w:pPr>
        <w:pStyle w:val="BodyText"/>
      </w:pPr>
      <w:r>
        <w:t xml:space="preserve">Le test décisif a été une grande réplication préenregistrée de l’étude sur la confiance, avec une puissance statistique supérieure à 95 %. Dans la condition correspondant à l’étude originale, l’ocytocine n’a montré aucun effet. Une analyse a posteriori suggérait un effet uniquement chez les personnes ayant une faible confiance de base</w:t>
      </w:r>
      <w:r>
        <w:rPr>
          <w:rStyle w:val="FootnoteReference"/>
        </w:rPr>
        <w:footnoteReference w:id="2215"/>
      </w:r>
      <w:r>
        <w:t xml:space="preserve">. C’est précisément cette hypothèse qu’une autre étude préenregistrée a examinée en 2026 chez 359 hommes ayant une faible confiance de base ; elle a trouvé une hausse de la confiance d’environ 15 %</w:t>
      </w:r>
      <w:r>
        <w:rPr>
          <w:rStyle w:val="FootnoteReference"/>
        </w:rPr>
        <w:footnoteReference w:id="2216"/>
      </w:r>
      <w:r>
        <w:t xml:space="preserve">.</w:t>
      </w:r>
    </w:p>
    <w:p>
      <w:pPr>
        <w:pStyle w:val="BodyText"/>
      </w:pPr>
      <w:r>
        <w:rPr>
          <w:bCs/>
          <w:b/>
        </w:rPr>
        <w:t xml:space="preserve">Ce que cela signifie :</w:t>
      </w:r>
      <w:r>
        <w:t xml:space="preserve"> </w:t>
      </w:r>
      <w:r>
        <w:t xml:space="preserve">l’effet initial et général « l’ocytocine rend plus confiant » ne s’est pas confirmé. Il existe peut-être un effet plus petit dans un sous-groupe précis et dans certaines conditions. C’est intéressant scientifiquement, mais loin d’une utilité pratique. Ces expériences ont transformé le domaine : les études sont aujourd’hui plus souvent préenregistrées, plus grandes, et rapportent aussi les résultats négatifs. Une plateforme en ligne présentée en 2026 doit analyser les données en continu</w:t>
      </w:r>
      <w:r>
        <w:rPr>
          <w:rStyle w:val="FootnoteReference"/>
        </w:rPr>
        <w:footnoteReference w:id="2217"/>
      </w:r>
      <w:r>
        <w:t xml:space="preserve">.</w:t>
      </w:r>
    </w:p>
    <w:bookmarkEnd w:id="2218"/>
    <w:bookmarkStart w:id="2231" w:name="autisme"/>
    <w:p>
      <w:pPr>
        <w:pStyle w:val="Heading4"/>
      </w:pPr>
      <w:r>
        <w:t xml:space="preserve">Autisme</w:t>
      </w:r>
    </w:p>
    <w:p>
      <w:pPr>
        <w:pStyle w:val="FirstParagraph"/>
      </w:pPr>
      <w:r>
        <w:t xml:space="preserve">Les troubles du spectre de l’autisme se caractérisent par des difficultés de communication sociale et par des comportements restreints et répétitifs. Il n’existe aucun médicament qui modifie ces caractéristiques centrales. L’ocytocine a donc longtemps été considérée comme un grand espoir, et dans certains pays elle était déjà prescrite à des enfants autistes en dehors d’études</w:t>
      </w:r>
      <w:r>
        <w:rPr>
          <w:rStyle w:val="FootnoteReference"/>
        </w:rPr>
        <w:footnoteReference w:id="2219"/>
      </w:r>
      <w:r>
        <w:t xml:space="preserve">.</w:t>
      </w:r>
    </w:p>
    <w:p>
      <w:pPr>
        <w:pStyle w:val="BodyText"/>
      </w:pPr>
      <w:r>
        <w:rPr>
          <w:bCs/>
          <w:b/>
        </w:rPr>
        <w:t xml:space="preserve">Premières études.</w:t>
      </w:r>
      <w:r>
        <w:t xml:space="preserve"> </w:t>
      </w:r>
      <w:r>
        <w:t xml:space="preserve">Une revue systématique de 2014 a recensé sept études randomisées réunissant 101 personnes autistes, presque toutes de sexe masculin. Les études étaient petites (15 participants en médiane) et présentaient un risque de biais moyen à élevé. Presque toutes rapportaient au moins un résultat positif, le plus souvent pour le regard ou la reconnaissance des émotions</w:t>
      </w:r>
      <w:r>
        <w:rPr>
          <w:rStyle w:val="FootnoteReference"/>
        </w:rPr>
        <w:footnoteReference w:id="2220"/>
      </w:r>
      <w:r>
        <w:t xml:space="preserve">.</w:t>
      </w:r>
    </w:p>
    <w:p>
      <w:pPr>
        <w:pStyle w:val="BodyText"/>
      </w:pPr>
      <w:r>
        <w:rPr>
          <w:bCs/>
          <w:b/>
        </w:rPr>
        <w:t xml:space="preserve">Études de traitement sur plusieurs semaines.</w:t>
      </w:r>
      <w:r>
        <w:t xml:space="preserve"> </w:t>
      </w:r>
      <w:r>
        <w:t xml:space="preserve">Ont suivi des études dans lesquelles des enfants et des adultes ont reçu de l’ocytocine pendant plusieurs semaines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Anagnostou 2012, PMID 23216716</w:t>
            </w:r>
          </w:p>
        </w:tc>
        <w:tc>
          <w:tcPr/>
          <w:p>
            <w:pPr>
              <w:pStyle w:val="Compact"/>
              <w:jc w:val="left"/>
            </w:pPr>
            <w:r>
              <w:t xml:space="preserve">19 adultes, ECR</w:t>
            </w:r>
          </w:p>
        </w:tc>
        <w:tc>
          <w:tcPr/>
          <w:p>
            <w:pPr>
              <w:pStyle w:val="Compact"/>
              <w:jc w:val="left"/>
            </w:pPr>
            <w:r>
              <w:t xml:space="preserve">6 semaines</w:t>
            </w:r>
          </w:p>
        </w:tc>
        <w:tc>
          <w:tcPr/>
          <w:p>
            <w:pPr>
              <w:pStyle w:val="Compact"/>
              <w:jc w:val="left"/>
            </w:pPr>
            <w:r>
              <w:t xml:space="preserve">Critères principaux non atteints ; amélioration de critères secondaires</w:t>
            </w:r>
          </w:p>
        </w:tc>
      </w:tr>
      <w:tr>
        <w:tc>
          <w:tcPr/>
          <w:p>
            <w:pPr>
              <w:pStyle w:val="Compact"/>
              <w:jc w:val="left"/>
            </w:pPr>
            <w:r>
              <w:t xml:space="preserve">Guastella 2015, PMID 25087908</w:t>
            </w:r>
          </w:p>
        </w:tc>
        <w:tc>
          <w:tcPr/>
          <w:p>
            <w:pPr>
              <w:pStyle w:val="Compact"/>
              <w:jc w:val="left"/>
            </w:pPr>
            <w:r>
              <w:t xml:space="preserve">50 adolescents de sexe masculin (12–18 ans), ECR</w:t>
            </w:r>
          </w:p>
        </w:tc>
        <w:tc>
          <w:tcPr/>
          <w:p>
            <w:pPr>
              <w:pStyle w:val="Compact"/>
              <w:jc w:val="left"/>
            </w:pPr>
            <w:r>
              <w:t xml:space="preserve">8 semaines</w:t>
            </w:r>
          </w:p>
        </w:tc>
        <w:tc>
          <w:tcPr/>
          <w:p>
            <w:pPr>
              <w:pStyle w:val="Compact"/>
              <w:jc w:val="left"/>
            </w:pPr>
            <w:r>
              <w:t xml:space="preserve">Aucun bénéfice sur les critères principaux ou secondaires</w:t>
            </w:r>
          </w:p>
        </w:tc>
      </w:tr>
      <w:tr>
        <w:tc>
          <w:tcPr/>
          <w:p>
            <w:pPr>
              <w:pStyle w:val="Compact"/>
              <w:jc w:val="left"/>
            </w:pPr>
            <w:r>
              <w:t xml:space="preserve">Yatawara 2016, PMID 26503762</w:t>
            </w:r>
          </w:p>
        </w:tc>
        <w:tc>
          <w:tcPr/>
          <w:p>
            <w:pPr>
              <w:pStyle w:val="Compact"/>
              <w:jc w:val="left"/>
            </w:pPr>
            <w:r>
              <w:t xml:space="preserve">31 jeunes enfants, étude croisée contre placebo</w:t>
            </w:r>
          </w:p>
        </w:tc>
        <w:tc>
          <w:tcPr/>
          <w:p>
            <w:pPr>
              <w:pStyle w:val="Compact"/>
              <w:jc w:val="left"/>
            </w:pPr>
            <w:r>
              <w:t xml:space="preserve">5 semaines chacune</w:t>
            </w:r>
          </w:p>
        </w:tc>
        <w:tc>
          <w:tcPr/>
          <w:p>
            <w:pPr>
              <w:pStyle w:val="Compact"/>
              <w:jc w:val="left"/>
            </w:pPr>
            <w:r>
              <w:t xml:space="preserve">Réactivité sociale améliorée selon les parents</w:t>
            </w:r>
          </w:p>
        </w:tc>
      </w:tr>
      <w:tr>
        <w:tc>
          <w:tcPr/>
          <w:p>
            <w:pPr>
              <w:pStyle w:val="Compact"/>
              <w:jc w:val="left"/>
            </w:pPr>
            <w:r>
              <w:t xml:space="preserve">Parker 2017, PMID 28696286</w:t>
            </w:r>
          </w:p>
        </w:tc>
        <w:tc>
          <w:tcPr/>
          <w:p>
            <w:pPr>
              <w:pStyle w:val="Compact"/>
              <w:jc w:val="left"/>
            </w:pPr>
            <w:r>
              <w:t xml:space="preserve">32 enfants (6–12 ans), ECR</w:t>
            </w:r>
          </w:p>
        </w:tc>
        <w:tc>
          <w:tcPr/>
          <w:p>
            <w:pPr>
              <w:pStyle w:val="Compact"/>
              <w:jc w:val="left"/>
            </w:pPr>
            <w:r>
              <w:t xml:space="preserve">4 semaines</w:t>
            </w:r>
          </w:p>
        </w:tc>
        <w:tc>
          <w:tcPr/>
          <w:p>
            <w:pPr>
              <w:pStyle w:val="Compact"/>
              <w:jc w:val="left"/>
            </w:pPr>
            <w:r>
              <w:t xml:space="preserve">Compétences sociales améliorées en tenant compte des valeurs sanguines initiales ; un taux initial bas prédisait la réponse</w:t>
            </w:r>
          </w:p>
        </w:tc>
      </w:tr>
      <w:tr>
        <w:tc>
          <w:tcPr/>
          <w:p>
            <w:pPr>
              <w:pStyle w:val="Compact"/>
              <w:jc w:val="left"/>
            </w:pPr>
            <w:r>
              <w:t xml:space="preserve">SOARS-B (Sikich 2021), PMID 34644471</w:t>
            </w:r>
          </w:p>
        </w:tc>
        <w:tc>
          <w:tcPr/>
          <w:p>
            <w:pPr>
              <w:pStyle w:val="Compact"/>
              <w:jc w:val="left"/>
            </w:pPr>
            <w:r>
              <w:t xml:space="preserve">290 enfants et adolescents (3–17 ans), ECR</w:t>
            </w:r>
          </w:p>
        </w:tc>
        <w:tc>
          <w:tcPr/>
          <w:p>
            <w:pPr>
              <w:pStyle w:val="Compact"/>
              <w:jc w:val="left"/>
            </w:pPr>
            <w:r>
              <w:t xml:space="preserve">24 semaines</w:t>
            </w:r>
          </w:p>
        </w:tc>
        <w:tc>
          <w:tcPr/>
          <w:p>
            <w:pPr>
              <w:pStyle w:val="Compact"/>
              <w:jc w:val="left"/>
            </w:pPr>
            <w:r>
              <w:t xml:space="preserve">Aucune différence : −3,7 contre −3,5 points pour le retrait social</w:t>
            </w:r>
          </w:p>
        </w:tc>
      </w:tr>
      <w:tr>
        <w:tc>
          <w:tcPr/>
          <w:p>
            <w:pPr>
              <w:pStyle w:val="Compact"/>
              <w:jc w:val="left"/>
            </w:pPr>
            <w:r>
              <w:t xml:space="preserve">Guastella 2023, PMID 36302965</w:t>
            </w:r>
          </w:p>
        </w:tc>
        <w:tc>
          <w:tcPr/>
          <w:p>
            <w:pPr>
              <w:pStyle w:val="Compact"/>
              <w:jc w:val="left"/>
            </w:pPr>
            <w:r>
              <w:t xml:space="preserve">87 enfants (3–12 ans), ECR après phase préliminaire sous placebo</w:t>
            </w:r>
          </w:p>
        </w:tc>
        <w:tc>
          <w:tcPr/>
          <w:p>
            <w:pPr>
              <w:pStyle w:val="Compact"/>
              <w:jc w:val="left"/>
            </w:pPr>
            <w:r>
              <w:t xml:space="preserve">12 semaines</w:t>
            </w:r>
          </w:p>
        </w:tc>
        <w:tc>
          <w:tcPr/>
          <w:p>
            <w:pPr>
              <w:pStyle w:val="Compact"/>
              <w:jc w:val="left"/>
            </w:pPr>
            <w:r>
              <w:t xml:space="preserve">Aucun effet global ; indice d’efficacité chez les 3–5 ans</w:t>
            </w:r>
          </w:p>
        </w:tc>
      </w:tr>
    </w:tbl>
    <w:p>
      <w:pPr>
        <w:pStyle w:val="BodyText"/>
      </w:pPr>
      <w:r>
        <w:rPr>
          <w:bCs/>
          <w:b/>
        </w:rPr>
        <w:t xml:space="preserve">L’étude SOARS-B.</w:t>
      </w:r>
      <w:r>
        <w:t xml:space="preserve"> </w:t>
      </w:r>
      <w:r>
        <w:t xml:space="preserve">L’étude de loin la plus grande et la plus probante est SOARS-B (Study of Oxytocin in Autism to Improve Reciprocal Social Behaviors), financée par les autorités sanitaires américaines et publiée en 2021 dans le New England Journal of Medicine</w:t>
      </w:r>
      <w:r>
        <w:rPr>
          <w:rStyle w:val="FootnoteReference"/>
        </w:rPr>
        <w:footnoteReference w:id="2221"/>
      </w:r>
      <w:r>
        <w:t xml:space="preserve">. 290 enfants et adolescents de 3 à 17 ans ont reçu pendant 24 semaines, chaque jour, de l’ocytocine ou un spray nasal placebo. Le critère principal était une échelle de retrait social (ABC-mSW, 0 à 39 points).</w:t>
      </w:r>
    </w:p>
    <w:p>
      <w:pPr>
        <w:pStyle w:val="BodyText"/>
      </w:pPr>
      <w:r>
        <w:t xml:space="preserve">Le résultat était clairement négatif : le score a baissé de 3,7 points sous ocytocine et de 3,5 points sous placebo. La différence de 0,2 point n’était significative ni statistiquement ni cliniquement. Les critères secondaires – deux autres mesures du fonctionnement social et un test d’intelligence – ne différaient pas non plus. Les effets indésirables étaient aussi fréquents dans les deux groupes.</w:t>
      </w:r>
    </w:p>
    <w:p>
      <w:pPr>
        <w:pStyle w:val="BodyText"/>
      </w:pPr>
      <w:r>
        <w:rPr>
          <w:bCs/>
          <w:b/>
        </w:rPr>
        <w:t xml:space="preserve">L’étude australienne chez les jeunes enfants.</w:t>
      </w:r>
      <w:r>
        <w:t xml:space="preserve"> </w:t>
      </w:r>
      <w:r>
        <w:t xml:space="preserve">Le groupe d’Adam Guastella avait auparavant trouvé un résultat positif chez de jeunes enfants</w:t>
      </w:r>
      <w:r>
        <w:rPr>
          <w:rStyle w:val="FootnoteReference"/>
        </w:rPr>
        <w:footnoteReference w:id="2222"/>
      </w:r>
      <w:r>
        <w:t xml:space="preserve">. Une étude de suivi plus grande portant sur 87 enfants a ajouté une phase préliminaire de trois semaines sous placebo afin de filtrer le fort effet placebo. Globalement, l’ocytocine n’a montré aucun effet sur la réactivité sociale. Seul le sous-groupe des 3–5 ans laissait entrevoir une amélioration selon le jugement des parents ; l’évaluation médicale et toutes les autres mesures n’ont montré aucun bénéfice</w:t>
      </w:r>
      <w:r>
        <w:rPr>
          <w:rStyle w:val="FootnoteReference"/>
        </w:rPr>
        <w:footnoteReference w:id="2223"/>
      </w:r>
      <w:r>
        <w:t xml:space="preserve">. Fait notable : dans l’étude de 2015 chez les adolescents, les parents qui croyaient que leur enfant recevait de l’ocytocine rapportaient de plus grandes améliorations – indépendamment de ce que l’enfant recevait réellement</w:t>
      </w:r>
      <w:r>
        <w:rPr>
          <w:rStyle w:val="FootnoteReference"/>
        </w:rPr>
        <w:footnoteReference w:id="2224"/>
      </w:r>
      <w:r>
        <w:t xml:space="preserve">.</w:t>
      </w:r>
    </w:p>
    <w:p>
      <w:pPr>
        <w:pStyle w:val="BodyText"/>
      </w:pPr>
      <w:r>
        <w:rPr>
          <w:bCs/>
          <w:b/>
        </w:rPr>
        <w:t xml:space="preserve">Des effets biologiques sans bénéfice clinique.</w:t>
      </w:r>
      <w:r>
        <w:t xml:space="preserve"> </w:t>
      </w:r>
      <w:r>
        <w:t xml:space="preserve">Une étude portant sur 79 enfants a trouvé, après quatre semaines d’ocytocine, des taux salivaires d’ocytocine plus élevés et des modifications du marquage épigénétique du gène du récepteur</w:t>
      </w:r>
      <w:r>
        <w:rPr>
          <w:rStyle w:val="FootnoteReference"/>
        </w:rPr>
        <w:footnoteReference w:id="2225"/>
      </w:r>
      <w:r>
        <w:t xml:space="preserve">. Au scanner cérébral, en revanche, aucun effet significatif du traitement sur le traitement des visages n’est apparu dans ce même groupe</w:t>
      </w:r>
      <w:r>
        <w:rPr>
          <w:rStyle w:val="FootnoteReference"/>
        </w:rPr>
        <w:footnoteReference w:id="2226"/>
      </w:r>
      <w:r>
        <w:t xml:space="preserve">. De tels signaux biologiques sont intéressants scientifiquement, mais ne prouvent aucune amélioration au quotidien.</w:t>
      </w:r>
    </w:p>
    <w:p>
      <w:pPr>
        <w:pStyle w:val="BodyText"/>
      </w:pPr>
      <w:r>
        <w:rPr>
          <w:bCs/>
          <w:b/>
        </w:rPr>
        <w:t xml:space="preserve">Méta-analyses.</w:t>
      </w:r>
      <w:r>
        <w:t xml:space="preserve"> </w:t>
      </w:r>
      <w:r>
        <w:t xml:space="preserve">Les synthèses aboutissent à des résultats différents selon les études qu’elles incluent :</w:t>
      </w:r>
    </w:p>
    <w:p>
      <w:pPr>
        <w:numPr>
          <w:ilvl w:val="0"/>
          <w:numId w:val="1277"/>
        </w:numPr>
        <w:pStyle w:val="Compact"/>
      </w:pPr>
      <w:r>
        <w:t xml:space="preserve">Une méta-analyse de 17 études randomisées réunissant 466 personnes atteintes de troubles du développement n’a trouvé aucun effet sur la reconnaissance des émotions et un petit effet sur la compréhension des pensées d’autrui</w:t>
      </w:r>
      <w:r>
        <w:rPr>
          <w:rStyle w:val="FootnoteReference"/>
        </w:rPr>
        <w:footnoteReference w:id="2227"/>
      </w:r>
      <w:r>
        <w:t xml:space="preserve">.</w:t>
      </w:r>
    </w:p>
    <w:p>
      <w:pPr>
        <w:numPr>
          <w:ilvl w:val="0"/>
          <w:numId w:val="1277"/>
        </w:numPr>
        <w:pStyle w:val="Compact"/>
      </w:pPr>
      <w:r>
        <w:t xml:space="preserve">Une méta-analyse de 28 études réunissant 726 personnes autistes, y compris des études non contrôlées, a abouti à un jugement plus positif sur le fonctionnement social</w:t>
      </w:r>
      <w:r>
        <w:rPr>
          <w:rStyle w:val="FootnoteReference"/>
        </w:rPr>
        <w:footnoteReference w:id="2228"/>
      </w:r>
      <w:r>
        <w:t xml:space="preserve">. L’inclusion d’études non contrôlées rend ce résultat vulnérable aux biais.</w:t>
      </w:r>
    </w:p>
    <w:p>
      <w:pPr>
        <w:numPr>
          <w:ilvl w:val="0"/>
          <w:numId w:val="1277"/>
        </w:numPr>
        <w:pStyle w:val="Compact"/>
      </w:pPr>
      <w:r>
        <w:t xml:space="preserve">La plus grande méta-analyse à ce jour, portant sur l’ensemble des troubles psychiques (42 études en double aveugle, 1 922 personnes), n’a trouvé globalement aucun effet significatif. Après exclusion de deux valeurs aberrantes, la taille d’effet était proche de zéro</w:t>
      </w:r>
      <w:r>
        <w:rPr>
          <w:rStyle w:val="FootnoteReference"/>
        </w:rPr>
        <w:footnoteReference w:id="2229"/>
      </w:r>
      <w:r>
        <w:t xml:space="preserve">.</w:t>
      </w:r>
    </w:p>
    <w:p>
      <w:pPr>
        <w:pStyle w:val="FirstParagraph"/>
      </w:pPr>
      <w:r>
        <w:rPr>
          <w:bCs/>
          <w:b/>
        </w:rPr>
        <w:t xml:space="preserve">Bilan intermédiaire pour l’autisme :</w:t>
      </w:r>
      <w:r>
        <w:t xml:space="preserve"> </w:t>
      </w:r>
      <w:r>
        <w:t xml:space="preserve">après la grande étude SOARS-B et l’étude australienne de suivi, il n’existe aucune preuve solide que le spray nasal d’ocytocine améliore au quotidien le comportement social des enfants et adolescents autistes. Les chercheurs se demandent si certains sous-groupes – les très jeunes enfants, les enfants ayant un taux d’ocytocine bas – pourraient en bénéficier, et proposent une approche personnalisée</w:t>
      </w:r>
      <w:r>
        <w:rPr>
          <w:rStyle w:val="FootnoteReference"/>
        </w:rPr>
        <w:footnoteReference w:id="2230"/>
      </w:r>
      <w:r>
        <w:t xml:space="preserve">. Tant que cela n’est pas confirmé par des études dédiées, cela reste une hypothèse.</w:t>
      </w:r>
    </w:p>
    <w:bookmarkEnd w:id="2231"/>
    <w:bookmarkStart w:id="2239" w:name="autres-troubles-psychiques"/>
    <w:p>
      <w:pPr>
        <w:pStyle w:val="Heading4"/>
      </w:pPr>
      <w:r>
        <w:t xml:space="preserve">Autres troubles psychiques</w:t>
      </w:r>
    </w:p>
    <w:p>
      <w:pPr>
        <w:pStyle w:val="FirstParagraph"/>
      </w:pPr>
      <w:r>
        <w:rPr>
          <w:bCs/>
          <w:b/>
        </w:rPr>
        <w:t xml:space="preserve">Schizophrénie.</w:t>
      </w:r>
      <w:r>
        <w:t xml:space="preserve"> </w:t>
      </w:r>
      <w:r>
        <w:t xml:space="preserve">Dans une étude de douze semaines portant sur 68 personnes, l’ocytocine n’a pas amélioré la cognition sociale</w:t>
      </w:r>
      <w:r>
        <w:rPr>
          <w:rStyle w:val="FootnoteReference"/>
        </w:rPr>
        <w:footnoteReference w:id="2232"/>
      </w:r>
      <w:r>
        <w:t xml:space="preserve">. Une méta-analyse de neuf études n’a trouvé aucun effet cohérent sur les symptômes dits négatifs, comme le manque d’élan et le retrait social</w:t>
      </w:r>
      <w:r>
        <w:rPr>
          <w:rStyle w:val="FootnoteReference"/>
        </w:rPr>
        <w:footnoteReference w:id="2233"/>
      </w:r>
      <w:r>
        <w:t xml:space="preserve">. La grande méta-analyse de 2026 a observé dans ce groupe un petit effet, tout juste significatif (taille d’effet 0,12), et constaté que les études comptant davantage de femmes tendaient à montrer des effets plus importants</w:t>
      </w:r>
      <w:r>
        <w:rPr>
          <w:rStyle w:val="FootnoteReference"/>
        </w:rPr>
        <w:footnoteReference w:id="2234"/>
      </w:r>
      <w:r>
        <w:t xml:space="preserve">.</w:t>
      </w:r>
    </w:p>
    <w:p>
      <w:pPr>
        <w:pStyle w:val="BodyText"/>
      </w:pPr>
      <w:r>
        <w:rPr>
          <w:bCs/>
          <w:b/>
        </w:rPr>
        <w:t xml:space="preserve">Alcool.</w:t>
      </w:r>
      <w:r>
        <w:t xml:space="preserve"> </w:t>
      </w:r>
      <w:r>
        <w:t xml:space="preserve">Dans une étude norvégienne portant sur 40 personnes en sevrage alcoolique, l’ocytocine n’a pas réduit de façon significative le besoin en sédatifs</w:t>
      </w:r>
      <w:r>
        <w:rPr>
          <w:rStyle w:val="FootnoteReference"/>
        </w:rPr>
        <w:footnoteReference w:id="2235"/>
      </w:r>
      <w:r>
        <w:t xml:space="preserve">. Une méta-analyse de six études randomisées sur la dépendance à l’alcool n’a trouvé aucun effet ; une analyse bayésienne plaidait même modérément en faveur d’une absence d’effet</w:t>
      </w:r>
      <w:r>
        <w:rPr>
          <w:rStyle w:val="FootnoteReference"/>
        </w:rPr>
        <w:footnoteReference w:id="2236"/>
      </w:r>
      <w:r>
        <w:t xml:space="preserve">.</w:t>
      </w:r>
    </w:p>
    <w:p>
      <w:pPr>
        <w:pStyle w:val="BodyText"/>
      </w:pPr>
      <w:r>
        <w:rPr>
          <w:bCs/>
          <w:b/>
        </w:rPr>
        <w:t xml:space="preserve">Association avec la psychothérapie.</w:t>
      </w:r>
      <w:r>
        <w:t xml:space="preserve"> </w:t>
      </w:r>
      <w:r>
        <w:t xml:space="preserve">Une idée plus récente consiste à donner l’ocytocine non pas seule, mais comme amplificateur d’une psychothérapie. Une revue de 13 études réunissant 518 participants a trouvé des indices de symptômes dépressifs moindres et d’une meilleure alliance thérapeutique, mais aucun effet sur les symptômes psychiatriques dans leur ensemble ni sur le fonctionnement social ; seules quatre études ont pu être regroupées</w:t>
      </w:r>
      <w:r>
        <w:rPr>
          <w:rStyle w:val="FootnoteReference"/>
        </w:rPr>
        <w:footnoteReference w:id="2237"/>
      </w:r>
      <w:r>
        <w:t xml:space="preserve">.</w:t>
      </w:r>
    </w:p>
    <w:p>
      <w:pPr>
        <w:pStyle w:val="BodyText"/>
      </w:pPr>
      <w:r>
        <w:rPr>
          <w:bCs/>
          <w:b/>
        </w:rPr>
        <w:t xml:space="preserve">Après l’accouchement.</w:t>
      </w:r>
      <w:r>
        <w:t xml:space="preserve"> </w:t>
      </w:r>
      <w:r>
        <w:t xml:space="preserve">Chez 45 mères présentant une dépression du post-partum (en partie infraclinique), une dose unique a augmenté l’humeur positive et l’attention positive portée à l’enfant, mais pas la sensibilité dans les interactions</w:t>
      </w:r>
      <w:r>
        <w:rPr>
          <w:rStyle w:val="FootnoteReference"/>
        </w:rPr>
        <w:footnoteReference w:id="2238"/>
      </w:r>
      <w:r>
        <w:t xml:space="preserve">.</w:t>
      </w:r>
    </w:p>
    <w:bookmarkEnd w:id="2239"/>
    <w:bookmarkStart w:id="2246" w:name="métabolisme-poids-et-douleur"/>
    <w:p>
      <w:pPr>
        <w:pStyle w:val="Heading4"/>
      </w:pPr>
      <w:r>
        <w:t xml:space="preserve">Métabolisme, poids et douleur</w:t>
      </w:r>
    </w:p>
    <w:p>
      <w:pPr>
        <w:pStyle w:val="FirstParagraph"/>
      </w:pPr>
      <w:r>
        <w:rPr>
          <w:bCs/>
          <w:b/>
        </w:rPr>
        <w:t xml:space="preserve">Obésité.</w:t>
      </w:r>
      <w:r>
        <w:t xml:space="preserve"> </w:t>
      </w:r>
      <w:r>
        <w:t xml:space="preserve">Comme l’ocytocine réduit la prise alimentaire et augmente la dépense énergétique chez l’animal, elle a été évaluée comme produit amaigrissant. Une méta-analyse a montré qu’une dose unique réduisait la quantité consommée lors d’un repas test chez des personnes sans trouble psychique</w:t>
      </w:r>
      <w:r>
        <w:rPr>
          <w:rStyle w:val="FootnoteReference"/>
        </w:rPr>
        <w:footnoteReference w:id="2240"/>
      </w:r>
      <w:r>
        <w:t xml:space="preserve">. Le test décisif a été une étude chez 61 adultes atteints d’obésité, qui ont pulvérisé de l’ocytocine ou un placebo quatre fois par jour pendant huit semaines. Le poids n’a pas changé : +0,20 kg sous ocytocine, +0,26 kg sous placebo. La graisse corporelle, la graisse hépatique et la dépense énergétique sont aussi restées inchangées ; les participants n’ont mangé moins que lors d’un repas test</w:t>
      </w:r>
      <w:r>
        <w:rPr>
          <w:rStyle w:val="FootnoteReference"/>
        </w:rPr>
        <w:footnoteReference w:id="2241"/>
      </w:r>
      <w:r>
        <w:t xml:space="preserve">. Une petite étude pilote chez 21 personnes âgées en surpoids présentant une fonte musculaire a trouvé un gain de masse musculaire de 2,25 kg</w:t>
      </w:r>
      <w:r>
        <w:rPr>
          <w:rStyle w:val="FootnoteReference"/>
        </w:rPr>
        <w:footnoteReference w:id="2242"/>
      </w:r>
      <w:r>
        <w:t xml:space="preserve"> </w:t>
      </w:r>
      <w:r>
        <w:t xml:space="preserve">; cela doit être confirmé par des études plus grandes.</w:t>
      </w:r>
    </w:p>
    <w:p>
      <w:pPr>
        <w:pStyle w:val="BodyText"/>
      </w:pPr>
      <w:r>
        <w:rPr>
          <w:bCs/>
          <w:b/>
        </w:rPr>
        <w:t xml:space="preserve">Syndrome de Prader-Willi.</w:t>
      </w:r>
      <w:r>
        <w:t xml:space="preserve"> </w:t>
      </w:r>
      <w:r>
        <w:t xml:space="preserve">Dans cette maladie génétique rare caractérisée par une faim insatiable et une diminution de l’ocytocine dans l’hypothalamus, les attentes étaient particulièrement fortes. Une méta-analyse n’a trouvé aucun effet sur l’hyperphagie ni sur le poids</w:t>
      </w:r>
      <w:r>
        <w:rPr>
          <w:rStyle w:val="FootnoteReference"/>
        </w:rPr>
        <w:footnoteReference w:id="2243"/>
      </w:r>
      <w:r>
        <w:t xml:space="preserve">. Dans une étude portant sur 23 enfants, l’hyperphagie et les comportements répétitifs se sont même plutôt améliorés sous placebo</w:t>
      </w:r>
      <w:r>
        <w:rPr>
          <w:rStyle w:val="FootnoteReference"/>
        </w:rPr>
        <w:footnoteReference w:id="2244"/>
      </w:r>
      <w:r>
        <w:t xml:space="preserve">.</w:t>
      </w:r>
    </w:p>
    <w:p>
      <w:pPr>
        <w:pStyle w:val="BodyText"/>
      </w:pPr>
      <w:r>
        <w:rPr>
          <w:bCs/>
          <w:b/>
        </w:rPr>
        <w:t xml:space="preserve">Douleur.</w:t>
      </w:r>
      <w:r>
        <w:t xml:space="preserve"> </w:t>
      </w:r>
      <w:r>
        <w:t xml:space="preserve">Une méta-analyse de 15 études n’a trouvé aucun effet significatif sur l’intensité de la douleur ni sur son caractère désagréable</w:t>
      </w:r>
      <w:r>
        <w:rPr>
          <w:rStyle w:val="FootnoteReference"/>
        </w:rPr>
        <w:footnoteReference w:id="2245"/>
      </w:r>
      <w:r>
        <w:t xml:space="preserve">.</w:t>
      </w:r>
    </w:p>
    <w:bookmarkEnd w:id="2246"/>
    <w:bookmarkStart w:id="2249" w:name="sexualité"/>
    <w:p>
      <w:pPr>
        <w:pStyle w:val="Heading4"/>
      </w:pPr>
      <w:r>
        <w:t xml:space="preserve">Sexualité</w:t>
      </w:r>
    </w:p>
    <w:p>
      <w:pPr>
        <w:pStyle w:val="FirstParagraph"/>
      </w:pPr>
      <w:r>
        <w:t xml:space="preserve">L’ocytocine est libérée lors de l’orgasme et promue sur Internet comme moyen d’intensifier la vie amoureuse. Dans une étude en laboratoire portant sur dix hommes, un spray nasal a nettement augmenté le taux sanguin d’ocytocine, mais n’a pas modifié le désir, l’excitation, l’orgasme ni la phase de récupération d’après les questionnaires</w:t>
      </w:r>
      <w:r>
        <w:rPr>
          <w:rStyle w:val="FootnoteReference"/>
        </w:rPr>
        <w:footnoteReference w:id="2247"/>
      </w:r>
      <w:r>
        <w:t xml:space="preserve">. Une méta-analyse sur les médicaments contre les troubles sexuels féminins, qui incluait aussi des études sur l’ocytocine, a montré qu’environ deux tiers de l’amélioration apparaissaient aussi sous placebo</w:t>
      </w:r>
      <w:r>
        <w:rPr>
          <w:rStyle w:val="FootnoteReference"/>
        </w:rPr>
        <w:footnoteReference w:id="2248"/>
      </w:r>
      <w:r>
        <w:t xml:space="preserve">. Il n’existe aucune preuve solide d’un effet sur la sexualité.</w:t>
      </w:r>
    </w:p>
    <w:bookmarkEnd w:id="2249"/>
    <w:bookmarkStart w:id="2252" w:name="le-déficit-en-ocytocine-comme-maladie"/>
    <w:p>
      <w:pPr>
        <w:pStyle w:val="Heading4"/>
      </w:pPr>
      <w:r>
        <w:t xml:space="preserve">Le déficit en ocytocine comme maladie</w:t>
      </w:r>
    </w:p>
    <w:p>
      <w:pPr>
        <w:pStyle w:val="FirstParagraph"/>
      </w:pPr>
      <w:r>
        <w:t xml:space="preserve">Un domaine nouveau et médicalement plausible est le véritable déficit en ocytocine. Les personnes dont l’hypothalamus ou l’hypophyse a été endommagé, par exemple par une tumeur ou une opération, présentent souvent un déficit en vasopressine (autrefois appelé diabète insipide central). Une étude suisse a utilisé la drogue MDMA, qui libère fortement l’ocytocine chez les personnes en bonne santé, comme test de provocation. Chez 15 personnes en bonne santé, l’ocytocine a fortement augmenté, chez 15 personnes atteintes à peine ; l’aire sous la courbe était 82 % plus grande chez les personnes en bonne santé, et les personnes atteintes ne ressentaient guère les effets sociaux et anxiolytiques typiques</w:t>
      </w:r>
      <w:r>
        <w:rPr>
          <w:rStyle w:val="FootnoteReference"/>
        </w:rPr>
        <w:footnoteReference w:id="2250"/>
      </w:r>
      <w:r>
        <w:t xml:space="preserve">. Cela suggère que beaucoup de ces personnes présentent aussi un déficit en ocytocine. Une étude en cours examine si une substitution par spray nasal soulage leurs troubles psychiques</w:t>
      </w:r>
      <w:r>
        <w:rPr>
          <w:rStyle w:val="FootnoteReference"/>
        </w:rPr>
        <w:footnoteReference w:id="2251"/>
      </w:r>
      <w:r>
        <w:t xml:space="preserve">. La kisspeptine est elle aussi étudiée comme test possible d’un déficit en ocytocine (Galbiati 2025, PMID 39965102 ; chapitre 2E04).</w:t>
      </w:r>
    </w:p>
    <w:bookmarkEnd w:id="2252"/>
    <w:bookmarkEnd w:id="2253"/>
    <w:bookmarkStart w:id="2256" w:name="études-animales-et-de-laboratoire-50"/>
    <w:p>
      <w:pPr>
        <w:pStyle w:val="Heading3"/>
      </w:pPr>
      <w:r>
        <w:t xml:space="preserve">Études animales et de laboratoire</w:t>
      </w:r>
    </w:p>
    <w:p>
      <w:pPr>
        <w:pStyle w:val="FirstParagraph"/>
      </w:pPr>
      <w:r>
        <w:t xml:space="preserve">L’enthousiasme pour l’ocytocine repose sur des observations animales convaincantes : chez les campagnols des prairies, le système de l’ocytocine est nécessaire à la formation des couples, chez les rongeurs et les moutons au comportement maternel. Chez des souris dans un modèle d’autisme, un produit stimulant le système de l’ocytocine a amélioré des mesures du comportement social</w:t>
      </w:r>
      <w:r>
        <w:rPr>
          <w:rStyle w:val="FootnoteReference"/>
        </w:rPr>
        <w:footnoteReference w:id="2254"/>
      </w:r>
      <w:r>
        <w:t xml:space="preserve">. Chez des macaques rhésus, de l’ocytocine marquée a atteint par voie nasale certaines régions cérébrales</w:t>
      </w:r>
      <w:r>
        <w:rPr>
          <w:rStyle w:val="FootnoteReference"/>
        </w:rPr>
        <w:footnoteReference w:id="2255"/>
      </w:r>
      <w:r>
        <w:t xml:space="preserve">.</w:t>
      </w:r>
    </w:p>
    <w:p>
      <w:pPr>
        <w:pStyle w:val="BodyText"/>
      </w:pPr>
      <w:r>
        <w:t xml:space="preserve">Ces observations ne sont toutefois transposables que de manière limitée : la répartition des récepteurs de l’ocytocine dans le cerveau varie fortement d’une espèce à l’autre, même entre espèces de campagnols étroitement apparentées. Beaucoup d’expérimentations animales administraient l’ocytocine directement dans le cerveau, ce qui n’est pas possible chez l’humain.</w:t>
      </w:r>
    </w:p>
    <w:bookmarkEnd w:id="2256"/>
    <w:bookmarkStart w:id="2266" w:name="risques-et-effets-indésirables-50"/>
    <w:p>
      <w:pPr>
        <w:pStyle w:val="Heading3"/>
      </w:pPr>
      <w:r>
        <w:t xml:space="preserve">Risques et effets indésirables</w:t>
      </w:r>
    </w:p>
    <w:bookmarkStart w:id="2261" w:name="établis-le-spray-nasal-dans-les-études"/>
    <w:p>
      <w:pPr>
        <w:pStyle w:val="Heading4"/>
      </w:pPr>
      <w:r>
        <w:t xml:space="preserve">Établis : le spray nasal dans les études</w:t>
      </w:r>
    </w:p>
    <w:p>
      <w:pPr>
        <w:pStyle w:val="FirstParagraph"/>
      </w:pPr>
      <w:r>
        <w:t xml:space="preserve">Dans les études contrôlées, le spray nasal d’ocytocine est considéré comme bien toléré. Une revue systématique de 38 études randomisées réunissant 1 529 participants n’a trouvé, pour une utilisation de courte durée, aucun effet indésirable plus fréquent que sous placebo. Les participants ne pouvaient d’ailleurs pas deviner s’ils avaient reçu de l’ocytocine ou un placebo</w:t>
      </w:r>
      <w:r>
        <w:rPr>
          <w:rStyle w:val="FootnoteReference"/>
        </w:rPr>
        <w:footnoteReference w:id="2257"/>
      </w:r>
      <w:r>
        <w:t xml:space="preserve">. Dans SOARS-B, les effets indésirables étaient aussi fréquents dans les deux groupes sur 24 semaines</w:t>
      </w:r>
      <w:r>
        <w:rPr>
          <w:rStyle w:val="FootnoteReference"/>
        </w:rPr>
        <w:footnoteReference w:id="2258"/>
      </w:r>
      <w:r>
        <w:t xml:space="preserve">. Chez 95 hommes âgés, aucune modification de la pression artérielle, des valeurs urinaires ou sanguines n’est survenue sur quatre semaines</w:t>
      </w:r>
      <w:r>
        <w:rPr>
          <w:rStyle w:val="FootnoteReference"/>
        </w:rPr>
        <w:footnoteReference w:id="2259"/>
      </w:r>
      <w:r>
        <w:t xml:space="preserve">. Dans les études pédiatriques, une soif, des mictions plus fréquentes et une constipation ont été rapportées</w:t>
      </w:r>
      <w:r>
        <w:rPr>
          <w:rStyle w:val="FootnoteReference"/>
        </w:rPr>
        <w:footnoteReference w:id="2260"/>
      </w:r>
      <w:r>
        <w:t xml:space="preserve">.</w:t>
      </w:r>
    </w:p>
    <w:bookmarkEnd w:id="2261"/>
    <w:bookmarkStart w:id="2264" w:name="possibles-et-à-prendre-en-compte"/>
    <w:p>
      <w:pPr>
        <w:pStyle w:val="Heading4"/>
      </w:pPr>
      <w:r>
        <w:t xml:space="preserve">Possibles et à prendre en compte</w:t>
      </w:r>
    </w:p>
    <w:p>
      <w:pPr>
        <w:numPr>
          <w:ilvl w:val="0"/>
          <w:numId w:val="1278"/>
        </w:numPr>
        <w:pStyle w:val="Compact"/>
      </w:pPr>
      <w:r>
        <w:rPr>
          <w:bCs/>
          <w:b/>
        </w:rPr>
        <w:t xml:space="preserve">Équilibre hydrique :</w:t>
      </w:r>
      <w:r>
        <w:t xml:space="preserve"> </w:t>
      </w:r>
      <w:r>
        <w:t xml:space="preserve">l’ocytocine ressemble à la vasopressine et peut, à fortes doses, retenir l’eau dans l’organisme. En obstétrique, l’intoxication par l’eau avec carence en sodium est une complication connue et rare des perfusions à forte dose. Avec le spray nasal, un cas d’hypertension intracrânienne associée à une consommation de liquides très élevée a été décrit</w:t>
      </w:r>
      <w:r>
        <w:rPr>
          <w:rStyle w:val="FootnoteReference"/>
        </w:rPr>
        <w:footnoteReference w:id="2262"/>
      </w:r>
      <w:r>
        <w:t xml:space="preserve">.</w:t>
      </w:r>
    </w:p>
    <w:p>
      <w:pPr>
        <w:numPr>
          <w:ilvl w:val="0"/>
          <w:numId w:val="1278"/>
        </w:numPr>
        <w:pStyle w:val="Compact"/>
      </w:pPr>
      <w:r>
        <w:rPr>
          <w:bCs/>
          <w:b/>
        </w:rPr>
        <w:t xml:space="preserve">Circulation :</w:t>
      </w:r>
      <w:r>
        <w:t xml:space="preserve"> </w:t>
      </w:r>
      <w:r>
        <w:t xml:space="preserve">chez douze hommes en bonne santé, un spray nasal a augmenté l’activité des nerfs qui resserrent les vaisseaux sanguins et légèrement élevé la pression diastolique</w:t>
      </w:r>
      <w:r>
        <w:rPr>
          <w:rStyle w:val="FootnoteReference"/>
        </w:rPr>
        <w:footnoteReference w:id="2263"/>
      </w:r>
      <w:r>
        <w:t xml:space="preserve">.</w:t>
      </w:r>
    </w:p>
    <w:p>
      <w:pPr>
        <w:numPr>
          <w:ilvl w:val="0"/>
          <w:numId w:val="1278"/>
        </w:numPr>
        <w:pStyle w:val="Compact"/>
      </w:pPr>
      <w:r>
        <w:rPr>
          <w:bCs/>
          <w:b/>
        </w:rPr>
        <w:t xml:space="preserve">Grossesse :</w:t>
      </w:r>
      <w:r>
        <w:t xml:space="preserve"> </w:t>
      </w:r>
      <w:r>
        <w:t xml:space="preserve">comme l’ocytocine déclenche les contractions, son utilisation en dehors d’un contrôle médical pendant la grossesse est dangereuse.</w:t>
      </w:r>
    </w:p>
    <w:p>
      <w:pPr>
        <w:numPr>
          <w:ilvl w:val="0"/>
          <w:numId w:val="1278"/>
        </w:numPr>
        <w:pStyle w:val="Compact"/>
      </w:pPr>
      <w:r>
        <w:rPr>
          <w:bCs/>
          <w:b/>
        </w:rPr>
        <w:t xml:space="preserve">Utilisation à long terme :</w:t>
      </w:r>
      <w:r>
        <w:t xml:space="preserve"> </w:t>
      </w:r>
      <w:r>
        <w:t xml:space="preserve">les données au-delà de six mois font défaut, en particulier chez les enfants.</w:t>
      </w:r>
    </w:p>
    <w:p>
      <w:pPr>
        <w:numPr>
          <w:ilvl w:val="0"/>
          <w:numId w:val="1278"/>
        </w:numPr>
        <w:pStyle w:val="Compact"/>
      </w:pPr>
      <w:r>
        <w:rPr>
          <w:bCs/>
          <w:b/>
        </w:rPr>
        <w:t xml:space="preserve">Effets sociaux :</w:t>
      </w:r>
      <w:r>
        <w:t xml:space="preserve"> </w:t>
      </w:r>
      <w:r>
        <w:t xml:space="preserve">certaines études de laboratoire ont rapporté que l’ocytocine peut aussi, dans certaines conditions, renforcer l’envie, la méfiance envers les étrangers ou la préférence pour son propre groupe. Ces résultats sont tout aussi incertains que les résultats positifs.</w:t>
      </w:r>
    </w:p>
    <w:bookmarkEnd w:id="2264"/>
    <w:bookmarkStart w:id="2265" w:name="marché-gris-3"/>
    <w:p>
      <w:pPr>
        <w:pStyle w:val="Heading4"/>
      </w:pPr>
      <w:r>
        <w:t xml:space="preserve">Marché gris</w:t>
      </w:r>
    </w:p>
    <w:p>
      <w:pPr>
        <w:pStyle w:val="FirstParagraph"/>
      </w:pPr>
      <w:r>
        <w:t xml:space="preserve">Des sprays nasaux d’ocytocine sont vendus sur Internet comme « spray de l’amour » ou « spray de la confiance ». Le contenu et la teneur de ces produits ne sont pas contrôlés de façon indépendante. Pour aucun de ces produits, il n’existe de preuve d’efficacité.</w:t>
      </w:r>
    </w:p>
    <w:bookmarkEnd w:id="2265"/>
    <w:bookmarkEnd w:id="2266"/>
    <w:bookmarkStart w:id="2267" w:name="statut-juridique-50"/>
    <w:p>
      <w:pPr>
        <w:pStyle w:val="Heading3"/>
      </w:pPr>
      <w:r>
        <w:t xml:space="preserve">Statut juridique</w:t>
      </w:r>
    </w:p>
    <w:p>
      <w:pPr>
        <w:pStyle w:val="FirstParagraph"/>
      </w:pPr>
      <w:r>
        <w:rPr>
          <w:iCs/>
          <w:i/>
        </w:rPr>
        <w:t xml:space="preserve">État 2026, à vérifier.</w:t>
      </w:r>
    </w:p>
    <w:p>
      <w:pPr>
        <w:numPr>
          <w:ilvl w:val="0"/>
          <w:numId w:val="1279"/>
        </w:numPr>
        <w:pStyle w:val="Compact"/>
      </w:pPr>
      <w:r>
        <w:rPr>
          <w:bCs/>
          <w:b/>
        </w:rPr>
        <w:t xml:space="preserve">UE, Allemagne, Autriche :</w:t>
      </w:r>
      <w:r>
        <w:t xml:space="preserve"> </w:t>
      </w:r>
      <w:r>
        <w:t xml:space="preserve">l’ocytocine pour perfusion et injection est autorisée comme médicament sur ordonnance en obstétrique. Il n’existe pas de spray nasal autorisé pour des usages psychiques ou sociaux ; les sprays autrefois autorisés pour favoriser l’écoulement du lait ne sont plus disponibles dans de nombreux pays. Une prescription pour traiter l’autisme ou d’autres maladies constituerait un essai thérapeutique individuel hors autorisation (hors AMM, off-label), avec les obligations d’information et de responsabilité correspondantes.</w:t>
      </w:r>
    </w:p>
    <w:p>
      <w:pPr>
        <w:numPr>
          <w:ilvl w:val="0"/>
          <w:numId w:val="1279"/>
        </w:numPr>
        <w:pStyle w:val="Compact"/>
      </w:pPr>
      <w:r>
        <w:rPr>
          <w:bCs/>
          <w:b/>
        </w:rPr>
        <w:t xml:space="preserve">États-Unis :</w:t>
      </w:r>
      <w:r>
        <w:t xml:space="preserve"> </w:t>
      </w:r>
      <w:r>
        <w:t xml:space="preserve">injection d’ocytocine (Pitocin et génériques) autorisée en obstétrique ; aucun spray nasal autorisé. Des pharmacies de préparation fabriquent des sprays nasaux sur prescription médicale ; leur qualité n’est pas contrôlée comme celle des médicaments industriels.</w:t>
      </w:r>
    </w:p>
    <w:p>
      <w:pPr>
        <w:numPr>
          <w:ilvl w:val="0"/>
          <w:numId w:val="1279"/>
        </w:numPr>
        <w:pStyle w:val="Compact"/>
      </w:pPr>
      <w:r>
        <w:rPr>
          <w:bCs/>
          <w:b/>
        </w:rPr>
        <w:t xml:space="preserve">AMA (WADA) :</w:t>
      </w:r>
      <w:r>
        <w:t xml:space="preserve"> </w:t>
      </w:r>
      <w:r>
        <w:t xml:space="preserve">pas listée.</w:t>
      </w:r>
    </w:p>
    <w:bookmarkEnd w:id="2267"/>
    <w:bookmarkStart w:id="2273" w:name="études-en-cours-et-perspectives-50"/>
    <w:p>
      <w:pPr>
        <w:pStyle w:val="Heading3"/>
      </w:pPr>
      <w:r>
        <w:t xml:space="preserve">Études en cours et perspectives</w:t>
      </w:r>
    </w:p>
    <w:p>
      <w:pPr>
        <w:pStyle w:val="FirstParagraph"/>
      </w:pPr>
      <w:r>
        <w:rPr>
          <w:bCs/>
          <w:b/>
        </w:rPr>
        <w:t xml:space="preserve">Établi (études enregistrées) :</w:t>
      </w:r>
      <w:r>
        <w:t xml:space="preserve"> </w:t>
      </w:r>
      <w:r>
        <w:t xml:space="preserve">parmi les études en cours, quelques-unes, plus grandes, pourraient répondre à certaines questions encore ouvertes :</w:t>
      </w:r>
    </w:p>
    <w:p>
      <w:pPr>
        <w:numPr>
          <w:ilvl w:val="0"/>
          <w:numId w:val="1280"/>
        </w:numPr>
        <w:pStyle w:val="Compact"/>
      </w:pPr>
      <w:r>
        <w:rPr>
          <w:bCs/>
          <w:b/>
        </w:rPr>
        <w:t xml:space="preserve">Douleur chronique :</w:t>
      </w:r>
      <w:r>
        <w:t xml:space="preserve"> </w:t>
      </w:r>
      <w:r>
        <w:t xml:space="preserve">une étude canadienne de phase 2/3 portant sur 336 participants</w:t>
      </w:r>
      <w:r>
        <w:rPr>
          <w:rStyle w:val="FootnoteReference"/>
        </w:rPr>
        <w:footnoteReference w:id="2268"/>
      </w:r>
      <w:r>
        <w:t xml:space="preserve"> </w:t>
      </w:r>
      <w:r>
        <w:t xml:space="preserve">est terminée ; les résultats sont attendus.</w:t>
      </w:r>
    </w:p>
    <w:p>
      <w:pPr>
        <w:numPr>
          <w:ilvl w:val="0"/>
          <w:numId w:val="1280"/>
        </w:numPr>
        <w:pStyle w:val="Compact"/>
      </w:pPr>
      <w:r>
        <w:rPr>
          <w:bCs/>
          <w:b/>
        </w:rPr>
        <w:t xml:space="preserve">Psychothérapie plus ocytocine :</w:t>
      </w:r>
      <w:r>
        <w:t xml:space="preserve"> </w:t>
      </w:r>
      <w:r>
        <w:t xml:space="preserve">une étude du ministère américain des Anciens combattants portant sur 240 personnes évalue l’ocytocine en complément d’une thérapie de couple dans le trouble de stress post-traumatique (NCT06194851, jusqu’en 2028). En Allemagne, des études évaluent l’ocytocine en complément d’une prise en charge psychosociale dans la schizophrénie (NCT06881810 avec 98 personnes ; NCT07265180 à la Charité avec 120 personnes et comparaison de doses).</w:t>
      </w:r>
    </w:p>
    <w:p>
      <w:pPr>
        <w:numPr>
          <w:ilvl w:val="0"/>
          <w:numId w:val="1280"/>
        </w:numPr>
        <w:pStyle w:val="Compact"/>
      </w:pPr>
      <w:r>
        <w:rPr>
          <w:bCs/>
          <w:b/>
        </w:rPr>
        <w:t xml:space="preserve">Déficit en ocytocine :</w:t>
      </w:r>
      <w:r>
        <w:t xml:space="preserve"> </w:t>
      </w:r>
      <w:r>
        <w:t xml:space="preserve">une étude suisse portant sur 112 personnes évalue une substitution en ocytocine dans le déficit en vasopressine</w:t>
      </w:r>
      <w:r>
        <w:rPr>
          <w:rStyle w:val="FootnoteReference"/>
        </w:rPr>
        <w:footnoteReference w:id="2269"/>
      </w:r>
      <w:r>
        <w:t xml:space="preserve">.</w:t>
      </w:r>
    </w:p>
    <w:p>
      <w:pPr>
        <w:numPr>
          <w:ilvl w:val="0"/>
          <w:numId w:val="1280"/>
        </w:numPr>
        <w:pStyle w:val="Compact"/>
      </w:pPr>
      <w:r>
        <w:rPr>
          <w:bCs/>
          <w:b/>
        </w:rPr>
        <w:t xml:space="preserve">Autisme et os :</w:t>
      </w:r>
      <w:r>
        <w:t xml:space="preserve"> </w:t>
      </w:r>
      <w:r>
        <w:t xml:space="preserve">une étude portant sur 96 enfants examine les effets sur la santé osseuse</w:t>
      </w:r>
      <w:r>
        <w:rPr>
          <w:rStyle w:val="FootnoteReference"/>
        </w:rPr>
        <w:footnoteReference w:id="2270"/>
      </w:r>
      <w:r>
        <w:t xml:space="preserve">.</w:t>
      </w:r>
    </w:p>
    <w:p>
      <w:pPr>
        <w:numPr>
          <w:ilvl w:val="0"/>
          <w:numId w:val="1280"/>
        </w:numPr>
        <w:pStyle w:val="Compact"/>
      </w:pPr>
      <w:r>
        <w:rPr>
          <w:bCs/>
          <w:b/>
        </w:rPr>
        <w:t xml:space="preserve">Troubles du comportement alimentaire :</w:t>
      </w:r>
      <w:r>
        <w:t xml:space="preserve"> </w:t>
      </w:r>
      <w:r>
        <w:t xml:space="preserve">une étude de phase 2 sur l’hyperphagie boulimique (binge eating)</w:t>
      </w:r>
      <w:r>
        <w:rPr>
          <w:rStyle w:val="FootnoteReference"/>
        </w:rPr>
        <w:footnoteReference w:id="2271"/>
      </w:r>
      <w:r>
        <w:t xml:space="preserve">.</w:t>
      </w:r>
    </w:p>
    <w:p>
      <w:pPr>
        <w:numPr>
          <w:ilvl w:val="0"/>
          <w:numId w:val="1280"/>
        </w:numPr>
        <w:pStyle w:val="Compact"/>
      </w:pPr>
      <w:r>
        <w:rPr>
          <w:bCs/>
          <w:b/>
        </w:rPr>
        <w:t xml:space="preserve">Développement industriel :</w:t>
      </w:r>
      <w:r>
        <w:t xml:space="preserve"> </w:t>
      </w:r>
      <w:r>
        <w:t xml:space="preserve">une entreprise a testé un spray nasal d’ocytocine à forte dose (TNX-1900) dans la migraine chronique (NCT05679908, 88 personnes, terminée) et prévoit une étude sur le traitement de la douleur après une opération de l’hypophyse</w:t>
      </w:r>
      <w:r>
        <w:rPr>
          <w:rStyle w:val="FootnoteReference"/>
        </w:rPr>
        <w:footnoteReference w:id="2272"/>
      </w:r>
      <w:r>
        <w:t xml:space="preserve">.</w:t>
      </w:r>
    </w:p>
    <w:p>
      <w:pPr>
        <w:pStyle w:val="FirstParagraph"/>
      </w:pPr>
      <w:r>
        <w:rPr>
          <w:bCs/>
          <w:b/>
        </w:rPr>
        <w:t xml:space="preserve">Appréciation de l’auteur :</w:t>
      </w:r>
      <w:r>
        <w:t xml:space="preserve"> </w:t>
      </w:r>
      <w:r>
        <w:t xml:space="preserve">l’histoire du spray nasal d’ocytocine est une leçon sur les limites des petites études. Après deux décennies de recherche, il n’existe pas une seule application dont le bénéfice ait été confirmé par de grandes études bien conduites. Les pistes les plus prometteuses sont aujourd’hui plus étroites : l’ocytocine en complément d’une psychothérapie plutôt que comme médicament seul, comme substitution en cas de déficit démontré, et de façon ciblée chez des sous-groupes définis à l’avance. Une autorisation dans l’autisme ou l’anxiété sociale paraît improbable dans les prochaines années.</w:t>
      </w:r>
    </w:p>
    <w:bookmarkEnd w:id="2273"/>
    <w:bookmarkStart w:id="2274" w:name="conclusion-50"/>
    <w:p>
      <w:pPr>
        <w:pStyle w:val="Heading3"/>
      </w:pPr>
      <w:r>
        <w:t xml:space="preserve">Conclusion</w:t>
      </w:r>
    </w:p>
    <w:p>
      <w:pPr>
        <w:pStyle w:val="FirstParagraph"/>
      </w:pPr>
      <w:r>
        <w:t xml:space="preserve">En perfusion, l’ocytocine est un médicament indispensable en obstétrique ; en spray nasal, elle n’est en revanche qu’un outil de recherche sans bénéfice thérapeutique démontré. Le célèbre résultat selon lequel l’ocytocine augmente la confiance n’a pas résisté aux études de réplication ; tout au plus un petit effet se dessine-t-il chez les personnes ayant une faible confiance de base. La plus grande étude sur l’autisme, SOARS-B, portant sur 290 enfants et adolescents, n’a trouvé aucune différence avec le placebo après 24 semaines, et les résultats sont aussi restés négatifs dans l’obésité, la dépendance à l’alcool, le syndrome de Prader-Willi et la douleur. Dans les études, le spray a été bien toléré. Acheter aujourd’hui un « spray de l’amour » ou un « spray de la confiance », c’est acquérir une promesse que la recherche ne tient pas.</w:t>
      </w:r>
    </w:p>
    <w:bookmarkEnd w:id="2274"/>
    <w:bookmarkEnd w:id="2275"/>
    <w:bookmarkStart w:id="2313" w:name="gonadoréline"/>
    <w:p>
      <w:pPr>
        <w:pStyle w:val="Heading2"/>
      </w:pPr>
      <w:r>
        <w:t xml:space="preserve">Gonadoréline</w:t>
      </w:r>
    </w:p>
    <w:bookmarkStart w:id="2276" w:name="fiche-signalétique-51"/>
    <w:p>
      <w:pPr>
        <w:pStyle w:val="Heading3"/>
      </w:pPr>
      <w:r>
        <w:t xml:space="preserve">Fiche signalétique</w:t>
      </w:r>
    </w:p>
    <w:p>
      <w:pPr>
        <w:numPr>
          <w:ilvl w:val="0"/>
          <w:numId w:val="1281"/>
        </w:numPr>
        <w:pStyle w:val="Compact"/>
      </w:pPr>
      <w:r>
        <w:rPr>
          <w:bCs/>
          <w:b/>
        </w:rPr>
        <w:t xml:space="preserve">Type/structure :</w:t>
      </w:r>
      <w:r>
        <w:t xml:space="preserve"> </w:t>
      </w:r>
      <w:r>
        <w:t xml:space="preserve">peptide de dix acides aminés, obtenu par synthèse et dont la séquence est identique à celle de l’hormone humaine GnRH (gonadolibérine, Gonadotropin-Releasing-Hormone, aussi appelée LHRH ou lulibérine).</w:t>
      </w:r>
    </w:p>
    <w:p>
      <w:pPr>
        <w:numPr>
          <w:ilvl w:val="0"/>
          <w:numId w:val="1281"/>
        </w:numPr>
        <w:pStyle w:val="Compact"/>
      </w:pPr>
      <w:r>
        <w:rPr>
          <w:bCs/>
          <w:b/>
        </w:rPr>
        <w:t xml:space="preserve">Origine :</w:t>
      </w:r>
      <w:r>
        <w:t xml:space="preserve"> </w:t>
      </w:r>
      <w:r>
        <w:t xml:space="preserve">la GnRH a été isolée et séquencée au début des années 1970 à partir de cerveaux de porc et de mouton ; les chercheurs impliqués, Andrew Schally et Roger Guillemin, ont reçu pour cela le prix Nobel en 1977. Gonadoréline est la dénomination commune internationale de l’hormone synthétique.</w:t>
      </w:r>
    </w:p>
    <w:p>
      <w:pPr>
        <w:numPr>
          <w:ilvl w:val="0"/>
          <w:numId w:val="1281"/>
        </w:numPr>
        <w:pStyle w:val="Compact"/>
      </w:pPr>
      <w:r>
        <w:rPr>
          <w:bCs/>
          <w:b/>
        </w:rPr>
        <w:t xml:space="preserve">Principe d’action :</w:t>
      </w:r>
      <w:r>
        <w:t xml:space="preserve"> </w:t>
      </w:r>
      <w:r>
        <w:t xml:space="preserve">agoniste du récepteur de la GnRH de l’hypophyse. Administrée par pulses, elle stimule la sécrétion de LH et de FSH ; en administration continue, elle la freine.</w:t>
      </w:r>
    </w:p>
    <w:p>
      <w:pPr>
        <w:numPr>
          <w:ilvl w:val="0"/>
          <w:numId w:val="1281"/>
        </w:numPr>
        <w:pStyle w:val="Compact"/>
      </w:pPr>
      <w:r>
        <w:rPr>
          <w:bCs/>
          <w:b/>
        </w:rPr>
        <w:t xml:space="preserve">Formes galéniques :</w:t>
      </w:r>
      <w:r>
        <w:t xml:space="preserve"> </w:t>
      </w:r>
      <w:r>
        <w:t xml:space="preserve">injection intraveineuse pour les tests fonctionnels ; pompe portable qui délivre toutes les 60 à 120 minutes une petite quantité par voie sous-cutanée ou intraveineuse (traitement pulsatile) ; dans certains pays, un spray nasal pour les nourrissons atteints de cryptorchidie (testicule non descendu).</w:t>
      </w:r>
    </w:p>
    <w:p>
      <w:pPr>
        <w:numPr>
          <w:ilvl w:val="0"/>
          <w:numId w:val="1281"/>
        </w:numPr>
        <w:pStyle w:val="Compact"/>
      </w:pPr>
      <w:r>
        <w:rPr>
          <w:bCs/>
          <w:b/>
        </w:rPr>
        <w:t xml:space="preserve">Autorisation UE :</w:t>
      </w:r>
      <w:r>
        <w:t xml:space="preserve"> </w:t>
      </w:r>
      <w:r>
        <w:t xml:space="preserve">autorisation nationale dans certains États membres, par exemple comme produit diagnostique et pour le traitement par pompe ; les préparations et leur disponibilité varient d’un pays à l’autre.</w:t>
      </w:r>
    </w:p>
    <w:p>
      <w:pPr>
        <w:numPr>
          <w:ilvl w:val="0"/>
          <w:numId w:val="1281"/>
        </w:numPr>
        <w:pStyle w:val="Compact"/>
      </w:pPr>
      <w:r>
        <w:rPr>
          <w:bCs/>
          <w:b/>
        </w:rPr>
        <w:t xml:space="preserve">Autorisation États-Unis :</w:t>
      </w:r>
      <w:r>
        <w:t xml:space="preserve"> </w:t>
      </w:r>
      <w:r>
        <w:t xml:space="preserve">les anciennes préparations (Factrel pour le diagnostic, Lutrepulse pour la pompe) ne sont plus commercialisées. À la connaissance de l’auteur, il n’existe actuellement aucun médicament à usage humain autorisé et commercialisé (à vérifier).</w:t>
      </w:r>
    </w:p>
    <w:p>
      <w:pPr>
        <w:numPr>
          <w:ilvl w:val="0"/>
          <w:numId w:val="1281"/>
        </w:numPr>
        <w:pStyle w:val="Compact"/>
      </w:pPr>
      <w:r>
        <w:rPr>
          <w:bCs/>
          <w:b/>
        </w:rPr>
        <w:t xml:space="preserve">AMA (WADA) :</w:t>
      </w:r>
      <w:r>
        <w:t xml:space="preserve"> </w:t>
      </w:r>
      <w:r>
        <w:t xml:space="preserve">interdite pour les hommes (groupe S2, la gonadoréline y est mentionnée nommément), en compétition et hors compétition.</w:t>
      </w:r>
    </w:p>
    <w:p>
      <w:pPr>
        <w:numPr>
          <w:ilvl w:val="0"/>
          <w:numId w:val="1281"/>
        </w:numPr>
        <w:pStyle w:val="Compact"/>
      </w:pPr>
      <w:r>
        <w:rPr>
          <w:bCs/>
          <w:b/>
        </w:rPr>
        <w:t xml:space="preserve">Niveau de preuve :</w:t>
      </w:r>
      <w:r>
        <w:t xml:space="preserve"> </w:t>
      </w:r>
      <w:r>
        <w:rPr>
          <w:bCs/>
          <w:b/>
        </w:rPr>
        <w:t xml:space="preserve">B</w:t>
      </w:r>
      <w:r>
        <w:t xml:space="preserve"> </w:t>
      </w:r>
      <w:r>
        <w:t xml:space="preserve">– médicament autorisé utilisé depuis des décennies ; les données d’efficacité proviennent toutefois surtout de grandes séries de cas, de cohortes et de quelques petites études randomisées.</w:t>
      </w:r>
    </w:p>
    <w:bookmarkEnd w:id="2276"/>
    <w:bookmarkStart w:id="2277" w:name="mode-daction-supposé-51"/>
    <w:p>
      <w:pPr>
        <w:pStyle w:val="Heading3"/>
      </w:pPr>
      <w:r>
        <w:t xml:space="preserve">Mode d’action supposé</w:t>
      </w:r>
    </w:p>
    <w:p>
      <w:pPr>
        <w:pStyle w:val="FirstParagraph"/>
      </w:pPr>
      <w:r>
        <w:t xml:space="preserve">L’axe hormonal de la reproduction commence dans l’hypothalamus. Des neurones spécialisés y sécrètent la GnRH – non pas de manière régulière, mais par pulses toutes les une à deux heures environ. Chaque pulse amène l’hypophyse à libérer les hormones LH et FSH. Celles-ci agissent sur les ovaires et les testicules : elles pilotent la maturation des ovocytes et l’ovulation, la production des spermatozoïdes ainsi que la production d’œstrogènes et de testostérone. Le messager kisspeptine (chapitre 2E04) se situe encore un échelon au-dessus et active les neurones à GnRH.</w:t>
      </w:r>
    </w:p>
    <w:p>
      <w:pPr>
        <w:pStyle w:val="BodyText"/>
      </w:pPr>
      <w:r>
        <w:t xml:space="preserve">Le rythme des pulses est déterminant. Cela se voit à travers une contradiction apparente :</w:t>
      </w:r>
    </w:p>
    <w:p>
      <w:pPr>
        <w:numPr>
          <w:ilvl w:val="0"/>
          <w:numId w:val="1282"/>
        </w:numPr>
        <w:pStyle w:val="Compact"/>
      </w:pPr>
      <w:r>
        <w:t xml:space="preserve">L’</w:t>
      </w:r>
      <w:r>
        <w:rPr>
          <w:bCs/>
          <w:b/>
        </w:rPr>
        <w:t xml:space="preserve">administration pulsatile</w:t>
      </w:r>
      <w:r>
        <w:t xml:space="preserve"> </w:t>
      </w:r>
      <w:r>
        <w:t xml:space="preserve">– une petite quantité toutes les 60 à 120 minutes – imite le rythme naturel et</w:t>
      </w:r>
      <w:r>
        <w:t xml:space="preserve"> </w:t>
      </w:r>
      <w:r>
        <w:rPr>
          <w:bCs/>
          <w:b/>
        </w:rPr>
        <w:t xml:space="preserve">active</w:t>
      </w:r>
      <w:r>
        <w:t xml:space="preserve"> </w:t>
      </w:r>
      <w:r>
        <w:t xml:space="preserve">l’axe. C’est le principe du traitement par pompe chez les personnes dont l’hypothalamus produit trop peu de GnRH.</w:t>
      </w:r>
    </w:p>
    <w:p>
      <w:pPr>
        <w:numPr>
          <w:ilvl w:val="0"/>
          <w:numId w:val="1282"/>
        </w:numPr>
        <w:pStyle w:val="Compact"/>
      </w:pPr>
      <w:r>
        <w:t xml:space="preserve">La</w:t>
      </w:r>
      <w:r>
        <w:t xml:space="preserve"> </w:t>
      </w:r>
      <w:r>
        <w:rPr>
          <w:bCs/>
          <w:b/>
        </w:rPr>
        <w:t xml:space="preserve">stimulation continue</w:t>
      </w:r>
      <w:r>
        <w:t xml:space="preserve"> </w:t>
      </w:r>
      <w:r>
        <w:t xml:space="preserve">conduit, après une brève hausse, à une désactivation des récepteurs de l’hypophyse. L’axe hormonal est</w:t>
      </w:r>
      <w:r>
        <w:t xml:space="preserve"> </w:t>
      </w:r>
      <w:r>
        <w:rPr>
          <w:bCs/>
          <w:b/>
        </w:rPr>
        <w:t xml:space="preserve">freiné</w:t>
      </w:r>
      <w:r>
        <w:t xml:space="preserve">, jusqu’à des taux de testostérone comparables à ceux d’une castration.</w:t>
      </w:r>
    </w:p>
    <w:p>
      <w:pPr>
        <w:pStyle w:val="FirstParagraph"/>
      </w:pPr>
      <w:r>
        <w:t xml:space="preserve">C’est sur ce second principe que reposent les analogues de la GnRH comme la leuproréline, la triptoréline ou la goséréline. Ils sont chimiquement modifiés, agissent beaucoup plus longtemps que la gonadoréline et sont utilisés en injection retard contre le cancer de la prostate, l’endométriose, les fibromes ou la puberté précoce. Ils ne font pas l’objet de ce chapitre, mais faussent considérablement les données (voir plus bas).</w:t>
      </w:r>
    </w:p>
    <w:p>
      <w:pPr>
        <w:pStyle w:val="BodyText"/>
      </w:pPr>
      <w:r>
        <w:t xml:space="preserve">La gonadoréline elle-même ne convient pas à un blocage durable : elle est dégradée dans le sang en quelques minutes.</w:t>
      </w:r>
    </w:p>
    <w:bookmarkEnd w:id="2277"/>
    <w:bookmarkStart w:id="2297" w:name="études-chez-lhumain-51"/>
    <w:p>
      <w:pPr>
        <w:pStyle w:val="Heading3"/>
      </w:pPr>
      <w:r>
        <w:t xml:space="preserve">Études chez l’humain</w:t>
      </w:r>
    </w:p>
    <w:p>
      <w:pPr>
        <w:pStyle w:val="FirstParagraph"/>
      </w:pPr>
      <w:r>
        <w:rPr>
          <w:bCs/>
          <w:b/>
        </w:rPr>
        <w:t xml:space="preserve">Ampleur des données (requête d’octobre 2026) – et pourquoi les chiffres sont trompeurs :</w:t>
      </w:r>
      <w:r>
        <w:t xml:space="preserve"> </w:t>
      </w:r>
      <w:r>
        <w:t xml:space="preserve">la recherche automatisée de ce livre a trouvé</w:t>
      </w:r>
      <w:r>
        <w:t xml:space="preserve"> </w:t>
      </w:r>
      <w:r>
        <w:rPr>
          <w:bCs/>
          <w:b/>
        </w:rPr>
        <w:t xml:space="preserve">9</w:t>
      </w:r>
      <w:r>
        <w:t xml:space="preserve"> </w:t>
      </w:r>
      <w:r>
        <w:t xml:space="preserve">études chez l’humain dans PubMed (</w:t>
      </w:r>
      <w:r>
        <w:rPr>
          <w:rStyle w:val="VerbatimChar"/>
        </w:rPr>
        <w:t xml:space="preserve">humanstudien_alle</w:t>
      </w:r>
      <w:r>
        <w:t xml:space="preserve">) et, sur ClinicalTrials.gov, le nombre maximal de</w:t>
      </w:r>
      <w:r>
        <w:t xml:space="preserve"> </w:t>
      </w:r>
      <w:r>
        <w:rPr>
          <w:bCs/>
          <w:b/>
        </w:rPr>
        <w:t xml:space="preserve">1 000</w:t>
      </w:r>
      <w:r>
        <w:t xml:space="preserve"> </w:t>
      </w:r>
      <w:r>
        <w:t xml:space="preserve">entrées de registre, auquel la requête s’interrompt. Ces deux chiffres sont inutilisables pour évaluer la gonadoréline, et ce dans des directions opposées :</w:t>
      </w:r>
    </w:p>
    <w:p>
      <w:pPr>
        <w:numPr>
          <w:ilvl w:val="0"/>
          <w:numId w:val="1283"/>
        </w:numPr>
        <w:pStyle w:val="Compact"/>
      </w:pPr>
      <w:r>
        <w:rPr>
          <w:bCs/>
          <w:b/>
        </w:rPr>
        <w:t xml:space="preserve">Le nombre d’entrées de registre est fortement surestimé.</w:t>
      </w:r>
      <w:r>
        <w:t xml:space="preserve"> </w:t>
      </w:r>
      <w:r>
        <w:t xml:space="preserve">ClinicalTrials.gov rattache le terme de recherche « gonadorelin » au terme générique « Gonadotropin-Releasing Hormone ». De ce fait, toutes les études portant sur des analogues et des antagonistes de la GnRH apparaissent. Dans les titres des 1 000 résultats, le mot « prostate » figure 340 fois, « androgen deprivation » 57 fois, la leuproréline, la goséréline et la triptoréline ensemble bien plus d’une centaine de fois. Un examen des titres n’a trouvé qu’une dizaine d’entrées qui étudient réellement la GnRH native ou la gonadoréline – par exemple sous forme de pompe, de patch ou de test fonctionnel.</w:t>
      </w:r>
    </w:p>
    <w:p>
      <w:pPr>
        <w:numPr>
          <w:ilvl w:val="0"/>
          <w:numId w:val="1283"/>
        </w:numPr>
        <w:pStyle w:val="Compact"/>
      </w:pPr>
      <w:r>
        <w:rPr>
          <w:bCs/>
          <w:b/>
        </w:rPr>
        <w:t xml:space="preserve">Le chiffre de PubMed est sous-estimé.</w:t>
      </w:r>
      <w:r>
        <w:t xml:space="preserve"> </w:t>
      </w:r>
      <w:r>
        <w:t xml:space="preserve">La plupart des études sur l’hormone identique à l’hormone naturelle utilisent les termes « GnRH » ou « LHRH » et non le nom du principe actif. Inversement, plusieurs des neuf résultats ne concernent pas du tout la gonadoréline comme traitement : un travail a étudié un analogue de la GnRH dans le cancer de la prostate</w:t>
      </w:r>
      <w:r>
        <w:rPr>
          <w:rStyle w:val="FootnoteReference"/>
        </w:rPr>
        <w:footnoteReference w:id="2278"/>
      </w:r>
      <w:r>
        <w:t xml:space="preserve">, d’autres n’ont utilisé la gonadoréline que comme substance de test, par exemple pour évaluer l’effet d’un hypocholestérolémiant ou de la lumière UV sur l’axe hormonal</w:t>
      </w:r>
      <w:r>
        <w:rPr>
          <w:rStyle w:val="FootnoteReference"/>
        </w:rPr>
        <w:footnoteReference w:id="2279"/>
      </w:r>
      <w:r>
        <w:t xml:space="preserve">.</w:t>
      </w:r>
    </w:p>
    <w:p>
      <w:pPr>
        <w:pStyle w:val="FirstParagraph"/>
      </w:pPr>
      <w:r>
        <w:t xml:space="preserve">Ce chapitre s’appuie donc sur une recherche complémentaire ciblée d’études sur le traitement pulsatile par GnRH et sur le test à la GnRH.</w:t>
      </w:r>
    </w:p>
    <w:bookmarkStart w:id="2283" w:name="diagnostic-le-test-à-la-gnrh"/>
    <w:p>
      <w:pPr>
        <w:pStyle w:val="Heading4"/>
      </w:pPr>
      <w:r>
        <w:t xml:space="preserve">Diagnostic : le test à la GnRH</w:t>
      </w:r>
    </w:p>
    <w:p>
      <w:pPr>
        <w:pStyle w:val="FirstParagraph"/>
      </w:pPr>
      <w:r>
        <w:t xml:space="preserve">Lors du test à la GnRH (aussi appelé test à la LHRH), on injecte de la gonadoréline par voie intraveineuse, puis on mesure pendant une à deux heures l’ampleur de la hausse de la LH et de la FSH. Le test aide surtout chez les enfants présentant une puberté trop précoce : une nette hausse de la LH indique que l’axe hormonal est déjà actif dans le cerveau (puberté précoce centrale).</w:t>
      </w:r>
    </w:p>
    <w:p>
      <w:pPr>
        <w:pStyle w:val="BodyText"/>
      </w:pPr>
      <w:r>
        <w:t xml:space="preserve">Dans une analyse de 584 tests (dont 314 à visée diagnostique), un seul prélèvement sanguin 40 minutes après l’injection suffisait au diagnostic : avec un seuil de LH de 5 UI/l, la sensibilité était de 98 % et la spécificité de 100 %</w:t>
      </w:r>
      <w:r>
        <w:rPr>
          <w:rStyle w:val="FootnoteReference"/>
        </w:rPr>
        <w:footnoteReference w:id="2280"/>
      </w:r>
      <w:r>
        <w:t xml:space="preserve">. Une revue signale des limites, par exemple aux stades très précoces de la puberté et chez les enfants en surpoids, ainsi que des seuils hétérogènes d’une étude à l’autre</w:t>
      </w:r>
      <w:r>
        <w:rPr>
          <w:rStyle w:val="FootnoteReference"/>
        </w:rPr>
        <w:footnoteReference w:id="2281"/>
      </w:r>
      <w:r>
        <w:t xml:space="preserve">.</w:t>
      </w:r>
    </w:p>
    <w:p>
      <w:pPr>
        <w:pStyle w:val="BodyText"/>
      </w:pPr>
      <w:r>
        <w:t xml:space="preserve">Comme la GnRH native est coûteuse et indisponible dans de nombreux endroits, un analogue à action courte est de plus en plus utilisé en remplacement. Dans une étude portant sur 341 filles, un test à la triptoréline était à peu près aussi précis que le test à la gonadoréline</w:t>
      </w:r>
      <w:r>
        <w:rPr>
          <w:rStyle w:val="FootnoteReference"/>
        </w:rPr>
        <w:footnoteReference w:id="2282"/>
      </w:r>
      <w:r>
        <w:t xml:space="preserve">.</w:t>
      </w:r>
    </w:p>
    <w:bookmarkEnd w:id="2283"/>
    <w:bookmarkStart w:id="2289" w:name="X9345c0e395dd33876bd2911068b290d4e3cad5a"/>
    <w:p>
      <w:pPr>
        <w:pStyle w:val="Heading4"/>
      </w:pPr>
      <w:r>
        <w:t xml:space="preserve">Désir d’enfant : la pompe à GnRH chez la femme</w:t>
      </w:r>
    </w:p>
    <w:p>
      <w:pPr>
        <w:pStyle w:val="FirstParagraph"/>
      </w:pPr>
      <w:r>
        <w:t xml:space="preserve">Dans l’aménorrhée hypothalamique, les règles s’arrêtent parce que le cerveau produit trop peu de GnRH – souvent après une forte perte de poids, un sport intensif ou du stress, plus rarement pour des raisons congénitales. Une petite pompe portable peut remplacer le rythme manquant.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Santoro 1990, PMID 2122733</w:t>
            </w:r>
          </w:p>
        </w:tc>
        <w:tc>
          <w:tcPr/>
          <w:p>
            <w:pPr>
              <w:pStyle w:val="Compact"/>
              <w:jc w:val="left"/>
            </w:pPr>
            <w:r>
              <w:t xml:space="preserve">109 femmes atteintes d’aménorrhée hypothalamique, étude multicentrique avec pompe intraveineuse</w:t>
            </w:r>
          </w:p>
        </w:tc>
        <w:tc>
          <w:tcPr/>
          <w:p>
            <w:pPr>
              <w:pStyle w:val="Compact"/>
              <w:jc w:val="left"/>
            </w:pPr>
            <w:r>
              <w:t xml:space="preserve">plusieurs cycles</w:t>
            </w:r>
          </w:p>
        </w:tc>
        <w:tc>
          <w:tcPr/>
          <w:p>
            <w:pPr>
              <w:pStyle w:val="Compact"/>
              <w:jc w:val="left"/>
            </w:pPr>
            <w:r>
              <w:t xml:space="preserve">Ovulation chez 91 % et 96 % ; grossesses multiples 12 %</w:t>
            </w:r>
          </w:p>
        </w:tc>
      </w:tr>
      <w:tr>
        <w:tc>
          <w:tcPr/>
          <w:p>
            <w:pPr>
              <w:pStyle w:val="Compact"/>
              <w:jc w:val="left"/>
            </w:pPr>
            <w:r>
              <w:t xml:space="preserve">Filicori 1994, PMID 7962297</w:t>
            </w:r>
          </w:p>
        </w:tc>
        <w:tc>
          <w:tcPr/>
          <w:p>
            <w:pPr>
              <w:pStyle w:val="Compact"/>
              <w:jc w:val="left"/>
            </w:pPr>
            <w:r>
              <w:t xml:space="preserve">292 femmes, 600 cycles, causes diverses</w:t>
            </w:r>
          </w:p>
        </w:tc>
        <w:tc>
          <w:tcPr/>
          <w:p>
            <w:pPr>
              <w:pStyle w:val="Compact"/>
              <w:jc w:val="left"/>
            </w:pPr>
            <w:r>
              <w:t xml:space="preserve">1984–1993</w:t>
            </w:r>
          </w:p>
        </w:tc>
        <w:tc>
          <w:tcPr/>
          <w:p>
            <w:pPr>
              <w:pStyle w:val="Compact"/>
              <w:jc w:val="left"/>
            </w:pPr>
            <w:r>
              <w:t xml:space="preserve">Ovulation dans 75 % des cycles ; grossesse 18 % par cycle ; grossesses multiples 3,8 % ; fausses couches 30 %</w:t>
            </w:r>
          </w:p>
        </w:tc>
      </w:tr>
      <w:tr>
        <w:tc>
          <w:tcPr/>
          <w:p>
            <w:pPr>
              <w:pStyle w:val="Compact"/>
              <w:jc w:val="left"/>
            </w:pPr>
            <w:r>
              <w:t xml:space="preserve">Christin-Maitre 2007, PMID 17293247</w:t>
            </w:r>
          </w:p>
        </w:tc>
        <w:tc>
          <w:tcPr/>
          <w:p>
            <w:pPr>
              <w:pStyle w:val="Compact"/>
              <w:jc w:val="left"/>
            </w:pPr>
            <w:r>
              <w:t xml:space="preserve">248 femmes, 829 cycles, 24 centres français, rétrospective</w:t>
            </w:r>
          </w:p>
        </w:tc>
        <w:tc>
          <w:tcPr/>
          <w:p>
            <w:pPr>
              <w:pStyle w:val="Compact"/>
              <w:jc w:val="left"/>
            </w:pPr>
            <w:r>
              <w:t xml:space="preserve">3 ans</w:t>
            </w:r>
          </w:p>
        </w:tc>
        <w:tc>
          <w:tcPr/>
          <w:p>
            <w:pPr>
              <w:pStyle w:val="Compact"/>
              <w:jc w:val="left"/>
            </w:pPr>
            <w:r>
              <w:t xml:space="preserve">Grossesse 25 % par cycle ; grossesses multiples 8,8 % ; aucune hyperstimulation sévère</w:t>
            </w:r>
          </w:p>
        </w:tc>
      </w:tr>
      <w:tr>
        <w:tc>
          <w:tcPr/>
          <w:p>
            <w:pPr>
              <w:pStyle w:val="Compact"/>
              <w:jc w:val="left"/>
            </w:pPr>
            <w:r>
              <w:t xml:space="preserve">Dubourdieu 2013, PMID 23298894</w:t>
            </w:r>
          </w:p>
        </w:tc>
        <w:tc>
          <w:tcPr/>
          <w:p>
            <w:pPr>
              <w:pStyle w:val="Compact"/>
              <w:jc w:val="left"/>
            </w:pPr>
            <w:r>
              <w:t xml:space="preserve">30 femmes atteintes d’aménorrhée et de SOPK, ECR : pompe contre gonadotrophines</w:t>
            </w:r>
          </w:p>
        </w:tc>
        <w:tc>
          <w:tcPr/>
          <w:p>
            <w:pPr>
              <w:pStyle w:val="Compact"/>
              <w:jc w:val="left"/>
            </w:pPr>
            <w:r>
              <w:t xml:space="preserve">un cycle</w:t>
            </w:r>
          </w:p>
        </w:tc>
        <w:tc>
          <w:tcPr/>
          <w:p>
            <w:pPr>
              <w:pStyle w:val="Compact"/>
              <w:jc w:val="left"/>
            </w:pPr>
            <w:r>
              <w:t xml:space="preserve">Grossesse clinique 46 % contre 0 %</w:t>
            </w:r>
          </w:p>
        </w:tc>
      </w:tr>
      <w:tr>
        <w:tc>
          <w:tcPr/>
          <w:p>
            <w:pPr>
              <w:pStyle w:val="Compact"/>
              <w:jc w:val="left"/>
            </w:pPr>
            <w:r>
              <w:t xml:space="preserve">Quaas 2022, PMID 36378460</w:t>
            </w:r>
          </w:p>
        </w:tc>
        <w:tc>
          <w:tcPr/>
          <w:p>
            <w:pPr>
              <w:pStyle w:val="Compact"/>
              <w:jc w:val="left"/>
            </w:pPr>
            <w:r>
              <w:t xml:space="preserve">66 femmes, 212 cycles, centre suisse, rétrospective</w:t>
            </w:r>
          </w:p>
        </w:tc>
        <w:tc>
          <w:tcPr/>
          <w:p>
            <w:pPr>
              <w:pStyle w:val="Compact"/>
              <w:jc w:val="left"/>
            </w:pPr>
            <w:r>
              <w:t xml:space="preserve">1996–2020</w:t>
            </w:r>
          </w:p>
        </w:tc>
        <w:tc>
          <w:tcPr/>
          <w:p>
            <w:pPr>
              <w:pStyle w:val="Compact"/>
              <w:jc w:val="left"/>
            </w:pPr>
            <w:r>
              <w:t xml:space="preserve">Naissance vivante par traitement 65,9 % ; un seul follicule dans 75 % des cycles ; une grossesse gémellaire</w:t>
            </w:r>
          </w:p>
        </w:tc>
      </w:tr>
    </w:tbl>
    <w:p>
      <w:pPr>
        <w:pStyle w:val="BodyText"/>
      </w:pPr>
      <w:r>
        <w:t xml:space="preserve">Les chiffres dessinent un tableau cohérent : chez les femmes dont le problème se situe réellement dans l’hypothalamus, la pompe entraîne une ovulation dans la très grande majorité des cycles, souvent avec un seul ovocyte en maturation. Comme l’hypophyse conserve son propre rétrocontrôle, l’hyperstimulation et les grossesses multiples sont plus rares qu’avec des gonadotrophines injectées directement</w:t>
      </w:r>
      <w:r>
        <w:rPr>
          <w:rStyle w:val="FootnoteReference"/>
        </w:rPr>
        <w:footnoteReference w:id="2284"/>
      </w:r>
      <w:r>
        <w:t xml:space="preserve">. Chez les femmes atteintes du syndrome des ovaires polykystiques ou en surpoids, la pompe agit moins bien, et les fausses couches étaient fréquentes dans la plus grande série individuelle</w:t>
      </w:r>
      <w:r>
        <w:rPr>
          <w:rStyle w:val="FootnoteReference"/>
        </w:rPr>
        <w:footnoteReference w:id="2285"/>
      </w:r>
      <w:r>
        <w:t xml:space="preserve">.</w:t>
      </w:r>
    </w:p>
    <w:p>
      <w:pPr>
        <w:pStyle w:val="BodyText"/>
      </w:pPr>
      <w:r>
        <w:t xml:space="preserve">Les inconvénients sont d’ordre pratique : la pompe doit être portée pendant plusieurs semaines. Avec l’administration intraveineuse, des complications au niveau de l’accès veineux sont survenues, en moyenne dans 7 % des cas</w:t>
      </w:r>
      <w:r>
        <w:rPr>
          <w:rStyle w:val="FootnoteReference"/>
        </w:rPr>
        <w:footnoteReference w:id="2286"/>
      </w:r>
      <w:r>
        <w:t xml:space="preserve">. Aujourd’hui, la perfusion se fait le plus souvent par voie sous-cutanée ; dans l’étude française, des réactions allergiques locales sont survenues dans 1,7 % des cycles</w:t>
      </w:r>
      <w:r>
        <w:rPr>
          <w:rStyle w:val="FootnoteReference"/>
        </w:rPr>
        <w:footnoteReference w:id="2287"/>
      </w:r>
      <w:r>
        <w:t xml:space="preserve">.</w:t>
      </w:r>
    </w:p>
    <w:p>
      <w:pPr>
        <w:pStyle w:val="BodyText"/>
      </w:pPr>
      <w:r>
        <w:t xml:space="preserve">Les données sont anciennes et pour l’essentiel non randomisées. Il manque de grandes études comparatives avec les protocoles modernes de gonadotrophines. Les spécialistes considèrent néanmoins la pompe comme une méthode particulièrement physiologique et sûre dans l’aménorrhée hypothalamique avec désir d’enfant</w:t>
      </w:r>
      <w:r>
        <w:rPr>
          <w:rStyle w:val="FootnoteReference"/>
        </w:rPr>
        <w:footnoteReference w:id="2288"/>
      </w:r>
      <w:r>
        <w:t xml:space="preserve"> </w:t>
      </w:r>
      <w:r>
        <w:t xml:space="preserve">– pour autant qu’elle soit disponible.</w:t>
      </w:r>
    </w:p>
    <w:bookmarkEnd w:id="2289"/>
    <w:bookmarkStart w:id="2293" w:name="hommes-présentant-un-déficit-hormonal"/>
    <w:p>
      <w:pPr>
        <w:pStyle w:val="Heading4"/>
      </w:pPr>
      <w:r>
        <w:t xml:space="preserve">Hommes présentant un déficit hormonal</w:t>
      </w:r>
    </w:p>
    <w:p>
      <w:pPr>
        <w:pStyle w:val="FirstParagraph"/>
      </w:pPr>
      <w:r>
        <w:t xml:space="preserve">Les hommes atteints d’un déficit congénital en GnRH – par exemple dans le syndrome de Kallmann, où l’odorat fait en plus défaut – peuvent eux aussi être traités par pompe afin de stimuler la croissance testiculaire et la production de spermatozoïdes.</w:t>
      </w:r>
    </w:p>
    <w:p>
      <w:pPr>
        <w:pStyle w:val="BodyText"/>
      </w:pPr>
      <w:r>
        <w:t xml:space="preserve">Dans une analyse portant sur 26 hommes dans un centre universitaire allemand, des spermatozoïdes sont apparus dans l’éjaculat lors de 30 cycles de traitement sur 33 ; dans 15 cas sur 18 avec désir d’enfant, la partenaire est tombée enceinte. La pompe et les gonadotrophines injectées étaient aussi efficaces l’une que les autres</w:t>
      </w:r>
      <w:r>
        <w:rPr>
          <w:rStyle w:val="FootnoteReference"/>
        </w:rPr>
        <w:footnoteReference w:id="2290"/>
      </w:r>
      <w:r>
        <w:t xml:space="preserve">. Chez des garçons chinois en âge pubertaire, les testicules ont davantage grossi sous pompe que sous injections de hCG</w:t>
      </w:r>
      <w:r>
        <w:rPr>
          <w:rStyle w:val="FootnoteReference"/>
        </w:rPr>
        <w:footnoteReference w:id="2291"/>
      </w:r>
      <w:r>
        <w:t xml:space="preserve">. Une petite étude randomisée a trouvé des indices qu’un prétraitement par FSH avant la pompe pourrait améliorer la production de spermatozoïdes : les sept hommes prétraités avaient tous ensuite des spermatozoïdes, contre quatre sur six sans prétraitement</w:t>
      </w:r>
      <w:r>
        <w:rPr>
          <w:rStyle w:val="FootnoteReference"/>
        </w:rPr>
        <w:footnoteReference w:id="2292"/>
      </w:r>
      <w:r>
        <w:t xml:space="preserve">.</w:t>
      </w:r>
    </w:p>
    <w:bookmarkEnd w:id="2293"/>
    <w:bookmarkStart w:id="2296" w:name="nourrissons-atteints-de-cryptorchidie"/>
    <w:p>
      <w:pPr>
        <w:pStyle w:val="Heading4"/>
      </w:pPr>
      <w:r>
        <w:t xml:space="preserve">Nourrissons atteints de cryptorchidie</w:t>
      </w:r>
    </w:p>
    <w:p>
      <w:pPr>
        <w:pStyle w:val="FirstParagraph"/>
      </w:pPr>
      <w:r>
        <w:t xml:space="preserve">Dans certains pays européens, un spray nasal de gonadoréline est administré avant ou après l’opération d’une cryptorchidie afin de favoriser la maturation des cellules germinales. Une étude randomisée portant sur 62 nourrissons a rapporté des résultats échographiques plus favorables après traitement combiné</w:t>
      </w:r>
      <w:r>
        <w:rPr>
          <w:rStyle w:val="FootnoteReference"/>
        </w:rPr>
        <w:footnoteReference w:id="2294"/>
      </w:r>
      <w:r>
        <w:t xml:space="preserve">. Une autre étude randomisée portant sur 36 garçons n’a en revanche trouvé aucune différence de taille du pénis, de volume testiculaire ou de valeurs hormonales au moment de l’opération ; le traitement s’est toutefois révélé sûr</w:t>
      </w:r>
      <w:r>
        <w:rPr>
          <w:rStyle w:val="FootnoteReference"/>
        </w:rPr>
        <w:footnoteReference w:id="2295"/>
      </w:r>
      <w:r>
        <w:t xml:space="preserve">. Le bénéfice est controversé ; l’opération précoce reste l’élément principal.</w:t>
      </w:r>
    </w:p>
    <w:bookmarkEnd w:id="2296"/>
    <w:bookmarkEnd w:id="2297"/>
    <w:bookmarkStart w:id="2298" w:name="études-animales-et-de-laboratoire-51"/>
    <w:p>
      <w:pPr>
        <w:pStyle w:val="Heading3"/>
      </w:pPr>
      <w:r>
        <w:t xml:space="preserve">Études animales et de laboratoire</w:t>
      </w:r>
    </w:p>
    <w:p>
      <w:pPr>
        <w:pStyle w:val="FirstParagraph"/>
      </w:pPr>
      <w:r>
        <w:t xml:space="preserve">La gonadoréline est l’une des hormones les mieux comprises qui soient ; ses bases proviennent d’expérimentations animales des années 1970. Aujourd’hui, la recherche animale ne joue pratiquement plus de rôle dans l’évaluation chez l’humain. En médecine vétérinaire, la gonadoréline est largement utilisée, surtout chez les bovins pour contrôler l’ovulation. Ces préparations sont autorisées pour les animaux et non pour l’humain.</w:t>
      </w:r>
    </w:p>
    <w:bookmarkEnd w:id="2298"/>
    <w:bookmarkStart w:id="2302" w:name="risques-et-effets-indésirables-51"/>
    <w:p>
      <w:pPr>
        <w:pStyle w:val="Heading3"/>
      </w:pPr>
      <w:r>
        <w:t xml:space="preserve">Risques et effets indésirables</w:t>
      </w:r>
    </w:p>
    <w:bookmarkStart w:id="2300" w:name="établis-3"/>
    <w:p>
      <w:pPr>
        <w:pStyle w:val="Heading4"/>
      </w:pPr>
      <w:r>
        <w:t xml:space="preserve">Établis</w:t>
      </w:r>
    </w:p>
    <w:p>
      <w:pPr>
        <w:pStyle w:val="FirstParagraph"/>
      </w:pPr>
      <w:r>
        <w:t xml:space="preserve">La gonadoréline est considérée comme bien tolérée. Dans les études sur le traitement par pompe, les problèmes liés à l’accès (inflammation, irritation veineuse en cas d’administration intraveineuse) et les réactions cutanées locales étaient au premier plan</w:t>
      </w:r>
      <w:r>
        <w:rPr>
          <w:rStyle w:val="FootnoteReference"/>
        </w:rPr>
        <w:footnoteReference w:id="2299"/>
      </w:r>
      <w:r>
        <w:t xml:space="preserve">. Des grossesses multiples surviennent, bien que plus rarement qu’avec les gonadotrophines ; les hyperstimulations sévères sont l’exception. Lors du test, des maux de tête, des nausées ou des bouffées de chaleur passagers peuvent survenir. Des réactions allergiques ont rarement été décrites. Le résumé des caractéristiques du produit donne les détails ; l’utilisation relève du médecin.</w:t>
      </w:r>
    </w:p>
    <w:bookmarkEnd w:id="2300"/>
    <w:bookmarkStart w:id="2301" w:name="en-cas-de-mauvaise-utilisation"/>
    <w:p>
      <w:pPr>
        <w:pStyle w:val="Heading4"/>
      </w:pPr>
      <w:r>
        <w:t xml:space="preserve">En cas de mauvaise utilisation</w:t>
      </w:r>
    </w:p>
    <w:p>
      <w:pPr>
        <w:pStyle w:val="FirstParagraph"/>
      </w:pPr>
      <w:r>
        <w:t xml:space="preserve">Si la gonadoréline n’est pas administrée au bon rythme, mais trop souvent ou en continu, elle peut supprimer l’axe hormonal propre au lieu de le stimuler. Ce n’est pas un risque théorique, mais le principe d’action des analogues de la GnRH.</w:t>
      </w:r>
    </w:p>
    <w:bookmarkEnd w:id="2301"/>
    <w:bookmarkEnd w:id="2302"/>
    <w:bookmarkStart w:id="2306" w:name="Xda4c74a6adae3b451fa95effd56880bab06ac7b"/>
    <w:p>
      <w:pPr>
        <w:pStyle w:val="Heading3"/>
      </w:pPr>
      <w:r>
        <w:t xml:space="preserve">Mise en perspective : la gonadoréline dans le culturisme</w:t>
      </w:r>
    </w:p>
    <w:p>
      <w:pPr>
        <w:pStyle w:val="FirstParagraph"/>
      </w:pPr>
      <w:r>
        <w:t xml:space="preserve">Sur des forums Internet et chez certains prestataires d’« optimisation hormonale », la gonadoréline est promue comme élément d’une thérapie dite post-cycle (Post-Cycle-Therapy, PCT). Il s’agit de la phase qui suit une cure de stéroïdes anabolisants : les hormones apportées artificiellement ont supprimé la production propre de testostérone, et la gonadoréline est censée « relancer » l’axe hormonal. Aux États-Unis, elle serait aussi proposée comme substitut à la hCG.</w:t>
      </w:r>
    </w:p>
    <w:p>
      <w:pPr>
        <w:pStyle w:val="BodyText"/>
      </w:pPr>
      <w:r>
        <w:t xml:space="preserve">Ce que l’on sait à ce sujet :</w:t>
      </w:r>
    </w:p>
    <w:p>
      <w:pPr>
        <w:numPr>
          <w:ilvl w:val="0"/>
          <w:numId w:val="1284"/>
        </w:numPr>
        <w:pStyle w:val="Compact"/>
      </w:pPr>
      <w:r>
        <w:rPr>
          <w:bCs/>
          <w:b/>
        </w:rPr>
        <w:t xml:space="preserve">Il n’existe aucune étude</w:t>
      </w:r>
      <w:r>
        <w:t xml:space="preserve"> </w:t>
      </w:r>
      <w:r>
        <w:t xml:space="preserve">sur la gonadoréline dans cette situation. Les données sur la PCT en général sont minces ; presque seuls les anti-œstrogènes, la hCG et les inhibiteurs de l’aromatase ont été étudiés, et là aussi il s’agit surtout de données observationnelles. Du point de vue scientifique, une PCT n’est majoritairement pas recommandée</w:t>
      </w:r>
      <w:r>
        <w:rPr>
          <w:rStyle w:val="FootnoteReference"/>
        </w:rPr>
        <w:footnoteReference w:id="2303"/>
      </w:r>
      <w:r>
        <w:t xml:space="preserve">.</w:t>
      </w:r>
    </w:p>
    <w:p>
      <w:pPr>
        <w:numPr>
          <w:ilvl w:val="0"/>
          <w:numId w:val="1284"/>
        </w:numPr>
        <w:pStyle w:val="Compact"/>
      </w:pPr>
      <w:r>
        <w:rPr>
          <w:bCs/>
          <w:b/>
        </w:rPr>
        <w:t xml:space="preserve">La récupération se fait le plus souvent d’elle-même.</w:t>
      </w:r>
      <w:r>
        <w:t xml:space="preserve"> </w:t>
      </w:r>
      <w:r>
        <w:t xml:space="preserve">Dans l’étude néerlandaise HAARLEM portant sur 100 pratiquants de musculation, la testostérone s’était normalisée chez la plupart trois mois après la fin de la cure de stéroïdes ; après un an, elle restait inférieure aux valeurs normales chez 11 %, et le nombre de spermatozoïdes était encore abaissé chez 34 %</w:t>
      </w:r>
      <w:r>
        <w:rPr>
          <w:rStyle w:val="FootnoteReference"/>
        </w:rPr>
        <w:footnoteReference w:id="2304"/>
      </w:r>
      <w:r>
        <w:t xml:space="preserve">.</w:t>
      </w:r>
    </w:p>
    <w:p>
      <w:pPr>
        <w:numPr>
          <w:ilvl w:val="0"/>
          <w:numId w:val="1284"/>
        </w:numPr>
        <w:pStyle w:val="Compact"/>
      </w:pPr>
      <w:r>
        <w:rPr>
          <w:bCs/>
          <w:b/>
        </w:rPr>
        <w:t xml:space="preserve">Le principe d’action plaide contre une utilisation naïve.</w:t>
      </w:r>
      <w:r>
        <w:t xml:space="preserve"> </w:t>
      </w:r>
      <w:r>
        <w:t xml:space="preserve">Des injections isolées ne produisent que de brefs pics de LH ; des administrations fréquentes risquent plutôt d’émousser la réponse de l’hypophyse. Sans pompe ni contrôle biologique, aucun bénéfice n’est à attendre, et un retard de la récupération ne peut être exclu.</w:t>
      </w:r>
    </w:p>
    <w:p>
      <w:pPr>
        <w:numPr>
          <w:ilvl w:val="0"/>
          <w:numId w:val="1284"/>
        </w:numPr>
        <w:pStyle w:val="Compact"/>
      </w:pPr>
      <w:r>
        <w:rPr>
          <w:bCs/>
          <w:b/>
        </w:rPr>
        <w:t xml:space="preserve">Si tu présentes des troubles après une prise de stéroïdes</w:t>
      </w:r>
      <w:r>
        <w:t xml:space="preserve">, par exemple un manque d’élan, une perte de libido ou un désir d’enfant non satisfait, fais-les évaluer par un médecin, idéalement dans une consultation d’andrologie ou d’endocrinologie.</w:t>
      </w:r>
    </w:p>
    <w:p>
      <w:pPr>
        <w:pStyle w:val="FirstParagraph"/>
      </w:pPr>
      <w:r>
        <w:t xml:space="preserve">Dans le sport, la gonadoréline est interdite pour les hommes. Les laboratoires antidopage ont mis au point leurs propres méthodes de détection ; une revue présente la gonadoréline comme exemple de peptide détourné ces dernières années dans le sport de compétition</w:t>
      </w:r>
      <w:r>
        <w:rPr>
          <w:rStyle w:val="FootnoteReference"/>
        </w:rPr>
        <w:footnoteReference w:id="2305"/>
      </w:r>
      <w:r>
        <w:t xml:space="preserve">.</w:t>
      </w:r>
    </w:p>
    <w:bookmarkEnd w:id="2306"/>
    <w:bookmarkStart w:id="2307" w:name="statut-juridique-51"/>
    <w:p>
      <w:pPr>
        <w:pStyle w:val="Heading3"/>
      </w:pPr>
      <w:r>
        <w:t xml:space="preserve">Statut juridique</w:t>
      </w:r>
    </w:p>
    <w:p>
      <w:pPr>
        <w:pStyle w:val="FirstParagraph"/>
      </w:pPr>
      <w:r>
        <w:rPr>
          <w:iCs/>
          <w:i/>
        </w:rPr>
        <w:t xml:space="preserve">État 2026, à vérifier.</w:t>
      </w:r>
    </w:p>
    <w:p>
      <w:pPr>
        <w:numPr>
          <w:ilvl w:val="0"/>
          <w:numId w:val="1285"/>
        </w:numPr>
        <w:pStyle w:val="Compact"/>
      </w:pPr>
      <w:r>
        <w:rPr>
          <w:bCs/>
          <w:b/>
        </w:rPr>
        <w:t xml:space="preserve">UE :</w:t>
      </w:r>
      <w:r>
        <w:t xml:space="preserve"> </w:t>
      </w:r>
      <w:r>
        <w:t xml:space="preserve">pas d’autorisation centralisée de l’UE ; autorisations nationales dans plusieurs États membres, notamment comme produit diagnostique, pour le traitement pulsatile par pompe et comme spray nasal dans la cryptorchidie. Les préparations sont soumises à prescription.</w:t>
      </w:r>
    </w:p>
    <w:p>
      <w:pPr>
        <w:numPr>
          <w:ilvl w:val="0"/>
          <w:numId w:val="1285"/>
        </w:numPr>
        <w:pStyle w:val="Compact"/>
      </w:pPr>
      <w:r>
        <w:rPr>
          <w:bCs/>
          <w:b/>
        </w:rPr>
        <w:t xml:space="preserve">Allemagne :</w:t>
      </w:r>
      <w:r>
        <w:t xml:space="preserve"> </w:t>
      </w:r>
      <w:r>
        <w:t xml:space="preserve">des préparations pour le test à la GnRH et pour le traitement par pompe étaient ou sont commercialisées ; la disponibilité actuelle fluctue. Le traitement a lieu dans des centres spécialisés.</w:t>
      </w:r>
    </w:p>
    <w:p>
      <w:pPr>
        <w:numPr>
          <w:ilvl w:val="0"/>
          <w:numId w:val="1285"/>
        </w:numPr>
        <w:pStyle w:val="Compact"/>
      </w:pPr>
      <w:r>
        <w:rPr>
          <w:bCs/>
          <w:b/>
        </w:rPr>
        <w:t xml:space="preserve">Autriche :</w:t>
      </w:r>
      <w:r>
        <w:t xml:space="preserve"> </w:t>
      </w:r>
      <w:r>
        <w:t xml:space="preserve">soumise à prescription ; vérifie la disponibilité actuelle des différentes préparations dans la liste des spécialités pharmaceutiques.</w:t>
      </w:r>
    </w:p>
    <w:p>
      <w:pPr>
        <w:numPr>
          <w:ilvl w:val="0"/>
          <w:numId w:val="1285"/>
        </w:numPr>
        <w:pStyle w:val="Compact"/>
      </w:pPr>
      <w:r>
        <w:rPr>
          <w:bCs/>
          <w:b/>
        </w:rPr>
        <w:t xml:space="preserve">États-Unis :</w:t>
      </w:r>
      <w:r>
        <w:t xml:space="preserve"> </w:t>
      </w:r>
      <w:r>
        <w:t xml:space="preserve">les préparations à usage humain autrefois autorisées ont été retirées du marché. La gonadoréline serait proposée par des pharmacies de préparation ; l’évaluation réglementaire de ces préparations est en évolution. Les médicaments vétérinaires contenant de la gonadoréline ne sont pas destinés à l’humain.</w:t>
      </w:r>
    </w:p>
    <w:p>
      <w:pPr>
        <w:numPr>
          <w:ilvl w:val="0"/>
          <w:numId w:val="1285"/>
        </w:numPr>
        <w:pStyle w:val="Compact"/>
      </w:pPr>
      <w:r>
        <w:rPr>
          <w:bCs/>
          <w:b/>
        </w:rPr>
        <w:t xml:space="preserve">AMA (WADA) :</w:t>
      </w:r>
      <w:r>
        <w:t xml:space="preserve"> </w:t>
      </w:r>
      <w:r>
        <w:t xml:space="preserve">S2 – interdite pour les hommes en compétition et hors compétition.</w:t>
      </w:r>
    </w:p>
    <w:bookmarkEnd w:id="2307"/>
    <w:bookmarkStart w:id="2311" w:name="études-en-cours-et-perspectives-51"/>
    <w:p>
      <w:pPr>
        <w:pStyle w:val="Heading3"/>
      </w:pPr>
      <w:r>
        <w:t xml:space="preserve">Études en cours et perspectives</w:t>
      </w:r>
    </w:p>
    <w:p>
      <w:pPr>
        <w:pStyle w:val="FirstParagraph"/>
      </w:pPr>
      <w:r>
        <w:rPr>
          <w:bCs/>
          <w:b/>
        </w:rPr>
        <w:t xml:space="preserve">Établi (études enregistrées) :</w:t>
      </w:r>
      <w:r>
        <w:t xml:space="preserve"> </w:t>
      </w:r>
      <w:r>
        <w:t xml:space="preserve">parmi les rares entrées de registre qui concernent réellement la GnRH native, on trouve :</w:t>
      </w:r>
    </w:p>
    <w:p>
      <w:pPr>
        <w:numPr>
          <w:ilvl w:val="0"/>
          <w:numId w:val="1286"/>
        </w:numPr>
        <w:pStyle w:val="Compact"/>
      </w:pPr>
      <w:r>
        <w:t xml:space="preserve">des études terminées du fabricant Ferring sur un patch cutané qui délivre la GnRH de manière pulsatile à travers la peau au moyen d’un faible courant électrique (NCT00296465 avec 132 et NCT00796289 avec 350 participantes). À la connaissance de l’auteur, les résultats de ces études n’ont pas été publiés dans PubMed, et le patch n’a pas été commercialisé ;</w:t>
      </w:r>
    </w:p>
    <w:p>
      <w:pPr>
        <w:numPr>
          <w:ilvl w:val="0"/>
          <w:numId w:val="1286"/>
        </w:numPr>
        <w:pStyle w:val="Compact"/>
      </w:pPr>
      <w:r>
        <w:t xml:space="preserve">une étude retirée en 2025 sur l’administration de GnRH par une pompe à insuline moderne sans tubulure</w:t>
      </w:r>
      <w:r>
        <w:rPr>
          <w:rStyle w:val="FootnoteReference"/>
        </w:rPr>
        <w:footnoteReference w:id="2308"/>
      </w:r>
      <w:r>
        <w:t xml:space="preserve"> </w:t>
      </w:r>
      <w:r>
        <w:t xml:space="preserve">;</w:t>
      </w:r>
    </w:p>
    <w:p>
      <w:pPr>
        <w:numPr>
          <w:ilvl w:val="0"/>
          <w:numId w:val="1286"/>
        </w:numPr>
        <w:pStyle w:val="Compact"/>
      </w:pPr>
      <w:r>
        <w:t xml:space="preserve">des études chinoises sur la pompe dans le déficit hormonal congénital</w:t>
      </w:r>
      <w:r>
        <w:rPr>
          <w:rStyle w:val="FootnoteReference"/>
        </w:rPr>
        <w:footnoteReference w:id="2309"/>
      </w:r>
      <w:r>
        <w:t xml:space="preserve"> </w:t>
      </w:r>
      <w:r>
        <w:t xml:space="preserve">et dans le SOPK</w:t>
      </w:r>
      <w:r>
        <w:rPr>
          <w:rStyle w:val="FootnoteReference"/>
        </w:rPr>
        <w:footnoteReference w:id="2310"/>
      </w:r>
      <w:r>
        <w:t xml:space="preserve">, toutes deux de statut inconnu.</w:t>
      </w:r>
    </w:p>
    <w:p>
      <w:pPr>
        <w:pStyle w:val="FirstParagraph"/>
      </w:pPr>
      <w:r>
        <w:rPr>
          <w:bCs/>
          <w:b/>
        </w:rPr>
        <w:t xml:space="preserve">Appréciation de l’auteur :</w:t>
      </w:r>
      <w:r>
        <w:t xml:space="preserve"> </w:t>
      </w:r>
      <w:r>
        <w:t xml:space="preserve">la gonadoréline est un principe actif ancien et bien compris, dont l’importance en diagnostic diminue parce que les analogues à action courte sont moins chers et plus disponibles. Pour le traitement par pompe de l’aménorrhée hypothalamique et du déficit hormonal congénital, elle reste une option physiologique, dont l’avenir dépend moins de nouvelles recherches que de la volonté des fabricants de continuer à approvisionner ces petits marchés. Des pompes modernes sans tubulure pourraient rendre le traitement plus confortable. Il n’existe aucune preuve d’un bénéfice dans le contexte du culturisme.</w:t>
      </w:r>
    </w:p>
    <w:bookmarkEnd w:id="2311"/>
    <w:bookmarkStart w:id="2312" w:name="conclusion-51"/>
    <w:p>
      <w:pPr>
        <w:pStyle w:val="Heading3"/>
      </w:pPr>
      <w:r>
        <w:t xml:space="preserve">Conclusion</w:t>
      </w:r>
    </w:p>
    <w:p>
      <w:pPr>
        <w:pStyle w:val="FirstParagraph"/>
      </w:pPr>
      <w:r>
        <w:t xml:space="preserve">La gonadoréline est la copie synthétique de la GnRH endogène et est utilisée depuis des décennies pour des tests fonctionnels et le traitement par pompe. Administrée au bon rythme de pulses, elle a conduit, dans de grandes séries de cas, à une ovulation dans la plupart des cycles chez les femmes atteintes d’aménorrhée hypothalamique, avec moins de grossesses multiples que sous gonadotrophines, et à la production de spermatozoïdes chez les hommes présentant un déficit hormonal congénital. Les données sont anciennes et pour l’essentiel non randomisées ; les chiffres des registres sont massivement faussés par les analogues de la GnRH. L’utilisation dans le milieu du culturisme après des cures de stéroïdes n’a pas été étudiée, contredit le principe d’action et est interdite dans le sport.</w:t>
      </w:r>
    </w:p>
    <w:bookmarkEnd w:id="2312"/>
    <w:bookmarkEnd w:id="2313"/>
    <w:bookmarkEnd w:id="2314"/>
    <w:bookmarkStart w:id="2525" w:name="X3f5558c6ce52d041f65d22f99d9bf3ca1ab9fc8"/>
    <w:p>
      <w:pPr>
        <w:pStyle w:val="Heading1"/>
      </w:pPr>
      <w:r>
        <w:t xml:space="preserve">Partie II · F – Collagène, alimentation et cosmétique</w:t>
      </w:r>
    </w:p>
    <w:p>
      <w:pPr>
        <w:pStyle w:val="FirstParagraph"/>
      </w:pPr>
      <w:r>
        <w:t xml:space="preserve">La plupart des gens rencontrent les peptides de ce groupe non pas au cabinet médical, mais au supermarché, en droguerie et dans la publicité : sous forme de boisson au collagène, de yaourt pour la pression artérielle, de gélule pour sportifs ou de « peptide anti-âge » dans une crème pour le visage. Ils sont en vente libre, passent pour inoffensifs et sont promus à grand renfort d’études. C’est précisément pour cela qu’il vaut la peine d’examiner de près ce que montrent ces études.</w:t>
      </w:r>
    </w:p>
    <w:bookmarkStart w:id="2316" w:name="ce-qui-unit-ce-groupe"/>
    <w:p>
      <w:pPr>
        <w:pStyle w:val="Heading3"/>
      </w:pPr>
      <w:r>
        <w:t xml:space="preserve">Ce qui unit ce groupe</w:t>
      </w:r>
    </w:p>
    <w:p>
      <w:pPr>
        <w:pStyle w:val="FirstParagraph"/>
      </w:pPr>
      <w:r>
        <w:t xml:space="preserve">Les six substances sont soit des fragments de protéines endogènes ou présentes dans l’alimentation (peptides de collagène, lactotripeptides du lait, carnosine, GHK-Cu), soit des imitations délibérées de celles-ci (Matrixyl, Argireline). Aucune n’est autorisée comme médicament. Elles ne sont donc pas évaluées selon les critères stricts applicables aux médicaments, mais selon les règles applicables aux denrées alimentaires ou aux cosmétiques.</w:t>
      </w:r>
    </w:p>
    <w:p>
      <w:pPr>
        <w:pStyle w:val="BodyText"/>
      </w:pPr>
      <w:r>
        <w:t xml:space="preserve">Il en résulte des schémas communs qui reviennent dans tous les chapitres :</w:t>
      </w:r>
    </w:p>
    <w:p>
      <w:pPr>
        <w:numPr>
          <w:ilvl w:val="0"/>
          <w:numId w:val="1287"/>
        </w:numPr>
        <w:pStyle w:val="Compact"/>
      </w:pPr>
      <w:r>
        <w:rPr>
          <w:bCs/>
          <w:b/>
        </w:rPr>
        <w:t xml:space="preserve">Beaucoup de petites études, peu de grandes.</w:t>
      </w:r>
      <w:r>
        <w:t xml:space="preserve"> </w:t>
      </w:r>
      <w:r>
        <w:t xml:space="preserve">Les études portent typiquement sur 20 à 150 participants pendant 4 à 24 semaines. Les critères durs comme les fractures, les infarctus ou les prothèses articulaires n’ont jamais été étudiés.</w:t>
      </w:r>
    </w:p>
    <w:p>
      <w:pPr>
        <w:numPr>
          <w:ilvl w:val="0"/>
          <w:numId w:val="1287"/>
        </w:numPr>
        <w:pStyle w:val="Compact"/>
      </w:pPr>
      <w:r>
        <w:rPr>
          <w:bCs/>
          <w:b/>
        </w:rPr>
        <w:t xml:space="preserve">Financement par les fabricants.</w:t>
      </w:r>
      <w:r>
        <w:t xml:space="preserve"> </w:t>
      </w:r>
      <w:r>
        <w:t xml:space="preserve">Une grande partie des études a été payée par des fabricants de matières premières ou de produits. Pour le collagène, une méta-analyse montre que le bénéfice pour la peau disparaît si l’on ne considère que les études financées de manière indépendante</w:t>
      </w:r>
      <w:r>
        <w:rPr>
          <w:rStyle w:val="FootnoteReference"/>
        </w:rPr>
        <w:footnoteReference w:id="2315"/>
      </w:r>
      <w:r>
        <w:t xml:space="preserve">.</w:t>
      </w:r>
    </w:p>
    <w:p>
      <w:pPr>
        <w:numPr>
          <w:ilvl w:val="0"/>
          <w:numId w:val="1287"/>
        </w:numPr>
        <w:pStyle w:val="Compact"/>
      </w:pPr>
      <w:r>
        <w:rPr>
          <w:bCs/>
          <w:b/>
        </w:rPr>
        <w:t xml:space="preserve">Le problème du site d’action.</w:t>
      </w:r>
      <w:r>
        <w:t xml:space="preserve"> </w:t>
      </w:r>
      <w:r>
        <w:t xml:space="preserve">Un peptide doit parvenir là où il est censé agir. Les peptides avalés sont en grande partie digérés ; les peptides des crèmes ne traversent la barrière cutanée que dans une faible mesure. Pour chaque chapitre, la question centrale est donc de savoir si le mécanisme montré en laboratoire entre réellement en jeu dans l’organisme.</w:t>
      </w:r>
    </w:p>
    <w:p>
      <w:pPr>
        <w:numPr>
          <w:ilvl w:val="0"/>
          <w:numId w:val="1287"/>
        </w:numPr>
        <w:pStyle w:val="Compact"/>
      </w:pPr>
      <w:r>
        <w:rPr>
          <w:bCs/>
          <w:b/>
        </w:rPr>
        <w:t xml:space="preserve">Produits combinés.</w:t>
      </w:r>
      <w:r>
        <w:t xml:space="preserve"> </w:t>
      </w:r>
      <w:r>
        <w:t xml:space="preserve">Beaucoup de produits contiennent plusieurs principes actifs. Un résultat d’étude positif ne peut alors pas être attribué au peptide pris isolément.</w:t>
      </w:r>
    </w:p>
    <w:bookmarkEnd w:id="2316"/>
    <w:bookmarkStart w:id="2317" w:name="X6882852a253fba3f3167b56910011dc767c761f"/>
    <w:p>
      <w:pPr>
        <w:pStyle w:val="Heading3"/>
      </w:pPr>
      <w:r>
        <w:t xml:space="preserve">Aliment, cosmétique, médicament – trois univers juridiques</w:t>
      </w:r>
    </w:p>
    <w:p>
      <w:pPr>
        <w:pStyle w:val="FirstParagraph"/>
      </w:pPr>
      <w:r>
        <w:t xml:space="preserve">Ce n’est pas la chimie d’une substance qui détermine si elle est considérée comme un aliment, un cosmétique ou un médicament, mais sa destination et sa présentation. La partie I explique en détail le cadre juridique ; pour ce groupe, trois points sont importants :</w:t>
      </w:r>
    </w:p>
    <w:p>
      <w:pPr>
        <w:numPr>
          <w:ilvl w:val="0"/>
          <w:numId w:val="1288"/>
        </w:numPr>
        <w:pStyle w:val="Compact"/>
      </w:pPr>
      <w:r>
        <w:rPr>
          <w:bCs/>
          <w:b/>
        </w:rPr>
        <w:t xml:space="preserve">Les denrées alimentaires et compléments alimentaires</w:t>
      </w:r>
      <w:r>
        <w:t xml:space="preserve"> </w:t>
      </w:r>
      <w:r>
        <w:t xml:space="preserve">(peptides de collagène, lactotripeptides, carnosine) n’ont besoin dans l’UE ni d’autorisation ni de preuve d’efficacité. En contrepartie, les allégations publicitaires sont strictement réglementées. Selon le règlement sur les allégations de santé (règlement (CE) n° 1924/2006), les allégations de santé ne sont permises que si elles ont été évaluées par l’Autorité européenne de sécurité des aliments (EFSA) et autorisées par la Commission européenne.</w:t>
      </w:r>
      <w:r>
        <w:t xml:space="preserve"> </w:t>
      </w:r>
      <w:r>
        <w:rPr>
          <w:bCs/>
          <w:b/>
        </w:rPr>
        <w:t xml:space="preserve">Pour le collagène, les peptides de collagène, les lactotripeptides et la carnosine, il n’existe pas une seule allégation de santé autorisée.</w:t>
      </w:r>
      <w:r>
        <w:t xml:space="preserve"> </w:t>
      </w:r>
      <w:r>
        <w:t xml:space="preserve">L’EFSA a rendu des avis négatifs sur les allégations demandées – par exemple sur les articulations pour le collagène ou sur la pression artérielle pour les lactotripeptides. Si un emballage de collagène vante malgré tout des effets sur la peau ou les os, l’allégation juridiquement admise se rapporte en général à la vitamine C ajoutée, pour laquelle l’allégation « contribue à la formation normale de collagène » est autorisée.</w:t>
      </w:r>
    </w:p>
    <w:p>
      <w:pPr>
        <w:numPr>
          <w:ilvl w:val="0"/>
          <w:numId w:val="1288"/>
        </w:numPr>
        <w:pStyle w:val="Compact"/>
      </w:pPr>
      <w:r>
        <w:rPr>
          <w:bCs/>
          <w:b/>
        </w:rPr>
        <w:t xml:space="preserve">Les cosmétiques</w:t>
      </w:r>
      <w:r>
        <w:t xml:space="preserve"> </w:t>
      </w:r>
      <w:r>
        <w:t xml:space="preserve">(GHK-Cu, Matrixyl, Argireline) relèvent du règlement européen sur les produits cosmétiques (règlement (CE) n° 1223/2009). Ils ne peuvent être appliqués qu’en usage externe, doivent être sûrs et ne peuvent revendiquer aucun effet médicamenteux. Les allégations publicitaires doivent pouvoir être justifiées, mais il n’existe aucun contrôle officiel de l’efficacité avant la mise en vente.</w:t>
      </w:r>
    </w:p>
    <w:p>
      <w:pPr>
        <w:numPr>
          <w:ilvl w:val="0"/>
          <w:numId w:val="1288"/>
        </w:numPr>
        <w:pStyle w:val="Compact"/>
      </w:pPr>
      <w:r>
        <w:rPr>
          <w:bCs/>
          <w:b/>
        </w:rPr>
        <w:t xml:space="preserve">Les médicaments</w:t>
      </w:r>
      <w:r>
        <w:t xml:space="preserve"> </w:t>
      </w:r>
      <w:r>
        <w:t xml:space="preserve">doivent démontrer leur efficacité et leur sécurité dans des études et être autorisés. Si un peptide cosmétique est injecté – comme c’est le cas pour le GHK-Cu et l’Argireline sur le marché gris –, il quitte l’univers des cosmétiques : il devient un médicament non autorisé, sans qu’il existe d’études ni de contrôles de qualité à son sujet.</w:t>
      </w:r>
    </w:p>
    <w:p>
      <w:pPr>
        <w:pStyle w:val="FirstParagraph"/>
      </w:pPr>
      <w:r>
        <w:t xml:space="preserve">Aux États-Unis, des principes similaires s’appliquent ; les compléments alimentaires peuvent toutefois y faire valoir des « allégations structure-fonction » générales, à condition de porter une mention indiquant que la FDA ne les a pas évaluées.</w:t>
      </w:r>
    </w:p>
    <w:bookmarkEnd w:id="2317"/>
    <w:bookmarkStart w:id="2318" w:name="vue-densemble-4"/>
    <w:p>
      <w:pPr>
        <w:pStyle w:val="Heading3"/>
      </w:pPr>
      <w:r>
        <w:t xml:space="preserve">Vue d’ensemble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w:t>
            </w:r>
          </w:p>
        </w:tc>
        <w:tc>
          <w:tcPr/>
          <w:p>
            <w:pPr>
              <w:pStyle w:val="Compact"/>
              <w:jc w:val="left"/>
            </w:pPr>
            <w:r>
              <w:t xml:space="preserve">En bref</w:t>
            </w:r>
          </w:p>
        </w:tc>
      </w:tr>
      <w:tr>
        <w:tc>
          <w:tcPr/>
          <w:p>
            <w:pPr>
              <w:pStyle w:val="Compact"/>
              <w:jc w:val="left"/>
            </w:pPr>
            <w:r>
              <w:t xml:space="preserve">Peptides de collagène</w:t>
            </w:r>
          </w:p>
        </w:tc>
        <w:tc>
          <w:tcPr/>
          <w:p>
            <w:pPr>
              <w:pStyle w:val="Compact"/>
              <w:jc w:val="left"/>
            </w:pPr>
            <w:r>
              <w:t xml:space="preserve">B</w:t>
            </w:r>
          </w:p>
        </w:tc>
        <w:tc>
          <w:tcPr/>
          <w:p>
            <w:pPr>
              <w:pStyle w:val="Compact"/>
              <w:jc w:val="left"/>
            </w:pPr>
            <w:r>
              <w:t xml:space="preserve">Aliment, aucune allégation de santé</w:t>
            </w:r>
          </w:p>
        </w:tc>
        <w:tc>
          <w:tcPr/>
          <w:p>
            <w:pPr>
              <w:pStyle w:val="Compact"/>
              <w:jc w:val="left"/>
            </w:pPr>
            <w:r>
              <w:t xml:space="preserve">Petits effets sur les douleurs articulaires ; bénéfice cutané non démontré dans les études indépendantes</w:t>
            </w:r>
          </w:p>
        </w:tc>
      </w:tr>
      <w:tr>
        <w:tc>
          <w:tcPr/>
          <w:p>
            <w:pPr>
              <w:pStyle w:val="Compact"/>
              <w:jc w:val="left"/>
            </w:pPr>
            <w:r>
              <w:t xml:space="preserve">Lactotripeptides (VPP/IPP)</w:t>
            </w:r>
          </w:p>
        </w:tc>
        <w:tc>
          <w:tcPr/>
          <w:p>
            <w:pPr>
              <w:pStyle w:val="Compact"/>
              <w:jc w:val="left"/>
            </w:pPr>
            <w:r>
              <w:t xml:space="preserve">B</w:t>
            </w:r>
          </w:p>
        </w:tc>
        <w:tc>
          <w:tcPr/>
          <w:p>
            <w:pPr>
              <w:pStyle w:val="Compact"/>
              <w:jc w:val="left"/>
            </w:pPr>
            <w:r>
              <w:t xml:space="preserve">Aliment, allégation sur la pression artérielle refusée</w:t>
            </w:r>
          </w:p>
        </w:tc>
        <w:tc>
          <w:tcPr/>
          <w:p>
            <w:pPr>
              <w:pStyle w:val="Compact"/>
              <w:jc w:val="left"/>
            </w:pPr>
            <w:r>
              <w:t xml:space="preserve">Baisse de la pression artérielle d’environ 1–4 mmHg, à peine démontrable en Europe</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Complément alimentaire, aucune allégation de santé</w:t>
            </w:r>
          </w:p>
        </w:tc>
        <w:tc>
          <w:tcPr/>
          <w:p>
            <w:pPr>
              <w:pStyle w:val="Compact"/>
              <w:jc w:val="left"/>
            </w:pPr>
            <w:r>
              <w:t xml:space="preserve">Indices pour la glycémie ; dans le sport, le précurseur bêta-alanine est mieux étayé</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Cosmétique ; injection non autorisée</w:t>
            </w:r>
          </w:p>
        </w:tc>
        <w:tc>
          <w:tcPr/>
          <w:p>
            <w:pPr>
              <w:pStyle w:val="Compact"/>
              <w:jc w:val="left"/>
            </w:pPr>
            <w:r>
              <w:t xml:space="preserve">Une ancienne étude sur les plaies ; très peu de données cutanées ; injection non évaluée</w:t>
            </w:r>
          </w:p>
        </w:tc>
      </w:tr>
      <w:tr>
        <w:tc>
          <w:tcPr/>
          <w:p>
            <w:pPr>
              <w:pStyle w:val="Compact"/>
              <w:jc w:val="left"/>
            </w:pPr>
            <w:r>
              <w:t xml:space="preserve">Palmitoyl pentapeptide-4 (Matrixyl)</w:t>
            </w:r>
          </w:p>
        </w:tc>
        <w:tc>
          <w:tcPr/>
          <w:p>
            <w:pPr>
              <w:pStyle w:val="Compact"/>
              <w:jc w:val="left"/>
            </w:pPr>
            <w:r>
              <w:t xml:space="preserve">B</w:t>
            </w:r>
          </w:p>
        </w:tc>
        <w:tc>
          <w:tcPr/>
          <w:p>
            <w:pPr>
              <w:pStyle w:val="Compact"/>
              <w:jc w:val="left"/>
            </w:pPr>
            <w:r>
              <w:t xml:space="preserve">Cosmétique</w:t>
            </w:r>
          </w:p>
        </w:tc>
        <w:tc>
          <w:tcPr/>
          <w:p>
            <w:pPr>
              <w:pStyle w:val="Compact"/>
              <w:jc w:val="left"/>
            </w:pPr>
            <w:r>
              <w:t xml:space="preserve">Une étude en hémivisage de 2005 ; pénétration cutanée incertaine</w:t>
            </w:r>
          </w:p>
        </w:tc>
      </w:tr>
      <w:tr>
        <w:tc>
          <w:tcPr/>
          <w:p>
            <w:pPr>
              <w:pStyle w:val="Compact"/>
              <w:jc w:val="left"/>
            </w:pPr>
            <w:r>
              <w:t xml:space="preserve">Acétyl hexapeptide-8 (Argireline)</w:t>
            </w:r>
          </w:p>
        </w:tc>
        <w:tc>
          <w:tcPr/>
          <w:p>
            <w:pPr>
              <w:pStyle w:val="Compact"/>
              <w:jc w:val="left"/>
            </w:pPr>
            <w:r>
              <w:t xml:space="preserve">B</w:t>
            </w:r>
          </w:p>
        </w:tc>
        <w:tc>
          <w:tcPr/>
          <w:p>
            <w:pPr>
              <w:pStyle w:val="Compact"/>
              <w:jc w:val="left"/>
            </w:pPr>
            <w:r>
              <w:t xml:space="preserve">Cosmétique</w:t>
            </w:r>
          </w:p>
        </w:tc>
        <w:tc>
          <w:tcPr/>
          <w:p>
            <w:pPr>
              <w:pStyle w:val="Compact"/>
              <w:jc w:val="left"/>
            </w:pPr>
            <w:r>
              <w:t xml:space="preserve">« Botox en tube » non démontré ; ne pénètre guère dans la peau</w:t>
            </w:r>
          </w:p>
        </w:tc>
      </w:tr>
    </w:tbl>
    <w:p>
      <w:pPr>
        <w:pStyle w:val="BodyText"/>
      </w:pPr>
      <w:r>
        <w:t xml:space="preserve">Dans ce groupe, le niveau B ne signifie expressément pas qu’un effet est établi, mais seulement que des études randomisées existent.</w:t>
      </w:r>
    </w:p>
    <w:bookmarkEnd w:id="2318"/>
    <w:bookmarkStart w:id="2319" w:name="conseil-de-lecture-2"/>
    <w:p>
      <w:pPr>
        <w:pStyle w:val="Heading3"/>
      </w:pPr>
      <w:r>
        <w:t xml:space="preserve">Conseil de lecture</w:t>
      </w:r>
    </w:p>
    <w:p>
      <w:pPr>
        <w:pStyle w:val="FirstParagraph"/>
      </w:pPr>
      <w:r>
        <w:t xml:space="preserve">Le chapitre sur les</w:t>
      </w:r>
      <w:r>
        <w:t xml:space="preserve"> </w:t>
      </w:r>
      <w:r>
        <w:rPr>
          <w:bCs/>
          <w:b/>
        </w:rPr>
        <w:t xml:space="preserve">peptides de collagène</w:t>
      </w:r>
      <w:r>
        <w:t xml:space="preserve"> </w:t>
      </w:r>
      <w:r>
        <w:t xml:space="preserve">est le plus détaillé, car c’est sur eux que portent le plus d’études et parce qu’ils permettent de bien montrer comment méta-analyses, financement par les fabricants et effet placebo interagissent. Si tu ne lis qu’un chapitre de ce groupe, choisis celui-ci. Le chapitre sur les</w:t>
      </w:r>
      <w:r>
        <w:t xml:space="preserve"> </w:t>
      </w:r>
      <w:r>
        <w:rPr>
          <w:bCs/>
          <w:b/>
        </w:rPr>
        <w:t xml:space="preserve">lactotripeptides</w:t>
      </w:r>
      <w:r>
        <w:t xml:space="preserve"> </w:t>
      </w:r>
      <w:r>
        <w:t xml:space="preserve">est une leçon sur la manière dont un mécanisme de laboratoire convaincant peut se réduire dans des études plus grandes. Les trois</w:t>
      </w:r>
      <w:r>
        <w:t xml:space="preserve"> </w:t>
      </w:r>
      <w:r>
        <w:rPr>
          <w:bCs/>
          <w:b/>
        </w:rPr>
        <w:t xml:space="preserve">peptides cosmétiques</w:t>
      </w:r>
      <w:r>
        <w:t xml:space="preserve"> </w:t>
      </w:r>
      <w:r>
        <w:t xml:space="preserve">sont plus courts ; ils partagent la même question centrale – le principe actif contenu dans la crème parvient-il seulement là où il est censé agir ? Les risques des injections du marché gris sont traités en détail dans la partie IV.</w:t>
      </w:r>
    </w:p>
    <w:bookmarkEnd w:id="2319"/>
    <w:bookmarkStart w:id="2371" w:name="Xde264a236962791e5f2a897de302311f9b530ba"/>
    <w:p>
      <w:pPr>
        <w:pStyle w:val="Heading2"/>
      </w:pPr>
      <w:r>
        <w:t xml:space="preserve">Peptides de collagène (hydrolysat de collagène)</w:t>
      </w:r>
    </w:p>
    <w:bookmarkStart w:id="2320" w:name="fiche-signalétique-52"/>
    <w:p>
      <w:pPr>
        <w:pStyle w:val="Heading3"/>
      </w:pPr>
      <w:r>
        <w:t xml:space="preserve">Fiche signalétique</w:t>
      </w:r>
    </w:p>
    <w:p>
      <w:pPr>
        <w:numPr>
          <w:ilvl w:val="0"/>
          <w:numId w:val="1289"/>
        </w:numPr>
        <w:pStyle w:val="Compact"/>
      </w:pPr>
      <w:r>
        <w:rPr>
          <w:bCs/>
          <w:b/>
        </w:rPr>
        <w:t xml:space="preserve">Type/structure :</w:t>
      </w:r>
      <w:r>
        <w:t xml:space="preserve"> </w:t>
      </w:r>
      <w:r>
        <w:t xml:space="preserve">mélange de peptides de longueurs variables, obtenu par clivage enzymatique (hydrolyse) du collagène ou de la gélatine. Les produits typiques contiennent des fragments d’une masse moléculaire moyenne d’environ 2 000 à 5 000 daltons. Les acides aminés glycine, proline et hydroxyproline sont caractéristiques ; l’acide aminé essentiel tryptophane est absent.</w:t>
      </w:r>
    </w:p>
    <w:p>
      <w:pPr>
        <w:numPr>
          <w:ilvl w:val="0"/>
          <w:numId w:val="1289"/>
        </w:numPr>
        <w:pStyle w:val="Compact"/>
      </w:pPr>
      <w:r>
        <w:rPr>
          <w:bCs/>
          <w:b/>
        </w:rPr>
        <w:t xml:space="preserve">Origine :</w:t>
      </w:r>
      <w:r>
        <w:t xml:space="preserve"> </w:t>
      </w:r>
      <w:r>
        <w:t xml:space="preserve">peau, os ou écailles de bovins, de porcs, de poulets et de poissons – sous-produits de la transformation de la viande et du poisson. Beaucoup d’études utilisent des matières premières de marque déposée (par ex. Verisol, Fortigel, Bodybalance, Tendoforte), qui proviennent d’un petit nombre de fabricants.</w:t>
      </w:r>
    </w:p>
    <w:p>
      <w:pPr>
        <w:numPr>
          <w:ilvl w:val="0"/>
          <w:numId w:val="1289"/>
        </w:numPr>
        <w:pStyle w:val="Compact"/>
      </w:pPr>
      <w:r>
        <w:rPr>
          <w:bCs/>
          <w:b/>
        </w:rPr>
        <w:t xml:space="preserve">Principe d’action :</w:t>
      </w:r>
      <w:r>
        <w:t xml:space="preserve"> </w:t>
      </w:r>
      <w:r>
        <w:t xml:space="preserve">apport de constituants pour le tissu conjonctif de l’organisme ; on discute en outre l’idée que certains petits peptides (surtout la prolyl-hydroxyproline) agiraient comme molécules de signalisation sur les cellules du tissu conjonctif.</w:t>
      </w:r>
    </w:p>
    <w:p>
      <w:pPr>
        <w:numPr>
          <w:ilvl w:val="0"/>
          <w:numId w:val="1289"/>
        </w:numPr>
        <w:pStyle w:val="Compact"/>
      </w:pPr>
      <w:r>
        <w:rPr>
          <w:bCs/>
          <w:b/>
        </w:rPr>
        <w:t xml:space="preserve">Distinction :</w:t>
      </w:r>
      <w:r>
        <w:t xml:space="preserve"> </w:t>
      </w:r>
      <w:r>
        <w:t xml:space="preserve">le collagène de type II</w:t>
      </w:r>
      <w:r>
        <w:t xml:space="preserve"> </w:t>
      </w:r>
      <w:r>
        <w:rPr>
          <w:iCs/>
          <w:i/>
        </w:rPr>
        <w:t xml:space="preserve">non dénaturé</w:t>
      </w:r>
      <w:r>
        <w:t xml:space="preserve"> </w:t>
      </w:r>
      <w:r>
        <w:t xml:space="preserve">(par ex. UC-II) est un autre produit, avec un autre principe d’action, et il est présenté séparément plus bas.</w:t>
      </w:r>
    </w:p>
    <w:p>
      <w:pPr>
        <w:numPr>
          <w:ilvl w:val="0"/>
          <w:numId w:val="1289"/>
        </w:numPr>
        <w:pStyle w:val="Compact"/>
      </w:pPr>
      <w:r>
        <w:rPr>
          <w:bCs/>
          <w:b/>
        </w:rPr>
        <w:t xml:space="preserve">Autorisation UE :</w:t>
      </w:r>
      <w:r>
        <w:t xml:space="preserve"> </w:t>
      </w:r>
      <w:r>
        <w:t xml:space="preserve">pas d’autorisation comme médicament ; commercialisable comme denrée alimentaire ou complément alimentaire. Pour le collagène lui-même, il n’existe</w:t>
      </w:r>
      <w:r>
        <w:t xml:space="preserve"> </w:t>
      </w:r>
      <w:r>
        <w:rPr>
          <w:bCs/>
          <w:b/>
        </w:rPr>
        <w:t xml:space="preserve">aucune</w:t>
      </w:r>
      <w:r>
        <w:t xml:space="preserve"> </w:t>
      </w:r>
      <w:r>
        <w:t xml:space="preserve">allégation de santé autorisée (health claim).</w:t>
      </w:r>
    </w:p>
    <w:p>
      <w:pPr>
        <w:numPr>
          <w:ilvl w:val="0"/>
          <w:numId w:val="1289"/>
        </w:numPr>
        <w:pStyle w:val="Compact"/>
      </w:pPr>
      <w:r>
        <w:rPr>
          <w:bCs/>
          <w:b/>
        </w:rPr>
        <w:t xml:space="preserve">Autorisation États-Unis :</w:t>
      </w:r>
      <w:r>
        <w:t xml:space="preserve"> </w:t>
      </w:r>
      <w:r>
        <w:t xml:space="preserve">pas d’autorisation comme médicament ; commercialisé comme complément alimentaire (dietary supplement).</w:t>
      </w:r>
    </w:p>
    <w:p>
      <w:pPr>
        <w:numPr>
          <w:ilvl w:val="0"/>
          <w:numId w:val="1289"/>
        </w:numPr>
        <w:pStyle w:val="Compact"/>
      </w:pPr>
      <w:r>
        <w:rPr>
          <w:bCs/>
          <w:b/>
        </w:rPr>
        <w:t xml:space="preserve">AMA (WADA) :</w:t>
      </w:r>
      <w:r>
        <w:t xml:space="preserve"> </w:t>
      </w:r>
      <w:r>
        <w:t xml:space="preserve">pas listé.</w:t>
      </w:r>
    </w:p>
    <w:p>
      <w:pPr>
        <w:numPr>
          <w:ilvl w:val="0"/>
          <w:numId w:val="1289"/>
        </w:numPr>
        <w:pStyle w:val="Compact"/>
      </w:pPr>
      <w:r>
        <w:rPr>
          <w:bCs/>
          <w:b/>
        </w:rPr>
        <w:t xml:space="preserve">Niveau de preuve :</w:t>
      </w:r>
      <w:r>
        <w:t xml:space="preserve"> </w:t>
      </w:r>
      <w:r>
        <w:rPr>
          <w:bCs/>
          <w:b/>
        </w:rPr>
        <w:t xml:space="preserve">B</w:t>
      </w:r>
      <w:r>
        <w:t xml:space="preserve"> </w:t>
      </w:r>
      <w:r>
        <w:t xml:space="preserve">– nombreuses études randomisées contrôlées contre placebo, mais pour la plupart petites, courtes et financées par des fabricants.</w:t>
      </w:r>
    </w:p>
    <w:bookmarkEnd w:id="2320"/>
    <w:bookmarkStart w:id="2325" w:name="mode-daction-supposé-52"/>
    <w:p>
      <w:pPr>
        <w:pStyle w:val="Heading3"/>
      </w:pPr>
      <w:r>
        <w:t xml:space="preserve">Mode d’action supposé</w:t>
      </w:r>
    </w:p>
    <w:p>
      <w:pPr>
        <w:pStyle w:val="FirstParagraph"/>
      </w:pPr>
      <w:r>
        <w:t xml:space="preserve">Le collagène est la protéine la plus abondante du corps humain. Il forme la charpente de la peau, des tendons, des ligaments, du cartilage et des os. Son unité de base est une triple hélice composée de trois chaînes protéiques, dans lesquelles un motif se répète sans cesse : glycine, puis un acide aminé quelconque, puis souvent proline ou hydroxyproline. Avec l’âge, la production de collagène diminue dans la peau et le réseau de collagène devient plus fragile – ce qui se voit sous forme de rides et d’une perte de fermeté.</w:t>
      </w:r>
    </w:p>
    <w:p>
      <w:pPr>
        <w:pStyle w:val="BodyText"/>
      </w:pPr>
      <w:r>
        <w:t xml:space="preserve">La publicité suggère souvent une logique simple : manger du collagène permet de fabriquer du collagène. La digestion ne fonctionne pas ainsi. Les protéines sont largement décomposées dans l’estomac et l’intestin grêle en acides aminés isolés et en très petits peptides ; l’organisme reconstruit à partir d’eux ses propres protéines selon ses besoins. Le collagène alimentaire n’est donc pas « intégré » tel quel dans la peau.</w:t>
      </w:r>
    </w:p>
    <w:p>
      <w:pPr>
        <w:pStyle w:val="BodyText"/>
      </w:pPr>
      <w:r>
        <w:t xml:space="preserve">Il existe toutefois deux hypothèses sérieuses qui expliqueraient pourquoi les peptides de collagène pourraient malgré tout avoir un effet :</w:t>
      </w:r>
    </w:p>
    <w:p>
      <w:pPr>
        <w:numPr>
          <w:ilvl w:val="0"/>
          <w:numId w:val="1290"/>
        </w:numPr>
        <w:pStyle w:val="Compact"/>
      </w:pPr>
      <w:r>
        <w:rPr>
          <w:bCs/>
          <w:b/>
        </w:rPr>
        <w:t xml:space="preserve">Peptides signaux.</w:t>
      </w:r>
      <w:r>
        <w:t xml:space="preserve"> </w:t>
      </w:r>
      <w:r>
        <w:t xml:space="preserve">Les dipeptides et tripeptides contenant de l’hydroxyproline sont inhabituellement stables face aux enzymes digestives. Après l’ingestion d’hydrolysat de gélatine, la concentration sanguine d’hydroxyproline liée à des peptides a nettement augmenté chez des volontaires et a atteint un maximum au bout d’une à deux heures ; le composant principal était le dipeptide prolyl-hydroxyproline</w:t>
      </w:r>
      <w:r>
        <w:rPr>
          <w:rStyle w:val="FootnoteReference"/>
        </w:rPr>
        <w:footnoteReference w:id="2321"/>
      </w:r>
      <w:r>
        <w:t xml:space="preserve">. Des résultats similaires ont été observés pour une préparation riche en tripeptides</w:t>
      </w:r>
      <w:r>
        <w:rPr>
          <w:rStyle w:val="FootnoteReference"/>
        </w:rPr>
        <w:footnoteReference w:id="2322"/>
      </w:r>
      <w:r>
        <w:t xml:space="preserve">. En culture cellulaire et chez l’animal, ces peptides stimulent la croissance des cellules du tissu conjonctif (fibroblastes) et la production de constituants de la matrice. Il n’est pas démontré avec certitude que les quantités atteintes dans le sang chez l’humain suffisent à produire un effet mesurable dans la peau ou le cartilage.</w:t>
      </w:r>
    </w:p>
    <w:p>
      <w:pPr>
        <w:numPr>
          <w:ilvl w:val="0"/>
          <w:numId w:val="1290"/>
        </w:numPr>
        <w:pStyle w:val="Compact"/>
      </w:pPr>
      <w:r>
        <w:rPr>
          <w:bCs/>
          <w:b/>
        </w:rPr>
        <w:t xml:space="preserve">Apport de matériaux.</w:t>
      </w:r>
      <w:r>
        <w:t xml:space="preserve"> </w:t>
      </w:r>
      <w:r>
        <w:t xml:space="preserve">Les peptides de collagène apportent de grandes quantités de glycine, de proline et d’hydroxyproline. Dans une petite étude portant sur huit hommes, le marqueur sanguin de la néoformation de collagène a doublé lorsqu’ils avaient pris 15 g de gélatine enrichie en vitamine C une heure avant un bref effort de sauts</w:t>
      </w:r>
      <w:r>
        <w:rPr>
          <w:rStyle w:val="FootnoteReference"/>
        </w:rPr>
        <w:footnoteReference w:id="2323"/>
      </w:r>
      <w:r>
        <w:t xml:space="preserve">. Cela étaye l’idée de combiner dans le temps peptides de collagène et effort, mais il s’agit d’une valeur mesurée dans le sang, pas d’une preuve de tendons plus solides.</w:t>
      </w:r>
    </w:p>
    <w:p>
      <w:pPr>
        <w:pStyle w:val="FirstParagraph"/>
      </w:pPr>
      <w:r>
        <w:t xml:space="preserve">Point important pour situer les choses : le collagène est une source de protéines incomplète. Comme il ne contient pas de tryptophane, un mélange de peptides à base de gélatine est même utilisé délibérément en recherche pour abaisser brièvement le taux sanguin de tryptophane</w:t>
      </w:r>
      <w:r>
        <w:rPr>
          <w:rStyle w:val="FootnoteReference"/>
        </w:rPr>
        <w:footnoteReference w:id="2324"/>
      </w:r>
      <w:r>
        <w:t xml:space="preserve">. Pour le développement musculaire, le collagène est donc inférieur à d’autres protéines – nous y reviendrons plus bas.</w:t>
      </w:r>
    </w:p>
    <w:bookmarkEnd w:id="2325"/>
    <w:bookmarkStart w:id="2353" w:name="études-chez-lhumain-52"/>
    <w:p>
      <w:pPr>
        <w:pStyle w:val="Heading3"/>
      </w:pPr>
      <w:r>
        <w:t xml:space="preserve">Études chez l’humain</w:t>
      </w:r>
    </w:p>
    <w:p>
      <w:pPr>
        <w:pStyle w:val="FirstParagraph"/>
      </w:pPr>
      <w:r>
        <w:t xml:space="preserve">Les données sont abondantes, mais hétérogènes. La requête PubMed analysée pour ce livre (hydrolysat de collagène ou peptides de collagène combinés à une prise ou une supplémentation, date de requête octobre 2026) a donné 101 études chez l’humain. Sur ClinicalTrials.gov, la recherche « collagen peptides » a trouvé 237 entrées de registre ; une part considérable d’entre elles concerne toutefois d’autres sujets (par exemple les implants de collagène en médecine dentaire ou le médicament anticancéreux endostatine, un fragment de collagène). S’y ajoutent au moins une douzaine de méta-analyses.</w:t>
      </w:r>
    </w:p>
    <w:p>
      <w:pPr>
        <w:pStyle w:val="BodyText"/>
      </w:pPr>
      <w:r>
        <w:t xml:space="preserve">Trois caractéristiques marquent presque toutes les études et doivent être gardées à l’esprit à la lecture :</w:t>
      </w:r>
    </w:p>
    <w:p>
      <w:pPr>
        <w:numPr>
          <w:ilvl w:val="0"/>
          <w:numId w:val="1291"/>
        </w:numPr>
        <w:pStyle w:val="Compact"/>
      </w:pPr>
      <w:r>
        <w:rPr>
          <w:bCs/>
          <w:b/>
        </w:rPr>
        <w:t xml:space="preserve">Petits effectifs et courte durée :</w:t>
      </w:r>
      <w:r>
        <w:t xml:space="preserve"> </w:t>
      </w:r>
      <w:r>
        <w:t xml:space="preserve">le plus souvent 40 à 150 participants pendant 8 à 24 semaines.</w:t>
      </w:r>
    </w:p>
    <w:p>
      <w:pPr>
        <w:numPr>
          <w:ilvl w:val="0"/>
          <w:numId w:val="1291"/>
        </w:numPr>
        <w:pStyle w:val="Compact"/>
      </w:pPr>
      <w:r>
        <w:rPr>
          <w:bCs/>
          <w:b/>
        </w:rPr>
        <w:t xml:space="preserve">Financement par les fabricants :</w:t>
      </w:r>
      <w:r>
        <w:t xml:space="preserve"> </w:t>
      </w:r>
      <w:r>
        <w:t xml:space="preserve">une grande partie des études a été payée par les fabricants de matières premières ou de produits, ou cosignée par leurs employés. Ce sont souvent des mélanges de peptides de marque déposée qui sont testés.</w:t>
      </w:r>
    </w:p>
    <w:p>
      <w:pPr>
        <w:numPr>
          <w:ilvl w:val="0"/>
          <w:numId w:val="1291"/>
        </w:numPr>
        <w:pStyle w:val="Compact"/>
      </w:pPr>
      <w:r>
        <w:rPr>
          <w:bCs/>
          <w:b/>
        </w:rPr>
        <w:t xml:space="preserve">Produits combinés :</w:t>
      </w:r>
      <w:r>
        <w:t xml:space="preserve"> </w:t>
      </w:r>
      <w:r>
        <w:t xml:space="preserve">beaucoup de « boissons au collagène » contiennent en plus de la vitamine C, du zinc, de la biotine, de l’acide hyaluronique ou des extraits de plantes. Un résultat positif ne peut alors pas être attribué au seul collagène.</w:t>
      </w:r>
    </w:p>
    <w:bookmarkStart w:id="2328" w:name="peau-hydratation-élasticité-rides"/>
    <w:p>
      <w:pPr>
        <w:pStyle w:val="Heading4"/>
      </w:pPr>
      <w:r>
        <w:t xml:space="preserve">Peau : hydratation, élasticité, rides</w:t>
      </w:r>
    </w:p>
    <w:p>
      <w:pPr>
        <w:pStyle w:val="FirstParagraph"/>
      </w:pPr>
      <w:r>
        <w:t xml:space="preserve">Les études sur la peau sont les plus nombreuses. Les mesures sont le plus souvent instrumentales : cornéomètre (hydratation de la couche cornée), cutomètre (élasticité), empreintes cutanées ou caméras 3D (profondeur des rides), échographie (densité du derme).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Proksch 2014a, PMID 23949208</w:t>
            </w:r>
          </w:p>
        </w:tc>
        <w:tc>
          <w:tcPr/>
          <w:p>
            <w:pPr>
              <w:pStyle w:val="Compact"/>
              <w:jc w:val="left"/>
            </w:pPr>
            <w:r>
              <w:t xml:space="preserve">69 femmes (35–55 ans), 2,5 g ou 5 g contre placebo</w:t>
            </w:r>
          </w:p>
        </w:tc>
        <w:tc>
          <w:tcPr/>
          <w:p>
            <w:pPr>
              <w:pStyle w:val="Compact"/>
              <w:jc w:val="left"/>
            </w:pPr>
            <w:r>
              <w:t xml:space="preserve">8 semaines</w:t>
            </w:r>
          </w:p>
        </w:tc>
        <w:tc>
          <w:tcPr/>
          <w:p>
            <w:pPr>
              <w:pStyle w:val="Compact"/>
              <w:jc w:val="left"/>
            </w:pPr>
            <w:r>
              <w:t xml:space="preserve">Élasticité significativement meilleure que sous placebo dans les deux groupes de dose ; hydratation non significative</w:t>
            </w:r>
          </w:p>
        </w:tc>
      </w:tr>
      <w:tr>
        <w:tc>
          <w:tcPr/>
          <w:p>
            <w:pPr>
              <w:pStyle w:val="Compact"/>
              <w:jc w:val="left"/>
            </w:pPr>
            <w:r>
              <w:t xml:space="preserve">Proksch 2014b, PMID 24401291</w:t>
            </w:r>
          </w:p>
        </w:tc>
        <w:tc>
          <w:tcPr/>
          <w:p>
            <w:pPr>
              <w:pStyle w:val="Compact"/>
              <w:jc w:val="left"/>
            </w:pPr>
            <w:r>
              <w:t xml:space="preserve">114 femmes (45–65 ans), 2,5 g de Verisol contre placebo</w:t>
            </w:r>
          </w:p>
        </w:tc>
        <w:tc>
          <w:tcPr/>
          <w:p>
            <w:pPr>
              <w:pStyle w:val="Compact"/>
              <w:jc w:val="left"/>
            </w:pPr>
            <w:r>
              <w:t xml:space="preserve">8 semaines</w:t>
            </w:r>
          </w:p>
        </w:tc>
        <w:tc>
          <w:tcPr/>
          <w:p>
            <w:pPr>
              <w:pStyle w:val="Compact"/>
              <w:jc w:val="left"/>
            </w:pPr>
            <w:r>
              <w:t xml:space="preserve">Volume des rides du contour de l’œil −20 % par rapport au placebo ; procollagène I dans les biopsies cutanées +65 %</w:t>
            </w:r>
          </w:p>
        </w:tc>
      </w:tr>
      <w:tr>
        <w:tc>
          <w:tcPr/>
          <w:p>
            <w:pPr>
              <w:pStyle w:val="Compact"/>
              <w:jc w:val="left"/>
            </w:pPr>
            <w:r>
              <w:t xml:space="preserve">Kim 2018, PMID 29949889</w:t>
            </w:r>
          </w:p>
        </w:tc>
        <w:tc>
          <w:tcPr/>
          <w:p>
            <w:pPr>
              <w:pStyle w:val="Compact"/>
              <w:jc w:val="left"/>
            </w:pPr>
            <w:r>
              <w:t xml:space="preserve">64 personnes, 1 g de peptide de bas poids moléculaire contre placebo</w:t>
            </w:r>
          </w:p>
        </w:tc>
        <w:tc>
          <w:tcPr/>
          <w:p>
            <w:pPr>
              <w:pStyle w:val="Compact"/>
              <w:jc w:val="left"/>
            </w:pPr>
            <w:r>
              <w:t xml:space="preserve">12 semaines</w:t>
            </w:r>
          </w:p>
        </w:tc>
        <w:tc>
          <w:tcPr/>
          <w:p>
            <w:pPr>
              <w:pStyle w:val="Compact"/>
              <w:jc w:val="left"/>
            </w:pPr>
            <w:r>
              <w:t xml:space="preserve">Hydratation et trois paramètres des rides meilleurs que sous placebo ; élasticité en partie</w:t>
            </w:r>
          </w:p>
        </w:tc>
      </w:tr>
      <w:tr>
        <w:tc>
          <w:tcPr/>
          <w:p>
            <w:pPr>
              <w:pStyle w:val="Compact"/>
              <w:jc w:val="left"/>
            </w:pPr>
            <w:r>
              <w:t xml:space="preserve">Bolke 2019, PMID 31627309</w:t>
            </w:r>
          </w:p>
        </w:tc>
        <w:tc>
          <w:tcPr/>
          <w:p>
            <w:pPr>
              <w:pStyle w:val="Compact"/>
              <w:jc w:val="left"/>
            </w:pPr>
            <w:r>
              <w:t xml:space="preserve">72 femmes de 35 ans et plus, ampoule buvable de 2,5 g de peptides plus vitamines, zinc, acérola contre placebo</w:t>
            </w:r>
          </w:p>
        </w:tc>
        <w:tc>
          <w:tcPr/>
          <w:p>
            <w:pPr>
              <w:pStyle w:val="Compact"/>
              <w:jc w:val="left"/>
            </w:pPr>
            <w:r>
              <w:t xml:space="preserve">12 semaines</w:t>
            </w:r>
          </w:p>
        </w:tc>
        <w:tc>
          <w:tcPr/>
          <w:p>
            <w:pPr>
              <w:pStyle w:val="Compact"/>
              <w:jc w:val="left"/>
            </w:pPr>
            <w:r>
              <w:t xml:space="preserve">Hydratation, élasticité, rugosité et densité meilleures que sous placebo (produit combiné)</w:t>
            </w:r>
          </w:p>
        </w:tc>
      </w:tr>
      <w:tr>
        <w:tc>
          <w:tcPr/>
          <w:p>
            <w:pPr>
              <w:pStyle w:val="Compact"/>
              <w:jc w:val="left"/>
            </w:pPr>
            <w:r>
              <w:t xml:space="preserve">Kim 2022, PMID 36516059</w:t>
            </w:r>
          </w:p>
        </w:tc>
        <w:tc>
          <w:tcPr/>
          <w:p>
            <w:pPr>
              <w:pStyle w:val="Compact"/>
              <w:jc w:val="left"/>
            </w:pPr>
            <w:r>
              <w:t xml:space="preserve">100 personnes, peptides de bas poids moléculaire contre placebo</w:t>
            </w:r>
          </w:p>
        </w:tc>
        <w:tc>
          <w:tcPr/>
          <w:p>
            <w:pPr>
              <w:pStyle w:val="Compact"/>
              <w:jc w:val="left"/>
            </w:pPr>
            <w:r>
              <w:t xml:space="preserve">12 semaines</w:t>
            </w:r>
          </w:p>
        </w:tc>
        <w:tc>
          <w:tcPr/>
          <w:p>
            <w:pPr>
              <w:pStyle w:val="Compact"/>
              <w:jc w:val="left"/>
            </w:pPr>
            <w:r>
              <w:t xml:space="preserve">Pattes d’oie, rugosité, élasticité, hydratation meilleures que sous placebo (analyse de 84 personnes)</w:t>
            </w:r>
          </w:p>
        </w:tc>
      </w:tr>
      <w:tr>
        <w:tc>
          <w:tcPr/>
          <w:p>
            <w:pPr>
              <w:pStyle w:val="Compact"/>
              <w:jc w:val="left"/>
            </w:pPr>
            <w:r>
              <w:t xml:space="preserve">Vleminckx 2024, PMID 39143887</w:t>
            </w:r>
          </w:p>
        </w:tc>
        <w:tc>
          <w:tcPr/>
          <w:p>
            <w:pPr>
              <w:pStyle w:val="Compact"/>
              <w:jc w:val="left"/>
            </w:pPr>
            <w:r>
              <w:t xml:space="preserve">85 femmes d’Asie de l’Est (43–65 ans), 5 g contre maltodextrine</w:t>
            </w:r>
          </w:p>
        </w:tc>
        <w:tc>
          <w:tcPr/>
          <w:p>
            <w:pPr>
              <w:pStyle w:val="Compact"/>
              <w:jc w:val="left"/>
            </w:pPr>
            <w:r>
              <w:t xml:space="preserve">12 semaines</w:t>
            </w:r>
          </w:p>
        </w:tc>
        <w:tc>
          <w:tcPr/>
          <w:p>
            <w:pPr>
              <w:pStyle w:val="Compact"/>
              <w:jc w:val="left"/>
            </w:pPr>
            <w:r>
              <w:t xml:space="preserve">Densité cutanée et hydratation meilleures que sous placebo après 84 jours</w:t>
            </w:r>
          </w:p>
        </w:tc>
      </w:tr>
    </w:tbl>
    <w:p>
      <w:pPr>
        <w:pStyle w:val="BodyText"/>
      </w:pPr>
      <w:r>
        <w:t xml:space="preserve">Certaines études ont aussi porté sur la cellulite (105 femmes, six mois ; amélioration surtout chez les femmes de poids normal, Schunck 2015, PMID 26561784) et les ongles cassants. L’étude sur les ongles était toutefois ouverte et sans groupe témoin : 25 participants, croissance des ongles +12 %, ongles cassés −42 %</w:t>
      </w:r>
      <w:r>
        <w:rPr>
          <w:rStyle w:val="FootnoteReference"/>
        </w:rPr>
        <w:footnoteReference w:id="2326"/>
      </w:r>
      <w:r>
        <w:t xml:space="preserve">. Sans groupe de comparaison, un effet placebo ne peut pas être exclu ici.</w:t>
      </w:r>
    </w:p>
    <w:p>
      <w:pPr>
        <w:pStyle w:val="BodyText"/>
      </w:pPr>
      <w:r>
        <w:t xml:space="preserve">Chez des patientes et patients atteints d’escarres, un hydrolysat de collagène riche en prolyl-hydroxyproline a été testé en complément du traitement standard. Chez 120 participants, la cicatrisation était meilleure dans ce groupe que sous placebo après 16 semaines</w:t>
      </w:r>
      <w:r>
        <w:rPr>
          <w:rStyle w:val="FootnoteReference"/>
        </w:rPr>
        <w:footnoteReference w:id="2327"/>
      </w:r>
      <w:r>
        <w:t xml:space="preserve">. Une petite étude de 2026 dans la dermatite atopique modérée a rapporté une consommation moindre de crème à la cortisone sous 5 g de peptides de collagène (0,94 g contre 5,60 g ; Proksch 2026, PMID 41758763) ; les auteurs eux-mêmes réclament de plus grandes études de confirmation.</w:t>
      </w:r>
    </w:p>
    <w:bookmarkEnd w:id="2328"/>
    <w:bookmarkStart w:id="2333" w:name="X3fa25e505aa1e5478cfc1e037c9cbfb8358960b"/>
    <w:p>
      <w:pPr>
        <w:pStyle w:val="Heading4"/>
      </w:pPr>
      <w:r>
        <w:t xml:space="preserve">Les méta-analyses sur la peau – et la question du financement</w:t>
      </w:r>
    </w:p>
    <w:p>
      <w:pPr>
        <w:pStyle w:val="FirstParagraph"/>
      </w:pPr>
      <w:r>
        <w:t xml:space="preserve">Si l’on regroupe les études sur la peau, on obtient à première vue un tableau clair :</w:t>
      </w:r>
    </w:p>
    <w:p>
      <w:pPr>
        <w:numPr>
          <w:ilvl w:val="0"/>
          <w:numId w:val="1292"/>
        </w:numPr>
        <w:pStyle w:val="Compact"/>
      </w:pPr>
      <w:r>
        <w:t xml:space="preserve">19 études réunissant 1 125 participants : effet favorable sur l’hydratation, l’élasticité et les rides</w:t>
      </w:r>
      <w:r>
        <w:rPr>
          <w:rStyle w:val="FootnoteReference"/>
        </w:rPr>
        <w:footnoteReference w:id="2329"/>
      </w:r>
      <w:r>
        <w:t xml:space="preserve">.</w:t>
      </w:r>
    </w:p>
    <w:p>
      <w:pPr>
        <w:numPr>
          <w:ilvl w:val="0"/>
          <w:numId w:val="1292"/>
        </w:numPr>
        <w:pStyle w:val="Compact"/>
      </w:pPr>
      <w:r>
        <w:t xml:space="preserve">26 études réunissant 1 721 participants : amélioration significative de l’hydratation et de l’élasticité ; les auteurs signalent toutefois plusieurs sources de biais et réclament de grandes études</w:t>
      </w:r>
      <w:r>
        <w:rPr>
          <w:rStyle w:val="FootnoteReference"/>
        </w:rPr>
        <w:footnoteReference w:id="2330"/>
      </w:r>
      <w:r>
        <w:t xml:space="preserve">.</w:t>
      </w:r>
    </w:p>
    <w:p>
      <w:pPr>
        <w:numPr>
          <w:ilvl w:val="0"/>
          <w:numId w:val="1292"/>
        </w:numPr>
        <w:pStyle w:val="Compact"/>
      </w:pPr>
      <w:r>
        <w:t xml:space="preserve">10 études réunissant 646 participants : hydratation et élasticité améliorées, avec une hétérogénéité moyenne et un risque de biais le plus souvent incertain</w:t>
      </w:r>
      <w:r>
        <w:rPr>
          <w:rStyle w:val="FootnoteReference"/>
        </w:rPr>
        <w:footnoteReference w:id="2331"/>
      </w:r>
      <w:r>
        <w:t xml:space="preserve">.</w:t>
      </w:r>
    </w:p>
    <w:p>
      <w:pPr>
        <w:pStyle w:val="FirstParagraph"/>
      </w:pPr>
      <w:r>
        <w:t xml:space="preserve">Une méta-analyse de 2025 est allée plus loin et a séparé les études selon leur financeur et leur qualité. Sur l’ensemble des 23 études réunissant 1 474 participants, un avantage apparaissait de nouveau. Mais si l’on ne considérait que les études</w:t>
      </w:r>
      <w:r>
        <w:t xml:space="preserve"> </w:t>
      </w:r>
      <w:r>
        <w:rPr>
          <w:iCs/>
          <w:i/>
        </w:rPr>
        <w:t xml:space="preserve">sans</w:t>
      </w:r>
      <w:r>
        <w:t xml:space="preserve"> </w:t>
      </w:r>
      <w:r>
        <w:t xml:space="preserve">financement industriel, l’effet sur l’hydratation, l’élasticité et les rides disparaissait. Les études de haute qualité méthodologique ne montraient elles non plus d’effet significatif dans aucune catégorie ; seule une amélioration de l’élasticité apparaissait dans les études de faible qualité. Les auteurs concluent qu’il n’existe actuellement aucune preuve clinique justifiant l’utilisation de préparations de collagène pour prévenir ou traiter le vieillissement cutané</w:t>
      </w:r>
      <w:r>
        <w:rPr>
          <w:rStyle w:val="FootnoteReference"/>
        </w:rPr>
        <w:footnoteReference w:id="2332"/>
      </w:r>
      <w:r>
        <w:t xml:space="preserve">.</w:t>
      </w:r>
    </w:p>
    <w:p>
      <w:pPr>
        <w:pStyle w:val="BodyText"/>
      </w:pPr>
      <w:r>
        <w:t xml:space="preserve">Ce résultat n’est pas un verdict définitif – le nombre d’études indépendantes est faible, et l’absence de significativité statistique ne signifie pas automatiquement qu’il n’y a pas d’effet. Mais il montre à quel point le bilan global positif dépend d’études financées par les vendeurs eux-mêmes. Pour toi, lectrice ou lecteur, cela signifie : la mention « cliniquement prouvé » sur un emballage de collagène repose en règle générale sur des études du propre fournisseur de la matière première.</w:t>
      </w:r>
    </w:p>
    <w:bookmarkEnd w:id="2333"/>
    <w:bookmarkStart w:id="2339" w:name="articulations-et-arthrose"/>
    <w:p>
      <w:pPr>
        <w:pStyle w:val="Heading4"/>
      </w:pPr>
      <w:r>
        <w:t xml:space="preserve">Articulations et arthrose</w:t>
      </w:r>
    </w:p>
    <w:p>
      <w:pPr>
        <w:pStyle w:val="FirstParagraph"/>
      </w:pPr>
      <w:r>
        <w:t xml:space="preserve">Le deuxième grand groupe d’études concerne les douleurs articulaires – aussi bien dans l’arthrose que chez des personnes sportives sans diagnostic.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Clark 2008, PMID 18416885</w:t>
            </w:r>
          </w:p>
        </w:tc>
        <w:tc>
          <w:tcPr/>
          <w:p>
            <w:pPr>
              <w:pStyle w:val="Compact"/>
              <w:jc w:val="left"/>
            </w:pPr>
            <w:r>
              <w:t xml:space="preserve">147 sportives et sportifs souffrant de douleurs articulaires liées à l’effort, 10 g contre placebo</w:t>
            </w:r>
          </w:p>
        </w:tc>
        <w:tc>
          <w:tcPr/>
          <w:p>
            <w:pPr>
              <w:pStyle w:val="Compact"/>
              <w:jc w:val="left"/>
            </w:pPr>
            <w:r>
              <w:t xml:space="preserve">24 semaines</w:t>
            </w:r>
          </w:p>
        </w:tc>
        <w:tc>
          <w:tcPr/>
          <w:p>
            <w:pPr>
              <w:pStyle w:val="Compact"/>
              <w:jc w:val="left"/>
            </w:pPr>
            <w:r>
              <w:t xml:space="preserve">Plusieurs scores de douleur meilleurs que sous placebo ; seuls 97 sur 147 analysables</w:t>
            </w:r>
          </w:p>
        </w:tc>
      </w:tr>
      <w:tr>
        <w:tc>
          <w:tcPr/>
          <w:p>
            <w:pPr>
              <w:pStyle w:val="Compact"/>
              <w:jc w:val="left"/>
            </w:pPr>
            <w:r>
              <w:t xml:space="preserve">Bruyère 2012, PMID 22500661</w:t>
            </w:r>
          </w:p>
        </w:tc>
        <w:tc>
          <w:tcPr/>
          <w:p>
            <w:pPr>
              <w:pStyle w:val="Compact"/>
              <w:jc w:val="left"/>
            </w:pPr>
            <w:r>
              <w:t xml:space="preserve">200 personnes de 50 ans et plus souffrant de douleurs articulaires, 1,2 g contre placebo</w:t>
            </w:r>
          </w:p>
        </w:tc>
        <w:tc>
          <w:tcPr/>
          <w:p>
            <w:pPr>
              <w:pStyle w:val="Compact"/>
              <w:jc w:val="left"/>
            </w:pPr>
            <w:r>
              <w:t xml:space="preserve">6 mois</w:t>
            </w:r>
          </w:p>
        </w:tc>
        <w:tc>
          <w:tcPr/>
          <w:p>
            <w:pPr>
              <w:pStyle w:val="Compact"/>
              <w:jc w:val="left"/>
            </w:pPr>
            <w:r>
              <w:t xml:space="preserve">Taux de réponse 51,6 % contre 36,5 % après 6 mois ; aucune différence après 3 mois</w:t>
            </w:r>
          </w:p>
        </w:tc>
      </w:tr>
      <w:tr>
        <w:tc>
          <w:tcPr/>
          <w:p>
            <w:pPr>
              <w:pStyle w:val="Compact"/>
              <w:jc w:val="left"/>
            </w:pPr>
            <w:r>
              <w:t xml:space="preserve">Kumar 2015, PMID 24852756</w:t>
            </w:r>
          </w:p>
        </w:tc>
        <w:tc>
          <w:tcPr/>
          <w:p>
            <w:pPr>
              <w:pStyle w:val="Compact"/>
              <w:jc w:val="left"/>
            </w:pPr>
            <w:r>
              <w:t xml:space="preserve">Gonarthrose, peptides de peau de porc ou d’os bovins contre placebo</w:t>
            </w:r>
          </w:p>
        </w:tc>
        <w:tc>
          <w:tcPr/>
          <w:p>
            <w:pPr>
              <w:pStyle w:val="Compact"/>
              <w:jc w:val="left"/>
            </w:pPr>
            <w:r>
              <w:t xml:space="preserve">13 semaines</w:t>
            </w:r>
          </w:p>
        </w:tc>
        <w:tc>
          <w:tcPr/>
          <w:p>
            <w:pPr>
              <w:pStyle w:val="Compact"/>
              <w:jc w:val="left"/>
            </w:pPr>
            <w:r>
              <w:t xml:space="preserve">Scores WOMAC, de douleur et de qualité de vie meilleurs que sous placebo</w:t>
            </w:r>
          </w:p>
        </w:tc>
      </w:tr>
      <w:tr>
        <w:tc>
          <w:tcPr/>
          <w:p>
            <w:pPr>
              <w:pStyle w:val="Compact"/>
              <w:jc w:val="left"/>
            </w:pPr>
            <w:r>
              <w:t xml:space="preserve">Zdzieblik 2017, PMID 28177710</w:t>
            </w:r>
          </w:p>
        </w:tc>
        <w:tc>
          <w:tcPr/>
          <w:p>
            <w:pPr>
              <w:pStyle w:val="Compact"/>
              <w:jc w:val="left"/>
            </w:pPr>
            <w:r>
              <w:t xml:space="preserve">139 sportifs souffrant de troubles du genou, 5 g contre placebo</w:t>
            </w:r>
          </w:p>
        </w:tc>
        <w:tc>
          <w:tcPr/>
          <w:p>
            <w:pPr>
              <w:pStyle w:val="Compact"/>
              <w:jc w:val="left"/>
            </w:pPr>
            <w:r>
              <w:t xml:space="preserve">12 semaines</w:t>
            </w:r>
          </w:p>
        </w:tc>
        <w:tc>
          <w:tcPr/>
          <w:p>
            <w:pPr>
              <w:pStyle w:val="Compact"/>
              <w:jc w:val="left"/>
            </w:pPr>
            <w:r>
              <w:t xml:space="preserve">Douleur à l’effort meilleure que sous placebo (p = 0,046) ; douleur au repos non</w:t>
            </w:r>
          </w:p>
        </w:tc>
      </w:tr>
      <w:tr>
        <w:tc>
          <w:tcPr/>
          <w:p>
            <w:pPr>
              <w:pStyle w:val="Compact"/>
              <w:jc w:val="left"/>
            </w:pPr>
            <w:r>
              <w:t xml:space="preserve">Bongers 2020, PMID 31990581</w:t>
            </w:r>
          </w:p>
        </w:tc>
        <w:tc>
          <w:tcPr/>
          <w:p>
            <w:pPr>
              <w:pStyle w:val="Compact"/>
              <w:jc w:val="left"/>
            </w:pPr>
            <w:r>
              <w:t xml:space="preserve">167 personnes actives (âge médian 63 ans) souffrant de douleurs au genou, 10 g contre placebo</w:t>
            </w:r>
          </w:p>
        </w:tc>
        <w:tc>
          <w:tcPr/>
          <w:p>
            <w:pPr>
              <w:pStyle w:val="Compact"/>
              <w:jc w:val="left"/>
            </w:pPr>
            <w:r>
              <w:t xml:space="preserve">12 semaines</w:t>
            </w:r>
          </w:p>
        </w:tc>
        <w:tc>
          <w:tcPr/>
          <w:p>
            <w:pPr>
              <w:pStyle w:val="Compact"/>
              <w:jc w:val="left"/>
            </w:pPr>
            <w:r>
              <w:t xml:space="preserve">Aucune différence : la douleur a diminué autant dans les deux groupes</w:t>
            </w:r>
          </w:p>
        </w:tc>
      </w:tr>
    </w:tbl>
    <w:p>
      <w:pPr>
        <w:pStyle w:val="BodyText"/>
      </w:pPr>
      <w:r>
        <w:t xml:space="preserve">L’étude de Bongers est remarquable, car elle fait partie des plus grandes et rapporte un résultat clairement négatif : la douleur et la fonction du genou se sont améliorées – mais tout autant sous placebo que sous collagène. Cela illustre l’ampleur de l’effet placebo dans les douleurs articulaires.</w:t>
      </w:r>
    </w:p>
    <w:p>
      <w:pPr>
        <w:pStyle w:val="BodyText"/>
      </w:pPr>
      <w:r>
        <w:t xml:space="preserve">Les méta-analyses aboutissent malgré tout majoritairement à un résultat favorable :</w:t>
      </w:r>
    </w:p>
    <w:p>
      <w:pPr>
        <w:numPr>
          <w:ilvl w:val="0"/>
          <w:numId w:val="1293"/>
        </w:numPr>
        <w:pStyle w:val="Compact"/>
      </w:pPr>
      <w:r>
        <w:t xml:space="preserve">Une méta-analyse d’études randomisées contrôlées contre placebo a trouvé une réduction significative du score WOMAC total (un questionnaire sur l’arthrose) et du score de douleur sur l’échelle visuelle analogique ; les sous-scores douleur et limitation fonctionnelle du WOMAC ne différaient toutefois pas significativement</w:t>
      </w:r>
      <w:r>
        <w:rPr>
          <w:rStyle w:val="FootnoteReference"/>
        </w:rPr>
        <w:footnoteReference w:id="2334"/>
      </w:r>
      <w:r>
        <w:t xml:space="preserve">.</w:t>
      </w:r>
    </w:p>
    <w:p>
      <w:pPr>
        <w:numPr>
          <w:ilvl w:val="0"/>
          <w:numId w:val="1293"/>
        </w:numPr>
        <w:pStyle w:val="Compact"/>
      </w:pPr>
      <w:r>
        <w:t xml:space="preserve">L’analyse la plus vaste à ce jour portait sur 35 études réunissant 3 165 patientes et patients atteints d’arthrose. Les dérivés du collagène – le collagène hydrolysé et le collagène non dénaturé y sont regroupés – avaient des effets faibles à modérés sur la douleur (différence moyenne standardisée −0,35) et la fonction (−0,31). Les effets indésirables et les abandons d’étude n’étaient pas plus fréquents que dans les groupes témoins</w:t>
      </w:r>
      <w:r>
        <w:rPr>
          <w:rStyle w:val="FootnoteReference"/>
        </w:rPr>
        <w:footnoteReference w:id="2335"/>
      </w:r>
      <w:r>
        <w:t xml:space="preserve">.</w:t>
      </w:r>
    </w:p>
    <w:p>
      <w:pPr>
        <w:numPr>
          <w:ilvl w:val="0"/>
          <w:numId w:val="1293"/>
        </w:numPr>
        <w:pStyle w:val="Compact"/>
      </w:pPr>
      <w:r>
        <w:t xml:space="preserve">Une analyse de quatre études seulement, réunissant 507 patientes et patients atteints de gonarthrose, a également trouvé un soulagement de la douleur, mais a jugé les quatre études à haut risque de biais</w:t>
      </w:r>
      <w:r>
        <w:rPr>
          <w:rStyle w:val="FootnoteReference"/>
        </w:rPr>
        <w:footnoteReference w:id="2336"/>
      </w:r>
      <w:r>
        <w:t xml:space="preserve">.</w:t>
      </w:r>
    </w:p>
    <w:p>
      <w:pPr>
        <w:numPr>
          <w:ilvl w:val="0"/>
          <w:numId w:val="1293"/>
        </w:numPr>
        <w:pStyle w:val="Compact"/>
      </w:pPr>
      <w:r>
        <w:t xml:space="preserve">Une méta-analyse actualisée de 11 études réunissant 870 participants a rapporté des améliorations de la fonction et de la douleur, mais avec une hétérogénéité très élevée (I² 75 et 88 %)</w:t>
      </w:r>
      <w:r>
        <w:rPr>
          <w:rStyle w:val="FootnoteReference"/>
        </w:rPr>
        <w:footnoteReference w:id="2337"/>
      </w:r>
      <w:r>
        <w:t xml:space="preserve">.</w:t>
      </w:r>
    </w:p>
    <w:p>
      <w:pPr>
        <w:pStyle w:val="FirstParagraph"/>
      </w:pPr>
      <w:r>
        <w:t xml:space="preserve">Pour situer les choses : une différence moyenne standardisée d’environ 0,3 est considérée comme un petit effet. Il est d’un ordre de grandeur comparable à celui de certains autres compléments alimentaires contre l’arthrose et nettement inférieur à l’effet qu’on attend d’un antalgique. Une grande revue des compléments alimentaires dans l’arthrose a trouvé pour l’hydrolysat de collagène de grands effets à court terme sur la douleur, mais a conclu globalement que la qualité des preuves était très faible et qu’aucune préparation ne montrait d’effets cliniquement significatifs à long terme</w:t>
      </w:r>
      <w:r>
        <w:rPr>
          <w:rStyle w:val="FootnoteReference"/>
        </w:rPr>
        <w:footnoteReference w:id="2338"/>
      </w:r>
      <w:r>
        <w:t xml:space="preserve">.</w:t>
      </w:r>
    </w:p>
    <w:bookmarkEnd w:id="2339"/>
    <w:bookmarkStart w:id="2342" w:name="X15e713e3e0caa1a54f4b655c85541458ff10054"/>
    <w:p>
      <w:pPr>
        <w:pStyle w:val="Heading4"/>
      </w:pPr>
      <w:r>
        <w:t xml:space="preserve">Distinction : le collagène de type II non dénaturé (UC-II)</w:t>
      </w:r>
    </w:p>
    <w:p>
      <w:pPr>
        <w:pStyle w:val="FirstParagraph"/>
      </w:pPr>
      <w:r>
        <w:t xml:space="preserve">Le collagène de type II non dénaturé est extrait en douceur du cartilage de bréchet de poulet, de sorte que la structure d’origine du collagène est en partie conservée. Il est pris en très petites quantités – 40 milligrammes par jour dans les études, soit environ un centième à un deux-cent-cinquantième des quantités en grammes utilisées pour l’hydrolysat de collagène. Il n’est pas censé agir comme matériau de construction, mais par ce qu’on appelle la tolérance orale : le système immunitaire de l’intestin apprendrait à ne pas traiter le collagène du cartilage comme une cible. Cette idée provient de modèles animaux d’arthrite.</w:t>
      </w:r>
    </w:p>
    <w:p>
      <w:pPr>
        <w:pStyle w:val="BodyText"/>
      </w:pPr>
      <w:r>
        <w:t xml:space="preserve">Historiquement, le principe a d’abord été testé dans la polyarthrite rhumatoïde. Une petite étude portant sur 60 patientes et patients a rapporté en 1993 une diminution des articulations gonflées et douloureuses à la pression</w:t>
      </w:r>
      <w:r>
        <w:rPr>
          <w:rStyle w:val="FootnoteReference"/>
        </w:rPr>
        <w:footnoteReference w:id="2340"/>
      </w:r>
      <w:r>
        <w:t xml:space="preserve">. Une étude plus grande, portant sur 274 participants et quatre doses, n’a ensuite trouvé un avantage significatif qu’avec la dose la plus faible et selon un seul des trois critères d’évaluation</w:t>
      </w:r>
      <w:r>
        <w:rPr>
          <w:rStyle w:val="FootnoteReference"/>
        </w:rPr>
        <w:footnoteReference w:id="2341"/>
      </w:r>
      <w:r>
        <w:t xml:space="preserve">. Cette approche ne s’est pas imposée comme traitement rhumatologique.</w:t>
      </w:r>
    </w:p>
    <w:p>
      <w:pPr>
        <w:pStyle w:val="BodyText"/>
      </w:pPr>
      <w:r>
        <w:t xml:space="preserve">Pour l’arthrose et les troubles articulaires, on dispose surtout d’études proches des fabricants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Lugo 2016, PMID 26822714</w:t>
            </w:r>
          </w:p>
        </w:tc>
        <w:tc>
          <w:tcPr/>
          <w:p>
            <w:pPr>
              <w:pStyle w:val="Compact"/>
              <w:jc w:val="left"/>
            </w:pPr>
            <w:r>
              <w:t xml:space="preserve">191 personnes atteintes de gonarthrose, UC-II contre glucosamine/chondroïtine contre placebo</w:t>
            </w:r>
          </w:p>
        </w:tc>
        <w:tc>
          <w:tcPr/>
          <w:p>
            <w:pPr>
              <w:pStyle w:val="Compact"/>
              <w:jc w:val="left"/>
            </w:pPr>
            <w:r>
              <w:t xml:space="preserve">180 jours</w:t>
            </w:r>
          </w:p>
        </w:tc>
        <w:tc>
          <w:tcPr/>
          <w:p>
            <w:pPr>
              <w:pStyle w:val="Compact"/>
              <w:jc w:val="left"/>
            </w:pPr>
            <w:r>
              <w:t xml:space="preserve">Score WOMAC total meilleur que sous placebo (p = 0,002) et que sous glucosamine/chondroïtine (p = 0,04)</w:t>
            </w:r>
          </w:p>
        </w:tc>
      </w:tr>
      <w:tr>
        <w:tc>
          <w:tcPr/>
          <w:p>
            <w:pPr>
              <w:pStyle w:val="Compact"/>
              <w:jc w:val="left"/>
            </w:pPr>
            <w:r>
              <w:t xml:space="preserve">Lugo 2013, PMID 24153020</w:t>
            </w:r>
          </w:p>
        </w:tc>
        <w:tc>
          <w:tcPr/>
          <w:p>
            <w:pPr>
              <w:pStyle w:val="Compact"/>
              <w:jc w:val="left"/>
            </w:pPr>
            <w:r>
              <w:t xml:space="preserve">55 personnes en bonne santé souffrant de douleurs du genou à l’effort, UC-II contre placebo</w:t>
            </w:r>
          </w:p>
        </w:tc>
        <w:tc>
          <w:tcPr/>
          <w:p>
            <w:pPr>
              <w:pStyle w:val="Compact"/>
              <w:jc w:val="left"/>
            </w:pPr>
            <w:r>
              <w:t xml:space="preserve">120 jours</w:t>
            </w:r>
          </w:p>
        </w:tc>
        <w:tc>
          <w:tcPr/>
          <w:p>
            <w:pPr>
              <w:pStyle w:val="Compact"/>
              <w:jc w:val="left"/>
            </w:pPr>
            <w:r>
              <w:t xml:space="preserve">Extension du genou 81,0° contre 74,0° ; effort sans douleur plus long</w:t>
            </w:r>
          </w:p>
        </w:tc>
      </w:tr>
      <w:tr>
        <w:tc>
          <w:tcPr/>
          <w:p>
            <w:pPr>
              <w:pStyle w:val="Compact"/>
              <w:jc w:val="left"/>
            </w:pPr>
            <w:r>
              <w:t xml:space="preserve">Yuenyongviwat 2025, PMID 40897777</w:t>
            </w:r>
          </w:p>
        </w:tc>
        <w:tc>
          <w:tcPr/>
          <w:p>
            <w:pPr>
              <w:pStyle w:val="Compact"/>
              <w:jc w:val="left"/>
            </w:pPr>
            <w:r>
              <w:t xml:space="preserve">68 personnes atteintes de gonarthrose, UC-II plus hydrolysat de collagène contre placebo</w:t>
            </w:r>
          </w:p>
        </w:tc>
        <w:tc>
          <w:tcPr/>
          <w:p>
            <w:pPr>
              <w:pStyle w:val="Compact"/>
              <w:jc w:val="left"/>
            </w:pPr>
            <w:r>
              <w:t xml:space="preserve">12 semaines</w:t>
            </w:r>
          </w:p>
        </w:tc>
        <w:tc>
          <w:tcPr/>
          <w:p>
            <w:pPr>
              <w:pStyle w:val="Compact"/>
              <w:jc w:val="left"/>
            </w:pPr>
            <w:r>
              <w:t xml:space="preserve">Aucune différence pour la douleur, la fonction, les médicaments à la demande</w:t>
            </w:r>
          </w:p>
        </w:tc>
      </w:tr>
    </w:tbl>
    <w:p>
      <w:pPr>
        <w:pStyle w:val="BodyText"/>
      </w:pPr>
      <w:r>
        <w:t xml:space="preserve">L’étude la plus récente provient d’un groupe de recherche indépendant, qui souligne expressément que la plupart des études antérieures sur le collagène ont été financées par l’industrie. Elle a trouvé – comme Bongers 2020 – des améliorations dans les deux groupes, mais aucun avantage par rapport au placebo (Yuenyongviwat 2025, PMID 40897777, enregistrée sous NCT06229951).</w:t>
      </w:r>
    </w:p>
    <w:p>
      <w:pPr>
        <w:pStyle w:val="BodyText"/>
      </w:pPr>
      <w:r>
        <w:t xml:space="preserve">Important pour les consommatrices et consommateurs : l’UC-II et l’hydrolysat de collagène ne sont pas interchangeables. Les études portant sur l’un ne permettent de rien conclure sur l’autre.</w:t>
      </w:r>
    </w:p>
    <w:bookmarkEnd w:id="2342"/>
    <w:bookmarkStart w:id="2343" w:name="os"/>
    <w:p>
      <w:pPr>
        <w:pStyle w:val="Heading4"/>
      </w:pPr>
      <w:r>
        <w:t xml:space="preserve">Os</w:t>
      </w:r>
    </w:p>
    <w:p>
      <w:pPr>
        <w:pStyle w:val="FirstParagraph"/>
      </w:pPr>
      <w:r>
        <w:t xml:space="preserve">Pour les os, les données sont minces mais intéressantes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König 2018, PMID 29337906</w:t>
            </w:r>
          </w:p>
        </w:tc>
        <w:tc>
          <w:tcPr/>
          <w:p>
            <w:pPr>
              <w:pStyle w:val="Compact"/>
              <w:jc w:val="left"/>
            </w:pPr>
            <w:r>
              <w:t xml:space="preserve">131 femmes ménopausées avec une densité osseuse réduite, 5 g contre placebo</w:t>
            </w:r>
          </w:p>
        </w:tc>
        <w:tc>
          <w:tcPr/>
          <w:p>
            <w:pPr>
              <w:pStyle w:val="Compact"/>
              <w:jc w:val="left"/>
            </w:pPr>
            <w:r>
              <w:t xml:space="preserve">12 mois</w:t>
            </w:r>
          </w:p>
        </w:tc>
        <w:tc>
          <w:tcPr/>
          <w:p>
            <w:pPr>
              <w:pStyle w:val="Compact"/>
              <w:jc w:val="left"/>
            </w:pPr>
            <w:r>
              <w:t xml:space="preserve">T-score rachis +0,1 contre −0,03 ; col du fémur +0,09 contre −0,01</w:t>
            </w:r>
          </w:p>
        </w:tc>
      </w:tr>
      <w:tr>
        <w:tc>
          <w:tcPr/>
          <w:p>
            <w:pPr>
              <w:pStyle w:val="Compact"/>
              <w:jc w:val="left"/>
            </w:pPr>
            <w:r>
              <w:t xml:space="preserve">Elam 2015, PMID 25314004</w:t>
            </w:r>
          </w:p>
        </w:tc>
        <w:tc>
          <w:tcPr/>
          <w:p>
            <w:pPr>
              <w:pStyle w:val="Compact"/>
              <w:jc w:val="left"/>
            </w:pPr>
            <w:r>
              <w:t xml:space="preserve">39 femmes atteintes d’ostéopénie, chélate calcium-collagène plus vitamine D contre calcium plus vitamine D</w:t>
            </w:r>
          </w:p>
        </w:tc>
        <w:tc>
          <w:tcPr/>
          <w:p>
            <w:pPr>
              <w:pStyle w:val="Compact"/>
              <w:jc w:val="left"/>
            </w:pPr>
            <w:r>
              <w:t xml:space="preserve">12 mois</w:t>
            </w:r>
          </w:p>
        </w:tc>
        <w:tc>
          <w:tcPr/>
          <w:p>
            <w:pPr>
              <w:pStyle w:val="Compact"/>
              <w:jc w:val="left"/>
            </w:pPr>
            <w:r>
              <w:t xml:space="preserve">Perte de densité osseuse du corps entier −1,33 % contre −3,75 % (personnes ayant terminé l’étude)</w:t>
            </w:r>
          </w:p>
        </w:tc>
      </w:tr>
      <w:tr>
        <w:tc>
          <w:tcPr/>
          <w:p>
            <w:pPr>
              <w:pStyle w:val="Compact"/>
              <w:jc w:val="left"/>
            </w:pPr>
            <w:r>
              <w:t xml:space="preserve">Lampropoulou-Adamidou 2022, PMID 34980546</w:t>
            </w:r>
          </w:p>
        </w:tc>
        <w:tc>
          <w:tcPr/>
          <w:p>
            <w:pPr>
              <w:pStyle w:val="Compact"/>
              <w:jc w:val="left"/>
            </w:pPr>
            <w:r>
              <w:t xml:space="preserve">51 femmes atteintes d’ostéopénie, 5 g de peptides plus calcium/vitamine D contre calcium/vitamine D</w:t>
            </w:r>
          </w:p>
        </w:tc>
        <w:tc>
          <w:tcPr/>
          <w:p>
            <w:pPr>
              <w:pStyle w:val="Compact"/>
              <w:jc w:val="left"/>
            </w:pPr>
            <w:r>
              <w:t xml:space="preserve">12 mois</w:t>
            </w:r>
          </w:p>
        </w:tc>
        <w:tc>
          <w:tcPr/>
          <w:p>
            <w:pPr>
              <w:pStyle w:val="Compact"/>
              <w:jc w:val="left"/>
            </w:pPr>
            <w:r>
              <w:t xml:space="preserve">Densité osseuse plus élevée au tibia et au rachis lombaire avec le collagène</w:t>
            </w:r>
          </w:p>
        </w:tc>
      </w:tr>
    </w:tbl>
    <w:p>
      <w:pPr>
        <w:pStyle w:val="BodyText"/>
      </w:pPr>
      <w:r>
        <w:t xml:space="preserve">Les différences sont faibles, les études courtes, et aucune étude n’a examiné les fractures – le critère réellement décisif. Les peptides de collagène ne remplacent pas un traitement de l’ostéoporose ayant démontré une réduction des fractures.</w:t>
      </w:r>
    </w:p>
    <w:bookmarkEnd w:id="2343"/>
    <w:bookmarkStart w:id="2350" w:name="muscles-et-tendons"/>
    <w:p>
      <w:pPr>
        <w:pStyle w:val="Heading4"/>
      </w:pPr>
      <w:r>
        <w:t xml:space="preserve">Muscles et tendons</w:t>
      </w:r>
    </w:p>
    <w:p>
      <w:pPr>
        <w:pStyle w:val="FirstParagraph"/>
      </w:pPr>
      <w:r>
        <w:t xml:space="preserve">Dans le sport, les peptides de collagène sont promus pour deux objectifs différents : le développement musculaire et le renforcement des tendons et ligaments.</w:t>
      </w:r>
    </w:p>
    <w:p>
      <w:pPr>
        <w:pStyle w:val="BodyText"/>
      </w:pPr>
      <w:r>
        <w:rPr>
          <w:bCs/>
          <w:b/>
        </w:rPr>
        <w:t xml:space="preserve">Développement musculaire.</w:t>
      </w:r>
      <w:r>
        <w:t xml:space="preserve"> </w:t>
      </w:r>
      <w:r>
        <w:t xml:space="preserve">L’étude la plus citée a porté sur 53 hommes âgés atteints de sarcopénie (fonte musculaire liée à l’âge), qui ont suivi douze semaines de musculation en recevant 15 g de peptides de collagène ou un placebo (dioxyde de silicium). La masse maigre a augmenté de 4,2 kg sous collagène et de 2,9 kg sous placebo</w:t>
      </w:r>
      <w:r>
        <w:rPr>
          <w:rStyle w:val="FootnoteReference"/>
        </w:rPr>
        <w:footnoteReference w:id="2344"/>
      </w:r>
      <w:r>
        <w:t xml:space="preserve">. Le problème : le groupe placebo ne recevait aucune protéine. L’avantage pourrait donc tenir simplement à l’apport protéique supplémentaire.</w:t>
      </w:r>
    </w:p>
    <w:p>
      <w:pPr>
        <w:pStyle w:val="BodyText"/>
      </w:pPr>
      <w:r>
        <w:t xml:space="preserve">C’est précisément à cette question que répondent les comparaisons avec des protéines de haute qualité. Chez 22 femmes âgées, les protéines de lactosérum ont augmenté la synthèse des protéines musculaires à court terme comme sur six jours, pas les peptides de collagène</w:t>
      </w:r>
      <w:r>
        <w:rPr>
          <w:rStyle w:val="FootnoteReference"/>
        </w:rPr>
        <w:footnoteReference w:id="2345"/>
      </w:r>
      <w:r>
        <w:t xml:space="preserve">. Chez de jeunes adultes, l’épaisseur musculaire a davantage augmenté après dix semaines de musculation avec les protéines de lactosérum qu’avec le collagène, même lorsque le collagène était enrichi en leucine à la même teneur</w:t>
      </w:r>
      <w:r>
        <w:rPr>
          <w:rStyle w:val="FootnoteReference"/>
        </w:rPr>
        <w:footnoteReference w:id="2346"/>
      </w:r>
      <w:r>
        <w:t xml:space="preserve">. Une étude portant sur 25 jeunes hommes n’a trouvé sous 2 × 15 g de collagène par jour aucune synthèse plus élevée de protéines musculaires ou conjonctives que sous placebo</w:t>
      </w:r>
      <w:r>
        <w:rPr>
          <w:rStyle w:val="FootnoteReference"/>
        </w:rPr>
        <w:footnoteReference w:id="2347"/>
      </w:r>
      <w:r>
        <w:t xml:space="preserve">.</w:t>
      </w:r>
    </w:p>
    <w:p>
      <w:pPr>
        <w:pStyle w:val="BodyText"/>
      </w:pPr>
      <w:r>
        <w:rPr>
          <w:bCs/>
          <w:b/>
        </w:rPr>
        <w:t xml:space="preserve">Tendons.</w:t>
      </w:r>
      <w:r>
        <w:t xml:space="preserve"> </w:t>
      </w:r>
      <w:r>
        <w:t xml:space="preserve">Ici, les résultats sont contradictoires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Jerger 2023, PMID 37424319</w:t>
            </w:r>
          </w:p>
        </w:tc>
        <w:tc>
          <w:tcPr/>
          <w:p>
            <w:pPr>
              <w:pStyle w:val="Compact"/>
              <w:jc w:val="left"/>
            </w:pPr>
            <w:r>
              <w:t xml:space="preserve">50 hommes, musculation plus 5 g contre placebo</w:t>
            </w:r>
          </w:p>
        </w:tc>
        <w:tc>
          <w:tcPr/>
          <w:p>
            <w:pPr>
              <w:pStyle w:val="Compact"/>
              <w:jc w:val="left"/>
            </w:pPr>
            <w:r>
              <w:t xml:space="preserve">14 semaines</w:t>
            </w:r>
          </w:p>
        </w:tc>
        <w:tc>
          <w:tcPr/>
          <w:p>
            <w:pPr>
              <w:pStyle w:val="Compact"/>
              <w:jc w:val="left"/>
            </w:pPr>
            <w:r>
              <w:t xml:space="preserve">Section du tendon rotulien davantage augmentée ; rigidité et force sans différence entre groupes</w:t>
            </w:r>
          </w:p>
        </w:tc>
      </w:tr>
      <w:tr>
        <w:tc>
          <w:tcPr/>
          <w:p>
            <w:pPr>
              <w:pStyle w:val="Compact"/>
              <w:jc w:val="left"/>
            </w:pPr>
            <w:r>
              <w:t xml:space="preserve">Balshaw 2023, PMID 37436929</w:t>
            </w:r>
          </w:p>
        </w:tc>
        <w:tc>
          <w:tcPr/>
          <w:p>
            <w:pPr>
              <w:pStyle w:val="Compact"/>
              <w:jc w:val="left"/>
            </w:pPr>
            <w:r>
              <w:t xml:space="preserve">39 jeunes hommes, musculation plus 15 g contre placebo</w:t>
            </w:r>
          </w:p>
        </w:tc>
        <w:tc>
          <w:tcPr/>
          <w:p>
            <w:pPr>
              <w:pStyle w:val="Compact"/>
              <w:jc w:val="left"/>
            </w:pPr>
            <w:r>
              <w:t xml:space="preserve">15 semaines</w:t>
            </w:r>
          </w:p>
        </w:tc>
        <w:tc>
          <w:tcPr/>
          <w:p>
            <w:pPr>
              <w:pStyle w:val="Compact"/>
              <w:jc w:val="left"/>
            </w:pPr>
            <w:r>
              <w:t xml:space="preserve">Aucune différence de taille ou de mécanique des tendons</w:t>
            </w:r>
          </w:p>
        </w:tc>
      </w:tr>
      <w:tr>
        <w:tc>
          <w:tcPr/>
          <w:p>
            <w:pPr>
              <w:pStyle w:val="Compact"/>
              <w:jc w:val="left"/>
            </w:pPr>
            <w:r>
              <w:t xml:space="preserve">Miyamoto 2025, PMID 40623147</w:t>
            </w:r>
          </w:p>
        </w:tc>
        <w:tc>
          <w:tcPr/>
          <w:p>
            <w:pPr>
              <w:pStyle w:val="Compact"/>
              <w:jc w:val="left"/>
            </w:pPr>
            <w:r>
              <w:t xml:space="preserve">50 hommes non entraînés, 10 g contre placebo</w:t>
            </w:r>
          </w:p>
        </w:tc>
        <w:tc>
          <w:tcPr/>
          <w:p>
            <w:pPr>
              <w:pStyle w:val="Compact"/>
              <w:jc w:val="left"/>
            </w:pPr>
            <w:r>
              <w:t xml:space="preserve">16 semaines</w:t>
            </w:r>
          </w:p>
        </w:tc>
        <w:tc>
          <w:tcPr/>
          <w:p>
            <w:pPr>
              <w:pStyle w:val="Compact"/>
              <w:jc w:val="left"/>
            </w:pPr>
            <w:r>
              <w:t xml:space="preserve">Rigidité du muscle du mollet et du tendon d’Achille accrue ; section inchangée</w:t>
            </w:r>
          </w:p>
        </w:tc>
      </w:tr>
      <w:tr>
        <w:tc>
          <w:tcPr/>
          <w:p>
            <w:pPr>
              <w:pStyle w:val="Compact"/>
              <w:jc w:val="left"/>
            </w:pPr>
            <w:r>
              <w:t xml:space="preserve">Praet 2019, PMID 30609761</w:t>
            </w:r>
          </w:p>
        </w:tc>
        <w:tc>
          <w:tcPr/>
          <w:p>
            <w:pPr>
              <w:pStyle w:val="Compact"/>
              <w:jc w:val="left"/>
            </w:pPr>
            <w:r>
              <w:t xml:space="preserve">20 personnes souffrant de troubles du tendon d’Achille, étude croisée avec entraînement</w:t>
            </w:r>
          </w:p>
        </w:tc>
        <w:tc>
          <w:tcPr/>
          <w:p>
            <w:pPr>
              <w:pStyle w:val="Compact"/>
              <w:jc w:val="left"/>
            </w:pPr>
            <w:r>
              <w:t xml:space="preserve">6 mois</w:t>
            </w:r>
          </w:p>
        </w:tc>
        <w:tc>
          <w:tcPr/>
          <w:p>
            <w:pPr>
              <w:pStyle w:val="Compact"/>
              <w:jc w:val="left"/>
            </w:pPr>
            <w:r>
              <w:t xml:space="preserve">Amélioration plus rapide au questionnaire de symptômes pendant la phase collagène (étude pilote)</w:t>
            </w:r>
          </w:p>
        </w:tc>
      </w:tr>
      <w:tr>
        <w:tc>
          <w:tcPr/>
          <w:p>
            <w:pPr>
              <w:pStyle w:val="Compact"/>
              <w:jc w:val="left"/>
            </w:pPr>
            <w:r>
              <w:t xml:space="preserve">Dressler 2018, PMID 29769831</w:t>
            </w:r>
          </w:p>
        </w:tc>
        <w:tc>
          <w:tcPr/>
          <w:p>
            <w:pPr>
              <w:pStyle w:val="Compact"/>
              <w:jc w:val="left"/>
            </w:pPr>
            <w:r>
              <w:t xml:space="preserve">50 sportifs présentant une instabilité chronique de la cheville, 5 g contre placebo</w:t>
            </w:r>
          </w:p>
        </w:tc>
        <w:tc>
          <w:tcPr/>
          <w:p>
            <w:pPr>
              <w:pStyle w:val="Compact"/>
              <w:jc w:val="left"/>
            </w:pPr>
            <w:r>
              <w:t xml:space="preserve">6 mois</w:t>
            </w:r>
          </w:p>
        </w:tc>
        <w:tc>
          <w:tcPr/>
          <w:p>
            <w:pPr>
              <w:pStyle w:val="Compact"/>
              <w:jc w:val="left"/>
            </w:pPr>
            <w:r>
              <w:t xml:space="preserve">Stabilité subjective meilleure ; stabilité mécanique inchangée</w:t>
            </w:r>
          </w:p>
        </w:tc>
      </w:tr>
    </w:tbl>
    <w:p>
      <w:pPr>
        <w:pStyle w:val="BodyText"/>
      </w:pPr>
      <w:r>
        <w:t xml:space="preserve">Une méta-analyse de 19 études réunissant 768 adultes en bonne santé a trouvé, avec une prise de collagène à long terme combinée à l’entraînement, de petits avantages pour la masse maigre, la morphologie des tendons, l’architecture musculaire et la force maximale. La fiabilité des preuves a été jugée modérée pour la composition corporelle, très faible pour la morphologie des tendons et faible pour les autres résultats</w:t>
      </w:r>
      <w:r>
        <w:rPr>
          <w:rStyle w:val="FootnoteReference"/>
        </w:rPr>
        <w:footnoteReference w:id="2348"/>
      </w:r>
      <w:r>
        <w:t xml:space="preserve">. Une revue systématique antérieure avait conclu que, pour la synthèse des protéines musculaires, le collagène ne vaut pas les sources de protéines de meilleure qualité</w:t>
      </w:r>
      <w:r>
        <w:rPr>
          <w:rStyle w:val="FootnoteReference"/>
        </w:rPr>
        <w:footnoteReference w:id="2349"/>
      </w:r>
      <w:r>
        <w:t xml:space="preserve">.</w:t>
      </w:r>
    </w:p>
    <w:p>
      <w:pPr>
        <w:pStyle w:val="BodyText"/>
      </w:pPr>
      <w:r>
        <w:rPr>
          <w:bCs/>
          <w:b/>
        </w:rPr>
        <w:t xml:space="preserve">Bilan intermédiaire pour le sport :</w:t>
      </w:r>
      <w:r>
        <w:t xml:space="preserve"> </w:t>
      </w:r>
      <w:r>
        <w:t xml:space="preserve">pour le développement musculaire, il existe des sources de protéines meilleures et moins chères. Pour les tendons et les ligaments, un bénéfice est biologiquement plausible et suggéré par certaines études, mais il n’est pas démontré de manière solide.</w:t>
      </w:r>
    </w:p>
    <w:bookmarkEnd w:id="2350"/>
    <w:bookmarkStart w:id="2352" w:name="autres-domaines-dapplication"/>
    <w:p>
      <w:pPr>
        <w:pStyle w:val="Heading4"/>
      </w:pPr>
      <w:r>
        <w:t xml:space="preserve">Autres domaines d’application</w:t>
      </w:r>
    </w:p>
    <w:p>
      <w:pPr>
        <w:pStyle w:val="FirstParagraph"/>
      </w:pPr>
      <w:r>
        <w:t xml:space="preserve">Dans de plus petites études, les peptides de collagène ont été étudiés entre autres pour la pression artérielle et la fonction vasculaire, le sommeil, l’appétit, la gingivite et les troubles intestinaux. Une méta-analyse de 12 études contrôlées contre placebo a rapporté une baisse de la pression systolique de 5,04 mmHg et du cholestérol LDL de 4,09 mg/dl, mais avec une hétérogénéité extrêmement élevée entre les études (I² 98,9 et 93,4 %)</w:t>
      </w:r>
      <w:r>
        <w:rPr>
          <w:rStyle w:val="FootnoteReference"/>
        </w:rPr>
        <w:footnoteReference w:id="2351"/>
      </w:r>
      <w:r>
        <w:t xml:space="preserve">. Ces domaines sont trop peu étudiés pour permettre des conclusions solides.</w:t>
      </w:r>
    </w:p>
    <w:bookmarkEnd w:id="2352"/>
    <w:bookmarkEnd w:id="2353"/>
    <w:bookmarkStart w:id="2357" w:name="études-animales-et-de-laboratoire-52"/>
    <w:p>
      <w:pPr>
        <w:pStyle w:val="Heading3"/>
      </w:pPr>
      <w:r>
        <w:t xml:space="preserve">Études animales et de laboratoire</w:t>
      </w:r>
    </w:p>
    <w:p>
      <w:pPr>
        <w:pStyle w:val="FirstParagraph"/>
      </w:pPr>
      <w:r>
        <w:t xml:space="preserve">En culture cellulaire, les peptides de collagène, et en particulier la prolyl-hydroxyproline, stimulent la croissance des fibroblastes cutanés ; chez la souris et le rat, ils ont amélioré dans des expériences la barrière cutanée, la densité osseuse et le métabolisme du cartilage. Sur des échantillons de peau humaine en laboratoire (ex vivo), les peptides de collagène ont favorisé la production de collagène et de glycosaminoglycanes</w:t>
      </w:r>
      <w:r>
        <w:rPr>
          <w:rStyle w:val="FootnoteReference"/>
        </w:rPr>
        <w:footnoteReference w:id="2354"/>
      </w:r>
      <w:r>
        <w:t xml:space="preserve">. Une revue systématique de onze études, pour la plupart expérimentales, a conclu que les hydrolysats de collagène stimulent les fibroblastes à des concentrations de 50 à 500 microgrammes par millilitre, sans effet toxique</w:t>
      </w:r>
      <w:r>
        <w:rPr>
          <w:rStyle w:val="FootnoteReference"/>
        </w:rPr>
        <w:footnoteReference w:id="2355"/>
      </w:r>
      <w:r>
        <w:t xml:space="preserve">. Dans des expériences chez des rongeurs soumis à une alimentation hypercalorique, une méta-analyse a décrit des effets sur le poids et la masse grasse</w:t>
      </w:r>
      <w:r>
        <w:rPr>
          <w:rStyle w:val="FootnoteReference"/>
        </w:rPr>
        <w:footnoteReference w:id="2356"/>
      </w:r>
      <w:r>
        <w:t xml:space="preserve"> </w:t>
      </w:r>
      <w:r>
        <w:t xml:space="preserve">– un résultat non démontré chez l’humain.</w:t>
      </w:r>
    </w:p>
    <w:p>
      <w:pPr>
        <w:pStyle w:val="BodyText"/>
      </w:pPr>
      <w:r>
        <w:t xml:space="preserve">Ces résultats rendent les hypothèses plausibles. Mais ils ne prouvent pas que les concentrations de peptides atteintes chez l’humain après ingestion suffisent au niveau du tissu cible.</w:t>
      </w:r>
    </w:p>
    <w:bookmarkEnd w:id="2357"/>
    <w:bookmarkStart w:id="2360" w:name="risques-et-effets-indésirables-52"/>
    <w:p>
      <w:pPr>
        <w:pStyle w:val="Heading3"/>
      </w:pPr>
      <w:r>
        <w:t xml:space="preserve">Risques et effets indésirables</w:t>
      </w:r>
    </w:p>
    <w:p>
      <w:pPr>
        <w:pStyle w:val="FirstParagraph"/>
      </w:pPr>
      <w:r>
        <w:rPr>
          <w:bCs/>
          <w:b/>
        </w:rPr>
        <w:t xml:space="preserve">Établis :</w:t>
      </w:r>
      <w:r>
        <w:t xml:space="preserve"> </w:t>
      </w:r>
      <w:r>
        <w:t xml:space="preserve">dans les études randomisées, les effets indésirables n’ont pas été plus fréquents que sous placebo. La grande méta-analyse sur l’arthrose n’a trouvé aucun risque accru d’événements indésirables ou d’abandons d’étude</w:t>
      </w:r>
      <w:r>
        <w:rPr>
          <w:rStyle w:val="FootnoteReference"/>
        </w:rPr>
        <w:footnoteReference w:id="2358"/>
      </w:r>
      <w:r>
        <w:t xml:space="preserve">. Une sensation de plénitude, des ballonnements ou un goût désagréable sont parfois rapportés.</w:t>
      </w:r>
    </w:p>
    <w:p>
      <w:pPr>
        <w:pStyle w:val="BodyText"/>
      </w:pPr>
      <w:r>
        <w:rPr>
          <w:bCs/>
          <w:b/>
        </w:rPr>
        <w:t xml:space="preserve">À prendre en compte :</w:t>
      </w:r>
    </w:p>
    <w:p>
      <w:pPr>
        <w:numPr>
          <w:ilvl w:val="0"/>
          <w:numId w:val="1294"/>
        </w:numPr>
        <w:pStyle w:val="Compact"/>
      </w:pPr>
      <w:r>
        <w:rPr>
          <w:bCs/>
          <w:b/>
        </w:rPr>
        <w:t xml:space="preserve">Allergies et intolérances :</w:t>
      </w:r>
      <w:r>
        <w:t xml:space="preserve"> </w:t>
      </w:r>
      <w:r>
        <w:t xml:space="preserve">le collagène de poisson peut poser problème en cas d’allergie au poisson ; les produits d’origine bovine ou porcine concernent les personnes qui évitent ces animaux pour des raisons religieuses ou éthiques. L’origine figure dans la liste des ingrédients.</w:t>
      </w:r>
    </w:p>
    <w:p>
      <w:pPr>
        <w:numPr>
          <w:ilvl w:val="0"/>
          <w:numId w:val="1294"/>
        </w:numPr>
        <w:pStyle w:val="Compact"/>
      </w:pPr>
      <w:r>
        <w:rPr>
          <w:bCs/>
          <w:b/>
        </w:rPr>
        <w:t xml:space="preserve">Oxalate et calculs rénaux :</w:t>
      </w:r>
      <w:r>
        <w:t xml:space="preserve"> </w:t>
      </w:r>
      <w:r>
        <w:t xml:space="preserve">l’hydroxyproline est en partie dégradée en oxalate dans l’organisme. Dans une étude, l’excrétion urinaire d’oxalate a augmenté de 43 % après 30 g de gélatine par jour par rapport aux protéines de lactosérum ; dès 5 à 10 g de gélatine, des modifications mesurables apparaissaient</w:t>
      </w:r>
      <w:r>
        <w:rPr>
          <w:rStyle w:val="FootnoteReference"/>
        </w:rPr>
        <w:footnoteReference w:id="2359"/>
      </w:r>
      <w:r>
        <w:t xml:space="preserve">. Pour les personnes en bonne santé, la portée de ce constat est incertaine. Les personnes souffrant de calculs rénaux d’oxalate de calcium ou d’une hyperoxalurie congénitale devraient discuter de la prise avec leur médecin (risque théorique, mais biologiquement fondé).</w:t>
      </w:r>
    </w:p>
    <w:p>
      <w:pPr>
        <w:numPr>
          <w:ilvl w:val="0"/>
          <w:numId w:val="1294"/>
        </w:numPr>
        <w:pStyle w:val="Compact"/>
      </w:pPr>
      <w:r>
        <w:rPr>
          <w:bCs/>
          <w:b/>
        </w:rPr>
        <w:t xml:space="preserve">Quantité de protéines :</w:t>
      </w:r>
      <w:r>
        <w:t xml:space="preserve"> </w:t>
      </w:r>
      <w:r>
        <w:t xml:space="preserve">en cas de maladie rénale avec restriction protéique, le collagène compte lui aussi dans l’apport protéique quotidien.</w:t>
      </w:r>
    </w:p>
    <w:p>
      <w:pPr>
        <w:numPr>
          <w:ilvl w:val="0"/>
          <w:numId w:val="1294"/>
        </w:numPr>
        <w:pStyle w:val="Compact"/>
      </w:pPr>
      <w:r>
        <w:rPr>
          <w:bCs/>
          <w:b/>
        </w:rPr>
        <w:t xml:space="preserve">Qualité des produits :</w:t>
      </w:r>
      <w:r>
        <w:t xml:space="preserve"> </w:t>
      </w:r>
      <w:r>
        <w:t xml:space="preserve">l’efficacité des compléments alimentaires n’est pas contrôlée avant leur mise en vente. Le fabricant est responsable de la pureté et de l’absence de contaminants ; le contrôle alimentaire ne procède que par sondages.</w:t>
      </w:r>
    </w:p>
    <w:p>
      <w:pPr>
        <w:numPr>
          <w:ilvl w:val="0"/>
          <w:numId w:val="1294"/>
        </w:numPr>
        <w:pStyle w:val="Compact"/>
      </w:pPr>
      <w:r>
        <w:rPr>
          <w:bCs/>
          <w:b/>
        </w:rPr>
        <w:t xml:space="preserve">Fausse sécurité :</w:t>
      </w:r>
      <w:r>
        <w:t xml:space="preserve"> </w:t>
      </w:r>
      <w:r>
        <w:t xml:space="preserve">le plus grand risque pratique est que le collagène soit utilisé à la place de mesures efficaces – par exemple au lieu d’une protection UV contre le vieillissement cutané ou au lieu d’un traitement de l’ostéoporose.</w:t>
      </w:r>
    </w:p>
    <w:bookmarkEnd w:id="2360"/>
    <w:bookmarkStart w:id="2361" w:name="statut-juridique-52"/>
    <w:p>
      <w:pPr>
        <w:pStyle w:val="Heading3"/>
      </w:pPr>
      <w:r>
        <w:t xml:space="preserve">Statut juridique</w:t>
      </w:r>
    </w:p>
    <w:p>
      <w:pPr>
        <w:numPr>
          <w:ilvl w:val="0"/>
          <w:numId w:val="1295"/>
        </w:numPr>
        <w:pStyle w:val="Compact"/>
      </w:pPr>
      <w:r>
        <w:rPr>
          <w:bCs/>
          <w:b/>
        </w:rPr>
        <w:t xml:space="preserve">UE / Autriche / Allemagne :</w:t>
      </w:r>
      <w:r>
        <w:t xml:space="preserve"> </w:t>
      </w:r>
      <w:r>
        <w:t xml:space="preserve">les peptides de collagène sont des denrées alimentaires. En Allemagne, les compléments alimentaires doivent être déclarés à l’Office fédéral de la protection des consommateurs et de la sécurité alimentaire (BVL) avant leur première mise en vente ; l’Autriche applique ses propres règles. Aucun des deux pays ne contrôle l’efficacité. Selon le règlement européen sur les allégations de santé (règlement (CE) n° 1924/2006), les allégations de santé ne sont permises que si elles figurent dans la liste autorisée de l’UE.</w:t>
      </w:r>
      <w:r>
        <w:t xml:space="preserve"> </w:t>
      </w:r>
      <w:r>
        <w:rPr>
          <w:bCs/>
          <w:b/>
        </w:rPr>
        <w:t xml:space="preserve">Pour le collagène ou les peptides de collagène, il n’existe aucune allégation de santé autorisée.</w:t>
      </w:r>
      <w:r>
        <w:t xml:space="preserve"> </w:t>
      </w:r>
      <w:r>
        <w:t xml:space="preserve">L’Autorité européenne de sécurité des aliments (EFSA) a rendu des avis négatifs sur les allégations demandées, par exemple sur la santé articulaire, parce qu’aucune relation de cause à effet n’avait été démontrée. C’est pourquoi beaucoup de produits contiennent de la vitamine C : pour la vitamine C, l’allégation selon laquelle elle contribue à la formation normale de collagène pour assurer la fonction normale de la peau, du cartilage, des os, des gencives, des dents et des vaisseaux sanguins est autorisée. Le slogan publicitaire se rapporte alors juridiquement à la vitamine, et non au collagène. Les allégations relatives à la beauté (« pour une peau plus ferme ») se situent dans une zone grise et sont appréciées différemment par les tribunaux.</w:t>
      </w:r>
    </w:p>
    <w:p>
      <w:pPr>
        <w:numPr>
          <w:ilvl w:val="0"/>
          <w:numId w:val="1295"/>
        </w:numPr>
        <w:pStyle w:val="Compact"/>
      </w:pPr>
      <w:r>
        <w:rPr>
          <w:bCs/>
          <w:b/>
        </w:rPr>
        <w:t xml:space="preserve">États-Unis :</w:t>
      </w:r>
      <w:r>
        <w:t xml:space="preserve"> </w:t>
      </w:r>
      <w:r>
        <w:t xml:space="preserve">les peptides de collagène sont vendus comme dietary supplement. Les fabricants peuvent faire des allégations dites structure-fonction (« soutient une peau saine »), mais doivent y joindre la mention que l’allégation n’a pas été évaluée par la FDA. Les promesses liées à des maladies sont interdites.</w:t>
      </w:r>
    </w:p>
    <w:p>
      <w:pPr>
        <w:numPr>
          <w:ilvl w:val="0"/>
          <w:numId w:val="1295"/>
        </w:numPr>
        <w:pStyle w:val="Compact"/>
      </w:pPr>
      <w:r>
        <w:rPr>
          <w:bCs/>
          <w:b/>
        </w:rPr>
        <w:t xml:space="preserve">Sport :</w:t>
      </w:r>
      <w:r>
        <w:t xml:space="preserve"> </w:t>
      </w:r>
      <w:r>
        <w:t xml:space="preserve">les peptides de collagène ne figurent pas sur la liste des interdictions de la WADA. Comme pour tous les compléments alimentaires, il existe un risque résiduel de contamination ; les sportives et sportifs de haut niveau devraient se référer à des listes de produits contrôlés (par ex. la Kölner Liste) (état 2026, à vérifier).</w:t>
      </w:r>
    </w:p>
    <w:bookmarkEnd w:id="2361"/>
    <w:bookmarkStart w:id="2369" w:name="études-en-cours-et-perspectives-52"/>
    <w:p>
      <w:pPr>
        <w:pStyle w:val="Heading3"/>
      </w:pPr>
      <w:r>
        <w:t xml:space="preserve">Études en cours et perspectives</w:t>
      </w:r>
    </w:p>
    <w:p>
      <w:pPr>
        <w:pStyle w:val="FirstParagraph"/>
      </w:pPr>
      <w:r>
        <w:rPr>
          <w:bCs/>
          <w:b/>
        </w:rPr>
        <w:t xml:space="preserve">Établi (études enregistrées, état octobre 2026) :</w:t>
      </w:r>
    </w:p>
    <w:p>
      <w:pPr>
        <w:numPr>
          <w:ilvl w:val="0"/>
          <w:numId w:val="1296"/>
        </w:numPr>
        <w:pStyle w:val="Compact"/>
      </w:pPr>
      <w:r>
        <w:rPr>
          <w:bCs/>
          <w:b/>
        </w:rPr>
        <w:t xml:space="preserve">Gonarthrose :</w:t>
      </w:r>
      <w:r>
        <w:t xml:space="preserve"> </w:t>
      </w:r>
      <w:r>
        <w:t xml:space="preserve">une étude de l’Istituto Ortopedico Rizzoli compare une formulation d’hydrolysat de collagène à un placebo chez 204 participants</w:t>
      </w:r>
      <w:r>
        <w:rPr>
          <w:rStyle w:val="FootnoteReference"/>
        </w:rPr>
        <w:footnoteReference w:id="2362"/>
      </w:r>
      <w:r>
        <w:t xml:space="preserve">. Une étude plus petite compare différentes formes de collagène</w:t>
      </w:r>
      <w:r>
        <w:rPr>
          <w:rStyle w:val="FootnoteReference"/>
        </w:rPr>
        <w:footnoteReference w:id="2363"/>
      </w:r>
      <w:r>
        <w:t xml:space="preserve">.</w:t>
      </w:r>
    </w:p>
    <w:p>
      <w:pPr>
        <w:numPr>
          <w:ilvl w:val="0"/>
          <w:numId w:val="1296"/>
        </w:numPr>
        <w:pStyle w:val="Compact"/>
      </w:pPr>
      <w:r>
        <w:rPr>
          <w:bCs/>
          <w:b/>
        </w:rPr>
        <w:t xml:space="preserve">Prothèse de genou :</w:t>
      </w:r>
      <w:r>
        <w:t xml:space="preserve"> </w:t>
      </w:r>
      <w:r>
        <w:t xml:space="preserve">peptides de collagène après une prothèse totale du genou, avec pour critères le remodelage du tissu conjonctif et la cicatrisation</w:t>
      </w:r>
      <w:r>
        <w:rPr>
          <w:rStyle w:val="FootnoteReference"/>
        </w:rPr>
        <w:footnoteReference w:id="2364"/>
      </w:r>
      <w:r>
        <w:t xml:space="preserve">.</w:t>
      </w:r>
    </w:p>
    <w:p>
      <w:pPr>
        <w:numPr>
          <w:ilvl w:val="0"/>
          <w:numId w:val="1296"/>
        </w:numPr>
        <w:pStyle w:val="Compact"/>
      </w:pPr>
      <w:r>
        <w:rPr>
          <w:bCs/>
          <w:b/>
        </w:rPr>
        <w:t xml:space="preserve">Peau :</w:t>
      </w:r>
      <w:r>
        <w:t xml:space="preserve"> </w:t>
      </w:r>
      <w:r>
        <w:t xml:space="preserve">une comparaison de l’utilisation orale et externe du collagène, seules et combinées, chez 165 femmes prévues</w:t>
      </w:r>
      <w:r>
        <w:rPr>
          <w:rStyle w:val="FootnoteReference"/>
        </w:rPr>
        <w:footnoteReference w:id="2365"/>
      </w:r>
      <w:r>
        <w:t xml:space="preserve">.</w:t>
      </w:r>
    </w:p>
    <w:p>
      <w:pPr>
        <w:numPr>
          <w:ilvl w:val="0"/>
          <w:numId w:val="1296"/>
        </w:numPr>
        <w:pStyle w:val="Compact"/>
      </w:pPr>
      <w:r>
        <w:rPr>
          <w:bCs/>
          <w:b/>
        </w:rPr>
        <w:t xml:space="preserve">Vieillissement :</w:t>
      </w:r>
      <w:r>
        <w:t xml:space="preserve"> </w:t>
      </w:r>
      <w:r>
        <w:t xml:space="preserve">une étude de l’université de Vienne examine les peptides de collagène et des marqueurs du vieillissement cellulaire chez 125 participants prévus</w:t>
      </w:r>
      <w:r>
        <w:rPr>
          <w:rStyle w:val="FootnoteReference"/>
        </w:rPr>
        <w:footnoteReference w:id="2366"/>
      </w:r>
      <w:r>
        <w:t xml:space="preserve">.</w:t>
      </w:r>
    </w:p>
    <w:p>
      <w:pPr>
        <w:numPr>
          <w:ilvl w:val="0"/>
          <w:numId w:val="1296"/>
        </w:numPr>
        <w:pStyle w:val="Compact"/>
      </w:pPr>
      <w:r>
        <w:rPr>
          <w:bCs/>
          <w:b/>
        </w:rPr>
        <w:t xml:space="preserve">Métabolisme :</w:t>
      </w:r>
      <w:r>
        <w:t xml:space="preserve"> </w:t>
      </w:r>
      <w:r>
        <w:t xml:space="preserve">une étude du King’s College London examine la qualité de vie, l’appétit et le contrôle glycémique</w:t>
      </w:r>
      <w:r>
        <w:rPr>
          <w:rStyle w:val="FootnoteReference"/>
        </w:rPr>
        <w:footnoteReference w:id="2367"/>
      </w:r>
      <w:r>
        <w:t xml:space="preserve">.</w:t>
      </w:r>
    </w:p>
    <w:p>
      <w:pPr>
        <w:pStyle w:val="FirstParagraph"/>
      </w:pPr>
      <w:r>
        <w:rPr>
          <w:bCs/>
          <w:b/>
        </w:rPr>
        <w:t xml:space="preserve">Appréciation :</w:t>
      </w:r>
      <w:r>
        <w:t xml:space="preserve"> </w:t>
      </w:r>
      <w:r>
        <w:t xml:space="preserve">la question décisive pour les années à venir n’est pas de savoir s’il y aura d’autres petites études positives – il faut s’y attendre –, mais si de grandes études financées de manière indépendante, avec des critères enregistrés à l’avance, confirmeront les effets. La méta-analyse selon la source de financement</w:t>
      </w:r>
      <w:r>
        <w:rPr>
          <w:rStyle w:val="FootnoteReference"/>
        </w:rPr>
        <w:footnoteReference w:id="2368"/>
      </w:r>
      <w:r>
        <w:t xml:space="preserve"> </w:t>
      </w:r>
      <w:r>
        <w:t xml:space="preserve">a rendu visible la barre à franchir. Pour les douleurs articulaires, un petit effet est ce qui est le mieux étayé ; pour la peau et les tendons, la situation reste ouverte. Une autorisation comme médicament n’est pas à attendre, car les produits sont déjà en vente libre en tant qu’aliments et aucun fabricant n’aurait à supporter le coût d’un programme d’autorisation.</w:t>
      </w:r>
    </w:p>
    <w:bookmarkEnd w:id="2369"/>
    <w:bookmarkStart w:id="2370" w:name="conclusion-52"/>
    <w:p>
      <w:pPr>
        <w:pStyle w:val="Heading3"/>
      </w:pPr>
      <w:r>
        <w:t xml:space="preserve">Conclusion</w:t>
      </w:r>
    </w:p>
    <w:p>
      <w:pPr>
        <w:pStyle w:val="FirstParagraph"/>
      </w:pPr>
      <w:r>
        <w:t xml:space="preserve">Les peptides de collagène sont un produit alimentaire bien toléré, avec une base d’études vaste mais méthodologiquement faible. Pour les douleurs articulaires dans l’arthrose, les méta-analyses montrent de petits effets, mais certaines études plus grandes n’ont trouvé aucune différence avec le placebo. Pour la peau, le bénéfice mesuré dans les études des fabricants disparaît si l’on ne considère que les études financées de manière indépendante ou de haute qualité méthodologique. Pour le développement musculaire, le collagène est inférieur à d’autres sources de protéines ; le collagène de type II non dénaturé est un produit à part, avec ses propres données, elles aussi limitées. Dans l’UE, le collagène ne peut pas être promu par des allégations de santé – les messages publicitaires se rapportent le plus souvent à la vitamine C ajoutée.</w:t>
      </w:r>
    </w:p>
    <w:bookmarkEnd w:id="2370"/>
    <w:bookmarkEnd w:id="2371"/>
    <w:bookmarkStart w:id="2402" w:name="lactotripeptides-vpp-et-ipp"/>
    <w:p>
      <w:pPr>
        <w:pStyle w:val="Heading2"/>
      </w:pPr>
      <w:r>
        <w:t xml:space="preserve">Lactotripeptides (VPP et IPP)</w:t>
      </w:r>
    </w:p>
    <w:bookmarkStart w:id="2372" w:name="fiche-signalétique-53"/>
    <w:p>
      <w:pPr>
        <w:pStyle w:val="Heading3"/>
      </w:pPr>
      <w:r>
        <w:t xml:space="preserve">Fiche signalétique</w:t>
      </w:r>
    </w:p>
    <w:p>
      <w:pPr>
        <w:numPr>
          <w:ilvl w:val="0"/>
          <w:numId w:val="1297"/>
        </w:numPr>
        <w:pStyle w:val="Compact"/>
      </w:pPr>
      <w:r>
        <w:rPr>
          <w:bCs/>
          <w:b/>
        </w:rPr>
        <w:t xml:space="preserve">Type/structure :</w:t>
      </w:r>
      <w:r>
        <w:t xml:space="preserve"> </w:t>
      </w:r>
      <w:r>
        <w:t xml:space="preserve">deux tripeptides de trois acides aminés chacun : valine-proline-proline (VPP) et isoleucine-proline-proline (IPP). La double proline terminale les rend relativement résistants aux enzymes digestives.</w:t>
      </w:r>
    </w:p>
    <w:p>
      <w:pPr>
        <w:numPr>
          <w:ilvl w:val="0"/>
          <w:numId w:val="1297"/>
        </w:numPr>
        <w:pStyle w:val="Compact"/>
      </w:pPr>
      <w:r>
        <w:rPr>
          <w:bCs/>
          <w:b/>
        </w:rPr>
        <w:t xml:space="preserve">Origine :</w:t>
      </w:r>
      <w:r>
        <w:t xml:space="preserve"> </w:t>
      </w:r>
      <w:r>
        <w:t xml:space="preserve">fragments de la caséine, une protéine du lait. Ils se forment lorsque le lait est fermenté par certaines bactéries (surtout</w:t>
      </w:r>
      <w:r>
        <w:t xml:space="preserve"> </w:t>
      </w:r>
      <w:r>
        <w:rPr>
          <w:iCs/>
          <w:i/>
        </w:rPr>
        <w:t xml:space="preserve">Lactobacillus helveticus</w:t>
      </w:r>
      <w:r>
        <w:t xml:space="preserve">) ou par clivage enzymatique de la caséine au moyen d’enzymes de la moisissure</w:t>
      </w:r>
      <w:r>
        <w:t xml:space="preserve"> </w:t>
      </w:r>
      <w:r>
        <w:rPr>
          <w:iCs/>
          <w:i/>
        </w:rPr>
        <w:t xml:space="preserve">Aspergillus oryzae</w:t>
      </w:r>
      <w:r>
        <w:t xml:space="preserve">. Parmi les produits connus figuraient une boisson japonaise au lait fermenté (Calpis) et un produit laitier finlandais (Evolus de Valio).</w:t>
      </w:r>
    </w:p>
    <w:p>
      <w:pPr>
        <w:numPr>
          <w:ilvl w:val="0"/>
          <w:numId w:val="1297"/>
        </w:numPr>
        <w:pStyle w:val="Compact"/>
      </w:pPr>
      <w:r>
        <w:rPr>
          <w:bCs/>
          <w:b/>
        </w:rPr>
        <w:t xml:space="preserve">Principe d’action :</w:t>
      </w:r>
      <w:r>
        <w:t xml:space="preserve"> </w:t>
      </w:r>
      <w:r>
        <w:t xml:space="preserve">ils sont censés inhiber l’enzyme de conversion de l’angiotensine (ECA) – la même enzyme que bloquent les inhibiteurs de l’ECA antihypertenseurs comme le ramipril ou l’énalapril, mais de manière bien plus faible.</w:t>
      </w:r>
    </w:p>
    <w:p>
      <w:pPr>
        <w:numPr>
          <w:ilvl w:val="0"/>
          <w:numId w:val="1297"/>
        </w:numPr>
        <w:pStyle w:val="Compact"/>
      </w:pPr>
      <w:r>
        <w:rPr>
          <w:bCs/>
          <w:b/>
        </w:rPr>
        <w:t xml:space="preserve">Autorisation UE :</w:t>
      </w:r>
      <w:r>
        <w:t xml:space="preserve"> </w:t>
      </w:r>
      <w:r>
        <w:t xml:space="preserve">pas d’autorisation comme médicament ; utilisés comme ingrédient alimentaire ou dans des compléments alimentaires. Aucune allégation de santé autorisée concernant la pression artérielle.</w:t>
      </w:r>
    </w:p>
    <w:p>
      <w:pPr>
        <w:numPr>
          <w:ilvl w:val="0"/>
          <w:numId w:val="1297"/>
        </w:numPr>
        <w:pStyle w:val="Compact"/>
      </w:pPr>
      <w:r>
        <w:rPr>
          <w:bCs/>
          <w:b/>
        </w:rPr>
        <w:t xml:space="preserve">Autorisation États-Unis :</w:t>
      </w:r>
      <w:r>
        <w:t xml:space="preserve"> </w:t>
      </w:r>
      <w:r>
        <w:t xml:space="preserve">pas d’autorisation comme médicament ; disponibles comme compléments alimentaires.</w:t>
      </w:r>
    </w:p>
    <w:p>
      <w:pPr>
        <w:numPr>
          <w:ilvl w:val="0"/>
          <w:numId w:val="1297"/>
        </w:numPr>
        <w:pStyle w:val="Compact"/>
      </w:pPr>
      <w:r>
        <w:rPr>
          <w:bCs/>
          <w:b/>
        </w:rPr>
        <w:t xml:space="preserve">AMA (WADA) :</w:t>
      </w:r>
      <w:r>
        <w:t xml:space="preserve"> </w:t>
      </w:r>
      <w:r>
        <w:t xml:space="preserve">pas listés.</w:t>
      </w:r>
    </w:p>
    <w:p>
      <w:pPr>
        <w:numPr>
          <w:ilvl w:val="0"/>
          <w:numId w:val="1297"/>
        </w:numPr>
        <w:pStyle w:val="Compact"/>
      </w:pPr>
      <w:r>
        <w:rPr>
          <w:bCs/>
          <w:b/>
        </w:rPr>
        <w:t xml:space="preserve">Niveau de preuve :</w:t>
      </w:r>
      <w:r>
        <w:t xml:space="preserve"> </w:t>
      </w:r>
      <w:r>
        <w:rPr>
          <w:bCs/>
          <w:b/>
        </w:rPr>
        <w:t xml:space="preserve">B</w:t>
      </w:r>
      <w:r>
        <w:t xml:space="preserve"> </w:t>
      </w:r>
      <w:r>
        <w:t xml:space="preserve">– une trentaine d’études randomisées réunissant au total quelques milliers de participants, mais chacune petite, avec des résultats contradictoires et sans critères durs.</w:t>
      </w:r>
    </w:p>
    <w:bookmarkEnd w:id="2372"/>
    <w:bookmarkStart w:id="2376" w:name="mode-daction-supposé-53"/>
    <w:p>
      <w:pPr>
        <w:pStyle w:val="Heading3"/>
      </w:pPr>
      <w:r>
        <w:t xml:space="preserve">Mode d’action supposé</w:t>
      </w:r>
    </w:p>
    <w:p>
      <w:pPr>
        <w:pStyle w:val="FirstParagraph"/>
      </w:pPr>
      <w:r>
        <w:t xml:space="preserve">La pression artérielle est régulée notamment par le système rénine-angiotensine. Une étape centrale est la conversion de l’angiotensine I inactive en angiotensine II vasoconstrictrice par l’enzyme ECA. Cette même enzyme dégrade en outre la bradykinine, une substance qui dilate les vaisseaux. Si l’ECA est inhibée, il se forme moins d’angiotensine II et davantage de bradykinine – la pression artérielle baisse. C’est sur ce principe que reposent les inhibiteurs de l’ECA, l’un des plus importants groupes d’antihypertenseurs. Détail historique intéressant : le premier inhibiteur de l’ECA, le captopril, a été développé à partir d’un peptide du venin d’un serpent.</w:t>
      </w:r>
    </w:p>
    <w:p>
      <w:pPr>
        <w:pStyle w:val="BodyText"/>
      </w:pPr>
      <w:r>
        <w:t xml:space="preserve">Dans les années 1990, des chercheurs japonais ont isolé dans du lait fermenté deux tripeptides qui inhibent l’ECA en éprouvette. Chez des rats présentant une hypertension congénitale, une administration unique du lait fermenté ou des peptides isolés VPP et IPP a abaissé la pression systolique pendant quelques heures ; chez des rats à pression normale, rien n’a changé</w:t>
      </w:r>
      <w:r>
        <w:rPr>
          <w:rStyle w:val="FootnoteReference"/>
        </w:rPr>
        <w:footnoteReference w:id="2373"/>
      </w:r>
      <w:r>
        <w:t xml:space="preserve">. C’est de là qu’est née l’idée d’un « aliment qui fait baisser la pression artérielle ».</w:t>
      </w:r>
    </w:p>
    <w:p>
      <w:pPr>
        <w:pStyle w:val="BodyText"/>
      </w:pPr>
      <w:r>
        <w:t xml:space="preserve">Pour que cela fonctionne, les peptides doivent parvenir intacts dans la circulation sanguine. Une petite étude a montré que l’IPP est effectivement détectable intact dans le sang après la consommation d’une boisson au yaourt enrichie – mais à des concentrations de l’ordre du picomole par litre</w:t>
      </w:r>
      <w:r>
        <w:rPr>
          <w:rStyle w:val="FootnoteReference"/>
        </w:rPr>
        <w:footnoteReference w:id="2374"/>
      </w:r>
      <w:r>
        <w:t xml:space="preserve">. Une étude suisse portant sur douze hommes en bonne santé a ensuite vérifié directement si les peptides inhibent l’ECA dans l’organisme : après sept jours de lait fermenté, les marqueurs de l’activité de l’ECA et la rénine sont restés inchangés, alors qu’un seul comprimé de captopril a abaissé l’activité plasmatique de l’ECA de 82 %. L’IPP n’a augmenté dans le sang que brièvement et faiblement, et le VPP est resté sous le seuil de détection</w:t>
      </w:r>
      <w:r>
        <w:rPr>
          <w:rStyle w:val="FootnoteReference"/>
        </w:rPr>
        <w:footnoteReference w:id="2375"/>
      </w:r>
      <w:r>
        <w:t xml:space="preserve">.</w:t>
      </w:r>
    </w:p>
    <w:p>
      <w:pPr>
        <w:pStyle w:val="BodyText"/>
      </w:pPr>
      <w:r>
        <w:t xml:space="preserve">Cela signifie : le mécanisme plausible en laboratoire n’a pas pu être mis en évidence chez l’humain aux quantités testées. D’autres voies sont donc aussi discutées, par exemple une amélioration de la fonction de la paroi interne des vaisseaux par le monoxyde d’azote. Elles proviennent jusqu’à présent surtout d’expériences en culture cellulaire et chez l’animal.</w:t>
      </w:r>
    </w:p>
    <w:bookmarkEnd w:id="2376"/>
    <w:bookmarkStart w:id="2388" w:name="études-chez-lhumain-53"/>
    <w:p>
      <w:pPr>
        <w:pStyle w:val="Heading3"/>
      </w:pPr>
      <w:r>
        <w:t xml:space="preserve">Études chez l’humain</w:t>
      </w:r>
    </w:p>
    <w:p>
      <w:pPr>
        <w:pStyle w:val="FirstParagraph"/>
      </w:pPr>
      <w:r>
        <w:t xml:space="preserve">La requête PubMed analysée pour ce livre (lactotripeptides ou valyl-prolyl-proline, date de requête octobre 2026) a donné 21 études chez l’humain ; sur ClinicalTrials.gov, la recherche « lactotripeptides » n’a trouvé aucune entrée de registre. La plupart des études ont été menées avant l’introduction de l’obligation d’enregistrement pour les études nutritionnelles. Les méta-analyses portent sur jusqu’à 30 études randomisées, dont de nombreuses études japonaises qui ne sont pas toutes recensées par la requête PubMed.</w:t>
      </w:r>
    </w:p>
    <w:bookmarkStart w:id="2377" w:name="les-premières-études-positives"/>
    <w:p>
      <w:pPr>
        <w:pStyle w:val="Heading4"/>
      </w:pPr>
      <w:r>
        <w:t xml:space="preserve">Les premières études positives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Hata 1996, PMID 8901799</w:t>
            </w:r>
          </w:p>
        </w:tc>
        <w:tc>
          <w:tcPr/>
          <w:p>
            <w:pPr>
              <w:pStyle w:val="Compact"/>
              <w:jc w:val="left"/>
            </w:pPr>
            <w:r>
              <w:t xml:space="preserve">30 personnes âgées hypertendues (la plupart sous médicaments), lait fermenté contre lait acidifié</w:t>
            </w:r>
          </w:p>
        </w:tc>
        <w:tc>
          <w:tcPr/>
          <w:p>
            <w:pPr>
              <w:pStyle w:val="Compact"/>
              <w:jc w:val="left"/>
            </w:pPr>
            <w:r>
              <w:t xml:space="preserve">8 semaines</w:t>
            </w:r>
          </w:p>
        </w:tc>
        <w:tc>
          <w:tcPr/>
          <w:p>
            <w:pPr>
              <w:pStyle w:val="Compact"/>
              <w:jc w:val="left"/>
            </w:pPr>
            <w:r>
              <w:t xml:space="preserve">Systolique −14,1 mmHg par rapport à la valeur initiale dans le groupe lait fermenté ; placebo inchangé</w:t>
            </w:r>
          </w:p>
        </w:tc>
      </w:tr>
      <w:tr>
        <w:tc>
          <w:tcPr/>
          <w:p>
            <w:pPr>
              <w:pStyle w:val="Compact"/>
              <w:jc w:val="left"/>
            </w:pPr>
            <w:r>
              <w:t xml:space="preserve">Seppo 2003, PMID 12540390</w:t>
            </w:r>
          </w:p>
        </w:tc>
        <w:tc>
          <w:tcPr/>
          <w:p>
            <w:pPr>
              <w:pStyle w:val="Compact"/>
              <w:jc w:val="left"/>
            </w:pPr>
            <w:r>
              <w:t xml:space="preserve">39 personnes hypertendues, lait fermenté contre témoin</w:t>
            </w:r>
          </w:p>
        </w:tc>
        <w:tc>
          <w:tcPr/>
          <w:p>
            <w:pPr>
              <w:pStyle w:val="Compact"/>
              <w:jc w:val="left"/>
            </w:pPr>
            <w:r>
              <w:t xml:space="preserve">21 semaines</w:t>
            </w:r>
          </w:p>
        </w:tc>
        <w:tc>
          <w:tcPr/>
          <w:p>
            <w:pPr>
              <w:pStyle w:val="Compact"/>
              <w:jc w:val="left"/>
            </w:pPr>
            <w:r>
              <w:t xml:space="preserve">Différence systolique 6,7 mmHg (p = 0,03), diastolique 3,6 mmHg (non significative)</w:t>
            </w:r>
          </w:p>
        </w:tc>
      </w:tr>
      <w:tr>
        <w:tc>
          <w:tcPr/>
          <w:p>
            <w:pPr>
              <w:pStyle w:val="Compact"/>
              <w:jc w:val="left"/>
            </w:pPr>
            <w:r>
              <w:t xml:space="preserve">Tuomilehto 2004, PMID 15175633</w:t>
            </w:r>
          </w:p>
        </w:tc>
        <w:tc>
          <w:tcPr/>
          <w:p>
            <w:pPr>
              <w:pStyle w:val="Compact"/>
              <w:jc w:val="left"/>
            </w:pPr>
            <w:r>
              <w:t xml:space="preserve">60 personnes atteintes d’hypertension légère, étude croisée</w:t>
            </w:r>
          </w:p>
        </w:tc>
        <w:tc>
          <w:tcPr/>
          <w:p>
            <w:pPr>
              <w:pStyle w:val="Compact"/>
              <w:jc w:val="left"/>
            </w:pPr>
            <w:r>
              <w:t xml:space="preserve">2 × phases</w:t>
            </w:r>
          </w:p>
        </w:tc>
        <w:tc>
          <w:tcPr/>
          <w:p>
            <w:pPr>
              <w:pStyle w:val="Compact"/>
              <w:jc w:val="left"/>
            </w:pPr>
            <w:r>
              <w:t xml:space="preserve">Analyse globale : différence systolique 2,6 mmHg, non significative</w:t>
            </w:r>
          </w:p>
        </w:tc>
      </w:tr>
      <w:tr>
        <w:tc>
          <w:tcPr/>
          <w:p>
            <w:pPr>
              <w:pStyle w:val="Compact"/>
              <w:jc w:val="left"/>
            </w:pPr>
            <w:r>
              <w:t xml:space="preserve">Jauhiainen 2005, PMID 16364832</w:t>
            </w:r>
          </w:p>
        </w:tc>
        <w:tc>
          <w:tcPr/>
          <w:p>
            <w:pPr>
              <w:pStyle w:val="Compact"/>
              <w:jc w:val="left"/>
            </w:pPr>
            <w:r>
              <w:t xml:space="preserve">94 personnes hypertendues non traitées, lait fermenté contre témoin, mesure sur 24 heures</w:t>
            </w:r>
          </w:p>
        </w:tc>
        <w:tc>
          <w:tcPr/>
          <w:p>
            <w:pPr>
              <w:pStyle w:val="Compact"/>
              <w:jc w:val="left"/>
            </w:pPr>
            <w:r>
              <w:t xml:space="preserve">10 semaines</w:t>
            </w:r>
          </w:p>
        </w:tc>
        <w:tc>
          <w:tcPr/>
          <w:p>
            <w:pPr>
              <w:pStyle w:val="Compact"/>
              <w:jc w:val="left"/>
            </w:pPr>
            <w:r>
              <w:t xml:space="preserve">Systolique −4,1 mmHg, diastolique −1,8 mmHg par rapport au témoin</w:t>
            </w:r>
          </w:p>
        </w:tc>
      </w:tr>
    </w:tbl>
    <w:p>
      <w:pPr>
        <w:pStyle w:val="BodyText"/>
      </w:pPr>
      <w:r>
        <w:t xml:space="preserve">L’étude précoce de Hata était petite, la plupart des participants prenaient déjà des antihypertenseurs, et la comparaison portait surtout sur la valeur initiale. L’étude de Jauhiainen est méthodologiquement plus solide, car elle utilisait la mesure ambulatoire de la pression artérielle sur 24 heures, moins sensible à l’« effet blouse blanche » chez le médecin.</w:t>
      </w:r>
    </w:p>
    <w:bookmarkEnd w:id="2377"/>
    <w:bookmarkStart w:id="2379" w:name="les-études-négatives-des-pays-bas"/>
    <w:p>
      <w:pPr>
        <w:pStyle w:val="Heading4"/>
      </w:pPr>
      <w:r>
        <w:t xml:space="preserve">Les études négatives des Pays-Bas</w:t>
      </w:r>
    </w:p>
    <w:p>
      <w:pPr>
        <w:pStyle w:val="FirstParagraph"/>
      </w:pPr>
      <w:r>
        <w:t xml:space="preserve">À partir de 2008, plusieurs études plus grandes et menées avec soin dans des pays européens ont été publiées, sans trouver d’effet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Engberink 2008, PMID 18086944</w:t>
            </w:r>
          </w:p>
        </w:tc>
        <w:tc>
          <w:tcPr/>
          <w:p>
            <w:pPr>
              <w:pStyle w:val="Compact"/>
              <w:jc w:val="left"/>
            </w:pPr>
            <w:r>
              <w:t xml:space="preserve">135 Néerlandais avec une pression systolique élevée, trois modes de fabrication de LTP contre placebo</w:t>
            </w:r>
          </w:p>
        </w:tc>
        <w:tc>
          <w:tcPr/>
          <w:p>
            <w:pPr>
              <w:pStyle w:val="Compact"/>
              <w:jc w:val="left"/>
            </w:pPr>
            <w:r>
              <w:t xml:space="preserve">8 semaines</w:t>
            </w:r>
          </w:p>
        </w:tc>
        <w:tc>
          <w:tcPr/>
          <w:p>
            <w:pPr>
              <w:pStyle w:val="Compact"/>
              <w:jc w:val="left"/>
            </w:pPr>
            <w:r>
              <w:t xml:space="preserve">Aucune différence avec le placebo pour la pression au cabinet, à domicile et sur 24 heures, l’activité de l’ECA ou l’angiotensine II</w:t>
            </w:r>
          </w:p>
        </w:tc>
      </w:tr>
      <w:tr>
        <w:tc>
          <w:tcPr/>
          <w:p>
            <w:pPr>
              <w:pStyle w:val="Compact"/>
              <w:jc w:val="left"/>
            </w:pPr>
            <w:r>
              <w:t xml:space="preserve">van der Zander 2008, PMID 19064533</w:t>
            </w:r>
          </w:p>
        </w:tc>
        <w:tc>
          <w:tcPr/>
          <w:p>
            <w:pPr>
              <w:pStyle w:val="Compact"/>
              <w:jc w:val="left"/>
            </w:pPr>
            <w:r>
              <w:t xml:space="preserve">275 Néerlandais hypertendus, LTP obtenus par voie enzymatique dans une boisson au yaourt contre placebo</w:t>
            </w:r>
          </w:p>
        </w:tc>
        <w:tc>
          <w:tcPr/>
          <w:p>
            <w:pPr>
              <w:pStyle w:val="Compact"/>
              <w:jc w:val="left"/>
            </w:pPr>
            <w:r>
              <w:t xml:space="preserve">8 semaines</w:t>
            </w:r>
          </w:p>
        </w:tc>
        <w:tc>
          <w:tcPr/>
          <w:p>
            <w:pPr>
              <w:pStyle w:val="Compact"/>
              <w:jc w:val="left"/>
            </w:pPr>
            <w:r>
              <w:t xml:space="preserve">Aucune différence systolique (p = 0,66) ou diastolique (p = 0,72)</w:t>
            </w:r>
          </w:p>
        </w:tc>
      </w:tr>
      <w:tr>
        <w:tc>
          <w:tcPr/>
          <w:p>
            <w:pPr>
              <w:pStyle w:val="Compact"/>
              <w:jc w:val="left"/>
            </w:pPr>
            <w:r>
              <w:t xml:space="preserve">van Mierlo 2009, PMID 19106238</w:t>
            </w:r>
          </w:p>
        </w:tc>
        <w:tc>
          <w:tcPr/>
          <w:p>
            <w:pPr>
              <w:pStyle w:val="Compact"/>
              <w:jc w:val="left"/>
            </w:pPr>
            <w:r>
              <w:t xml:space="preserve">2 études croisées avec 69 et 93 adultes non traités, mesure sur 24 heures</w:t>
            </w:r>
          </w:p>
        </w:tc>
        <w:tc>
          <w:tcPr/>
          <w:p>
            <w:pPr>
              <w:pStyle w:val="Compact"/>
              <w:jc w:val="left"/>
            </w:pPr>
            <w:r>
              <w:t xml:space="preserve">4 semaines chacune</w:t>
            </w:r>
          </w:p>
        </w:tc>
        <w:tc>
          <w:tcPr/>
          <w:p>
            <w:pPr>
              <w:pStyle w:val="Compact"/>
              <w:jc w:val="left"/>
            </w:pPr>
            <w:r>
              <w:t xml:space="preserve">Aucune différence de pression artérielle sur 24 heures</w:t>
            </w:r>
          </w:p>
        </w:tc>
      </w:tr>
      <w:tr>
        <w:tc>
          <w:tcPr/>
          <w:p>
            <w:pPr>
              <w:pStyle w:val="Compact"/>
              <w:jc w:val="left"/>
            </w:pPr>
            <w:r>
              <w:t xml:space="preserve">Usinger 2010, PMID 20147968</w:t>
            </w:r>
          </w:p>
        </w:tc>
        <w:tc>
          <w:tcPr/>
          <w:p>
            <w:pPr>
              <w:pStyle w:val="Compact"/>
              <w:jc w:val="left"/>
            </w:pPr>
            <w:r>
              <w:t xml:space="preserve">94 personnes avec une pression normale haute ou limite, 150 ou 300 ml de lait fermenté contre placebo</w:t>
            </w:r>
          </w:p>
        </w:tc>
        <w:tc>
          <w:tcPr/>
          <w:p>
            <w:pPr>
              <w:pStyle w:val="Compact"/>
              <w:jc w:val="left"/>
            </w:pPr>
            <w:r>
              <w:t xml:space="preserve">8 semaines</w:t>
            </w:r>
          </w:p>
        </w:tc>
        <w:tc>
          <w:tcPr/>
          <w:p>
            <w:pPr>
              <w:pStyle w:val="Compact"/>
              <w:jc w:val="left"/>
            </w:pPr>
            <w:r>
              <w:t xml:space="preserve">Aucune différence significative de pression artérielle sur 24 heures</w:t>
            </w:r>
          </w:p>
        </w:tc>
      </w:tr>
    </w:tbl>
    <w:p>
      <w:pPr>
        <w:pStyle w:val="BodyText"/>
      </w:pPr>
      <w:r>
        <w:t xml:space="preserve">Ce qui est remarquable dans l’étude d’Engberink : elle a testé des lactotripeptides de trois sources – issus de lait fermenté concentré, obtenus par voie enzymatique et synthétisés chimiquement. Aucune des trois variantes n’a abaissé la pression artérielle ni inhibé l’ECA de façon mesurable. Une revue a regroupé six études de ce type réunissant 780 participants du Royaume-Uni et des Pays-Bas et a conclu que les données plus récentes n’étayent pas un rôle des lactotripeptides dans la régulation de la pression artérielle</w:t>
      </w:r>
      <w:r>
        <w:rPr>
          <w:rStyle w:val="FootnoteReference"/>
        </w:rPr>
        <w:footnoteReference w:id="2378"/>
      </w:r>
      <w:r>
        <w:t xml:space="preserve">.</w:t>
      </w:r>
    </w:p>
    <w:bookmarkEnd w:id="2379"/>
    <w:bookmarkStart w:id="2385" w:name="études-ultérieures"/>
    <w:p>
      <w:pPr>
        <w:pStyle w:val="Heading4"/>
      </w:pPr>
      <w:r>
        <w:t xml:space="preserve">Études ultérieures</w:t>
      </w:r>
    </w:p>
    <w:p>
      <w:pPr>
        <w:pStyle w:val="FirstParagraph"/>
      </w:pPr>
      <w:r>
        <w:t xml:space="preserve">Après 2010 aussi, les résultats sont restés mitigés. En Finlande, une dose de 50 mg de lactotripeptides par jour a certes abaissé la pression sur 24 heures par rapport à la valeur initiale, mais pas de façon significative par rapport au placebo (−2,6 mmHg systolique) ; 5 mg par jour n’avaient aucun effet</w:t>
      </w:r>
      <w:r>
        <w:rPr>
          <w:rStyle w:val="FootnoteReference"/>
        </w:rPr>
        <w:footnoteReference w:id="2380"/>
      </w:r>
      <w:r>
        <w:t xml:space="preserve">. Une matière grasse à tartiner contenant IPP, VPP et stérols végétaux a abaissé la pression systolique mesurée à domicile davantage que le placebo (−4,1 contre −0,5 mmHg), mais pas la valeur au cabinet ni celle sur 24 heures</w:t>
      </w:r>
      <w:r>
        <w:rPr>
          <w:rStyle w:val="FootnoteReference"/>
        </w:rPr>
        <w:footnoteReference w:id="2381"/>
      </w:r>
      <w:r>
        <w:t xml:space="preserve">. Des études italiennes ont rapporté des effets favorables sur la pression au cabinet et la rigidité artérielle</w:t>
      </w:r>
      <w:r>
        <w:rPr>
          <w:rStyle w:val="FootnoteReference"/>
        </w:rPr>
        <w:footnoteReference w:id="2382"/>
      </w:r>
      <w:r>
        <w:t xml:space="preserve">, l’une d’elles sans effet sur la pression sur 24 heures. Aux États-Unis, dans une étude portant sur 91 personnes atteintes d’hypertension de stade 1 et 2, la pression systolique diurne a baissé de 3,6 mmHg, contrairement au placebo</w:t>
      </w:r>
      <w:r>
        <w:rPr>
          <w:rStyle w:val="FootnoteReference"/>
        </w:rPr>
        <w:footnoteReference w:id="2383"/>
      </w:r>
      <w:r>
        <w:t xml:space="preserve">.</w:t>
      </w:r>
    </w:p>
    <w:p>
      <w:pPr>
        <w:pStyle w:val="BodyText"/>
      </w:pPr>
      <w:r>
        <w:t xml:space="preserve">Il existe en outre de petites études sur la fonction vasculaire, la perfusion cérébrale, la fatigue musculaire et les performances cognitives, le plus souvent avec 15 à 50 participants</w:t>
      </w:r>
      <w:r>
        <w:rPr>
          <w:rStyle w:val="FootnoteReference"/>
        </w:rPr>
        <w:footnoteReference w:id="2384"/>
      </w:r>
      <w:r>
        <w:t xml:space="preserve">. Elles doivent être lues comme des indices, non comme des preuves.</w:t>
      </w:r>
    </w:p>
    <w:bookmarkEnd w:id="2385"/>
    <w:bookmarkStart w:id="2387" w:name="Xff9101e020cfef592da1e9377f82424662a5531"/>
    <w:p>
      <w:pPr>
        <w:pStyle w:val="Heading4"/>
      </w:pPr>
      <w:r>
        <w:t xml:space="preserve">Méta-analyses : petit effet, forte influence de l’origine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Méta-analyse</w:t>
            </w:r>
          </w:p>
        </w:tc>
        <w:tc>
          <w:tcPr/>
          <w:p>
            <w:pPr>
              <w:pStyle w:val="Compact"/>
              <w:jc w:val="left"/>
            </w:pPr>
            <w:r>
              <w:t xml:space="preserve">Ampleur</w:t>
            </w:r>
          </w:p>
        </w:tc>
        <w:tc>
          <w:tcPr/>
          <w:p>
            <w:pPr>
              <w:pStyle w:val="Compact"/>
              <w:jc w:val="left"/>
            </w:pPr>
            <w:r>
              <w:t xml:space="preserve">Effet sur la pression systolique</w:t>
            </w:r>
          </w:p>
        </w:tc>
      </w:tr>
      <w:tr>
        <w:tc>
          <w:tcPr/>
          <w:p>
            <w:pPr>
              <w:pStyle w:val="Compact"/>
              <w:jc w:val="left"/>
            </w:pPr>
            <w:r>
              <w:t xml:space="preserve">Cicero 2011, PMID 20811398</w:t>
            </w:r>
          </w:p>
        </w:tc>
        <w:tc>
          <w:tcPr/>
          <w:p>
            <w:pPr>
              <w:pStyle w:val="Compact"/>
              <w:jc w:val="left"/>
            </w:pPr>
            <w:r>
              <w:t xml:space="preserve">18 études</w:t>
            </w:r>
          </w:p>
        </w:tc>
        <w:tc>
          <w:tcPr/>
          <w:p>
            <w:pPr>
              <w:pStyle w:val="Compact"/>
              <w:jc w:val="left"/>
            </w:pPr>
            <w:r>
              <w:t xml:space="preserve">−3,73 mmHg au total ; Asie −6,93 mmHg ; Europe −1,17 mmHg (non significatif)</w:t>
            </w:r>
          </w:p>
        </w:tc>
      </w:tr>
      <w:tr>
        <w:tc>
          <w:tcPr/>
          <w:p>
            <w:pPr>
              <w:pStyle w:val="Compact"/>
              <w:jc w:val="left"/>
            </w:pPr>
            <w:r>
              <w:t xml:space="preserve">Turpeinen 2013, PMID 23305234</w:t>
            </w:r>
          </w:p>
        </w:tc>
        <w:tc>
          <w:tcPr/>
          <w:p>
            <w:pPr>
              <w:pStyle w:val="Compact"/>
              <w:jc w:val="left"/>
            </w:pPr>
            <w:r>
              <w:t xml:space="preserve">19 études, env. 1 500 personnes</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bras d’étude, 1 919 personnes</w:t>
            </w:r>
          </w:p>
        </w:tc>
        <w:tc>
          <w:tcPr/>
          <w:p>
            <w:pPr>
              <w:pStyle w:val="Compact"/>
              <w:jc w:val="left"/>
            </w:pPr>
            <w:r>
              <w:t xml:space="preserve">−1,66 mmHg ; sur 24 heures −1,30 mmHg</w:t>
            </w:r>
          </w:p>
        </w:tc>
      </w:tr>
      <w:tr>
        <w:tc>
          <w:tcPr/>
          <w:p>
            <w:pPr>
              <w:pStyle w:val="Compact"/>
              <w:jc w:val="left"/>
            </w:pPr>
            <w:r>
              <w:t xml:space="preserve">Cicero 2013, PMID 23382495</w:t>
            </w:r>
          </w:p>
        </w:tc>
        <w:tc>
          <w:tcPr/>
          <w:p>
            <w:pPr>
              <w:pStyle w:val="Compact"/>
              <w:jc w:val="left"/>
            </w:pPr>
            <w:r>
              <w:t xml:space="preserve">14 études européennes, 1 306 personnes</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études</w:t>
            </w:r>
          </w:p>
        </w:tc>
        <w:tc>
          <w:tcPr/>
          <w:p>
            <w:pPr>
              <w:pStyle w:val="Compact"/>
              <w:jc w:val="left"/>
            </w:pPr>
            <w:r>
              <w:t xml:space="preserve">−2,95 mmHg ; pression sur 24 heures non significative</w:t>
            </w:r>
          </w:p>
        </w:tc>
      </w:tr>
      <w:tr>
        <w:tc>
          <w:tcPr/>
          <w:p>
            <w:pPr>
              <w:pStyle w:val="Compact"/>
              <w:jc w:val="left"/>
            </w:pPr>
            <w:r>
              <w:t xml:space="preserve">Chanson-Rolle 2015, PMID 26536628</w:t>
            </w:r>
          </w:p>
        </w:tc>
        <w:tc>
          <w:tcPr/>
          <w:p>
            <w:pPr>
              <w:pStyle w:val="Compact"/>
              <w:jc w:val="left"/>
            </w:pPr>
            <w:r>
              <w:t xml:space="preserve">18 études japonaises, 1 194 personnes</w:t>
            </w:r>
          </w:p>
        </w:tc>
        <w:tc>
          <w:tcPr/>
          <w:p>
            <w:pPr>
              <w:pStyle w:val="Compact"/>
              <w:jc w:val="left"/>
            </w:pPr>
            <w:r>
              <w:t xml:space="preserve">−5,63 mmHg</w:t>
            </w:r>
          </w:p>
        </w:tc>
      </w:tr>
    </w:tbl>
    <w:p>
      <w:pPr>
        <w:pStyle w:val="BodyText"/>
      </w:pPr>
      <w:r>
        <w:t xml:space="preserve">Trois schémas traversent toutes les analyses :</w:t>
      </w:r>
    </w:p>
    <w:p>
      <w:pPr>
        <w:numPr>
          <w:ilvl w:val="0"/>
          <w:numId w:val="1298"/>
        </w:numPr>
        <w:pStyle w:val="Compact"/>
      </w:pPr>
      <w:r>
        <w:rPr>
          <w:bCs/>
          <w:b/>
        </w:rPr>
        <w:t xml:space="preserve">L’effet est faible.</w:t>
      </w:r>
      <w:r>
        <w:t xml:space="preserve"> </w:t>
      </w:r>
      <w:r>
        <w:t xml:space="preserve">Une fois les données regroupées, il se situe le plus souvent entre 1 et 4 mmHg pour la systolique – nettement moins que ce qu’obtiennent les antihypertenseurs autorisés.</w:t>
      </w:r>
    </w:p>
    <w:p>
      <w:pPr>
        <w:numPr>
          <w:ilvl w:val="0"/>
          <w:numId w:val="1298"/>
        </w:numPr>
        <w:pStyle w:val="Compact"/>
      </w:pPr>
      <w:r>
        <w:rPr>
          <w:bCs/>
          <w:b/>
        </w:rPr>
        <w:t xml:space="preserve">Les études asiatiques, surtout japonaises, montrent des effets nettement plus importants que les études européennes.</w:t>
      </w:r>
      <w:r>
        <w:t xml:space="preserve"> </w:t>
      </w:r>
      <w:r>
        <w:t xml:space="preserve">On ignore si cela tient à des différences génétiques, à l’alimentation (par exemple une consommation de sel plus élevée) ou à des différences méthodologiques.</w:t>
      </w:r>
    </w:p>
    <w:p>
      <w:pPr>
        <w:numPr>
          <w:ilvl w:val="0"/>
          <w:numId w:val="1298"/>
        </w:numPr>
        <w:pStyle w:val="Compact"/>
      </w:pPr>
      <w:r>
        <w:rPr>
          <w:bCs/>
          <w:b/>
        </w:rPr>
        <w:t xml:space="preserve">Indices d’un biais de publication.</w:t>
      </w:r>
      <w:r>
        <w:t xml:space="preserve"> </w:t>
      </w:r>
      <w:r>
        <w:t xml:space="preserve">La méta-analyse de Fekete a trouvé à la fois un biais de publication et un « effet petites études » : les petites études montraient des effets plus importants. Après correction, la baisse systolique se réduisait et la baisse diastolique n’était plus significative. Pour la pression sur 24 heures – la méthode de mesure la plus fiable –, l’effet n’était pas significatif</w:t>
      </w:r>
      <w:r>
        <w:rPr>
          <w:rStyle w:val="FootnoteReference"/>
        </w:rPr>
        <w:footnoteReference w:id="2386"/>
      </w:r>
      <w:r>
        <w:t xml:space="preserve">.</w:t>
      </w:r>
    </w:p>
    <w:p>
      <w:pPr>
        <w:pStyle w:val="FirstParagraph"/>
      </w:pPr>
      <w:r>
        <w:t xml:space="preserve">Il manque une étude montrant que les lactotripeptides préviennent les infarctus, les AVC ou les décès. Compte tenu de la faiblesse de l’effet, une telle étude n’est d’ailleurs pas à attendre.</w:t>
      </w:r>
    </w:p>
    <w:bookmarkEnd w:id="2387"/>
    <w:bookmarkEnd w:id="2388"/>
    <w:bookmarkStart w:id="2395" w:name="études-animales-et-de-laboratoire-53"/>
    <w:p>
      <w:pPr>
        <w:pStyle w:val="Heading3"/>
      </w:pPr>
      <w:r>
        <w:t xml:space="preserve">Études animales et de laboratoire</w:t>
      </w:r>
    </w:p>
    <w:p>
      <w:pPr>
        <w:pStyle w:val="FirstParagraph"/>
      </w:pPr>
      <w:r>
        <w:t xml:space="preserve">Chez des rats présentant une hypertension congénitale (rats SHR), le VPP et l’IPP ont abaissé la pression artérielle de manière dose-dépendante, mais pas chez des rats à pression normale</w:t>
      </w:r>
      <w:r>
        <w:rPr>
          <w:rStyle w:val="FootnoteReference"/>
        </w:rPr>
        <w:footnoteReference w:id="2389"/>
      </w:r>
      <w:r>
        <w:t xml:space="preserve">. En culture cellulaire, le VPP et l’IPP ont stimulé la production de monoxyde d’azote dans les cellules vasculaires à partir de concentrations supérieures à 100 nanomoles par litre, et ils ont déclenché une vasodilatation sur des aortes de rat isolées</w:t>
      </w:r>
      <w:r>
        <w:rPr>
          <w:rStyle w:val="FootnoteReference"/>
        </w:rPr>
        <w:footnoteReference w:id="2390"/>
      </w:r>
      <w:r>
        <w:t xml:space="preserve">. À titre de comparaison : dans le sang humain, moins de 1 nanomole par litre d’IPP a été mesurée après la consommation d’une boisson enrichie</w:t>
      </w:r>
      <w:r>
        <w:rPr>
          <w:rStyle w:val="FootnoteReference"/>
        </w:rPr>
        <w:footnoteReference w:id="2391"/>
      </w:r>
      <w:r>
        <w:t xml:space="preserve">. Les analyses de structure par rayons X montrent que les deux peptides se fixent de préférence sur l’un des deux sites actifs de la molécule d’ECA</w:t>
      </w:r>
      <w:r>
        <w:rPr>
          <w:rStyle w:val="FootnoteReference"/>
        </w:rPr>
        <w:footnoteReference w:id="2392"/>
      </w:r>
      <w:r>
        <w:t xml:space="preserve">. Chez le rat et le lapin, des études de toxicité – y compris des examens du développement rénal de la descendance, car les inhibiteurs de l’ECA peuvent nuire à l’enfant à naître pendant la grossesse – n’ont trouvé aucun effet indésirable aux doses les plus élevées testées</w:t>
      </w:r>
      <w:r>
        <w:rPr>
          <w:rStyle w:val="FootnoteReference"/>
        </w:rPr>
        <w:footnoteReference w:id="2393"/>
      </w:r>
      <w:r>
        <w:t xml:space="preserve">. Un hydrolysat de protéines de lait contenant de l’IPP n’était pas mutagène dans les tests de génotoxicité ; la dose la plus élevée testée dans l’essai de 90 jours chez le rat était environ 141 fois supérieure à l’apport maximal attendu</w:t>
      </w:r>
      <w:r>
        <w:rPr>
          <w:rStyle w:val="FootnoteReference"/>
        </w:rPr>
        <w:footnoteReference w:id="2394"/>
      </w:r>
      <w:r>
        <w:t xml:space="preserve">.</w:t>
      </w:r>
    </w:p>
    <w:bookmarkEnd w:id="2395"/>
    <w:bookmarkStart w:id="2397" w:name="risques-et-effets-indésirables-53"/>
    <w:p>
      <w:pPr>
        <w:pStyle w:val="Heading3"/>
      </w:pPr>
      <w:r>
        <w:t xml:space="preserve">Risques et effets indésirables</w:t>
      </w:r>
    </w:p>
    <w:p>
      <w:pPr>
        <w:pStyle w:val="FirstParagraph"/>
      </w:pPr>
      <w:r>
        <w:rPr>
          <w:bCs/>
          <w:b/>
        </w:rPr>
        <w:t xml:space="preserve">Établis :</w:t>
      </w:r>
      <w:r>
        <w:t xml:space="preserve"> </w:t>
      </w:r>
      <w:r>
        <w:t xml:space="preserve">dans les études chez l’humain, les lactotripeptides n’ont pas entraîné plus d’effets indésirables que le placebo</w:t>
      </w:r>
      <w:r>
        <w:rPr>
          <w:rStyle w:val="FootnoteReference"/>
        </w:rPr>
        <w:footnoteReference w:id="2396"/>
      </w:r>
      <w:r>
        <w:t xml:space="preserve">. Les peptides proviennent de protéines du lait consommées depuis toujours ; les quantités contenues dans les produits sont de l’ordre du milligramme.</w:t>
      </w:r>
    </w:p>
    <w:p>
      <w:pPr>
        <w:pStyle w:val="BodyText"/>
      </w:pPr>
      <w:r>
        <w:rPr>
          <w:bCs/>
          <w:b/>
        </w:rPr>
        <w:t xml:space="preserve">Théoriques ou à prendre en compte :</w:t>
      </w:r>
    </w:p>
    <w:p>
      <w:pPr>
        <w:numPr>
          <w:ilvl w:val="0"/>
          <w:numId w:val="1299"/>
        </w:numPr>
        <w:pStyle w:val="Compact"/>
      </w:pPr>
      <w:r>
        <w:rPr>
          <w:bCs/>
          <w:b/>
        </w:rPr>
        <w:t xml:space="preserve">Allergie au lait :</w:t>
      </w:r>
      <w:r>
        <w:t xml:space="preserve"> </w:t>
      </w:r>
      <w:r>
        <w:t xml:space="preserve">les produits à base de lait ou de caséine ne conviennent pas en cas d’allergie aux protéines du lait de vache.</w:t>
      </w:r>
    </w:p>
    <w:p>
      <w:pPr>
        <w:numPr>
          <w:ilvl w:val="0"/>
          <w:numId w:val="1299"/>
        </w:numPr>
        <w:pStyle w:val="Compact"/>
      </w:pPr>
      <w:r>
        <w:rPr>
          <w:bCs/>
          <w:b/>
        </w:rPr>
        <w:t xml:space="preserve">Association avec des antihypertenseurs :</w:t>
      </w:r>
      <w:r>
        <w:t xml:space="preserve"> </w:t>
      </w:r>
      <w:r>
        <w:t xml:space="preserve">un renforcement significatif est improbable vu la faiblesse de l’effet, mais il n’a pas été étudié systématiquement.</w:t>
      </w:r>
    </w:p>
    <w:p>
      <w:pPr>
        <w:numPr>
          <w:ilvl w:val="0"/>
          <w:numId w:val="1299"/>
        </w:numPr>
        <w:pStyle w:val="Compact"/>
      </w:pPr>
      <w:r>
        <w:rPr>
          <w:bCs/>
          <w:b/>
        </w:rPr>
        <w:t xml:space="preserve">Grossesse :</w:t>
      </w:r>
      <w:r>
        <w:t xml:space="preserve"> </w:t>
      </w:r>
      <w:r>
        <w:t xml:space="preserve">les inhibiteurs de l’ECA sont contre-indiqués pendant la grossesse. Pour les lactotripeptides, aucune atteinte de ce type n’a été trouvée chez l’animal ; les données chez l’humain font défaut.</w:t>
      </w:r>
    </w:p>
    <w:p>
      <w:pPr>
        <w:numPr>
          <w:ilvl w:val="0"/>
          <w:numId w:val="1299"/>
        </w:numPr>
        <w:pStyle w:val="Compact"/>
      </w:pPr>
      <w:r>
        <w:rPr>
          <w:bCs/>
          <w:b/>
        </w:rPr>
        <w:t xml:space="preserve">Le risque le plus important :</w:t>
      </w:r>
      <w:r>
        <w:t xml:space="preserve"> </w:t>
      </w:r>
      <w:r>
        <w:t xml:space="preserve">traiter une hypertension qui nécessite un traitement avec une boisson lactée au lieu de mesures efficaces, c’est renoncer à une protection contre l’infarctus et l’AVC. La perte de poids, la réduction du sel, l’activité physique et – si nécessaire – les médicaments abaissent la pression artérielle de manière démontrée et plus fortement.</w:t>
      </w:r>
    </w:p>
    <w:bookmarkEnd w:id="2397"/>
    <w:bookmarkStart w:id="2398" w:name="statut-juridique-53"/>
    <w:p>
      <w:pPr>
        <w:pStyle w:val="Heading3"/>
      </w:pPr>
      <w:r>
        <w:t xml:space="preserve">Statut juridique</w:t>
      </w:r>
    </w:p>
    <w:p>
      <w:pPr>
        <w:numPr>
          <w:ilvl w:val="0"/>
          <w:numId w:val="1300"/>
        </w:numPr>
        <w:pStyle w:val="Compact"/>
      </w:pPr>
      <w:r>
        <w:rPr>
          <w:bCs/>
          <w:b/>
        </w:rPr>
        <w:t xml:space="preserve">UE / Autriche / Allemagne :</w:t>
      </w:r>
      <w:r>
        <w:t xml:space="preserve"> </w:t>
      </w:r>
      <w:r>
        <w:t xml:space="preserve">les lactotripeptides sont des ingrédients alimentaires. Les allégations de santé relatives à la pression artérielle</w:t>
      </w:r>
      <w:r>
        <w:t xml:space="preserve"> </w:t>
      </w:r>
      <w:r>
        <w:rPr>
          <w:bCs/>
          <w:b/>
        </w:rPr>
        <w:t xml:space="preserve">ne sont pas autorisées</w:t>
      </w:r>
      <w:r>
        <w:t xml:space="preserve"> </w:t>
      </w:r>
      <w:r>
        <w:t xml:space="preserve">selon le règlement sur les allégations de santé (règlement (CE) n° 1924/2006). L’Autorité européenne de sécurité des aliments (EFSA) a examiné des demandes concernant les lactotripeptides et le maintien d’une pression artérielle normale et a conclu qu’une relation de cause à effet n’était pas suffisamment démontrée. Les études européennes contradictoires ont notamment été déterminantes. Dans l’UE, les produits ne peuvent donc pas être promus par des mentions comme « fait baisser la pression artérielle » ou « contribue au maintien d’une pression artérielle normale ».</w:t>
      </w:r>
    </w:p>
    <w:p>
      <w:pPr>
        <w:numPr>
          <w:ilvl w:val="0"/>
          <w:numId w:val="1300"/>
        </w:numPr>
        <w:pStyle w:val="Compact"/>
      </w:pPr>
      <w:r>
        <w:rPr>
          <w:bCs/>
          <w:b/>
        </w:rPr>
        <w:t xml:space="preserve">Japon :</w:t>
      </w:r>
      <w:r>
        <w:t xml:space="preserve"> </w:t>
      </w:r>
      <w:r>
        <w:t xml:space="preserve">des boissons de ce type y ont été commercialisées comme « aliments à usage de santé spécifique » (FOSHU) avec une allégation officiellement autorisée concernant la pression artérielle. Cela explique en partie pourquoi une grande partie des études provient du Japon.</w:t>
      </w:r>
    </w:p>
    <w:p>
      <w:pPr>
        <w:numPr>
          <w:ilvl w:val="0"/>
          <w:numId w:val="1300"/>
        </w:numPr>
        <w:pStyle w:val="Compact"/>
      </w:pPr>
      <w:r>
        <w:rPr>
          <w:bCs/>
          <w:b/>
        </w:rPr>
        <w:t xml:space="preserve">États-Unis :</w:t>
      </w:r>
      <w:r>
        <w:t xml:space="preserve"> </w:t>
      </w:r>
      <w:r>
        <w:t xml:space="preserve">en vente comme compléments alimentaires ; les allégations liées à des maladies sont interdites.</w:t>
      </w:r>
    </w:p>
    <w:p>
      <w:pPr>
        <w:numPr>
          <w:ilvl w:val="0"/>
          <w:numId w:val="1300"/>
        </w:numPr>
        <w:pStyle w:val="Compact"/>
      </w:pPr>
      <w:r>
        <w:rPr>
          <w:bCs/>
          <w:b/>
        </w:rPr>
        <w:t xml:space="preserve">Sport :</w:t>
      </w:r>
      <w:r>
        <w:t xml:space="preserve"> </w:t>
      </w:r>
      <w:r>
        <w:t xml:space="preserve">pas sur la liste des interdictions de la WADA (état 2026, à vérifier).</w:t>
      </w:r>
    </w:p>
    <w:bookmarkEnd w:id="2398"/>
    <w:bookmarkStart w:id="2400" w:name="études-en-cours-et-perspectives-53"/>
    <w:p>
      <w:pPr>
        <w:pStyle w:val="Heading3"/>
      </w:pPr>
      <w:r>
        <w:t xml:space="preserve">Études en cours et perspectives</w:t>
      </w:r>
    </w:p>
    <w:p>
      <w:pPr>
        <w:pStyle w:val="FirstParagraph"/>
      </w:pPr>
      <w:r>
        <w:rPr>
          <w:bCs/>
          <w:b/>
        </w:rPr>
        <w:t xml:space="preserve">Établi :</w:t>
      </w:r>
      <w:r>
        <w:t xml:space="preserve"> </w:t>
      </w:r>
      <w:r>
        <w:t xml:space="preserve">sur ClinicalTrials.gov, aucune étude en cours n’est enregistrée sous le terme « lactotripeptides ». Sous des termes apparentés, on trouve une étude terminée sur l’IPP et la fonction vasculaire dans la maladie coronarienne, portant sur 54 participants</w:t>
      </w:r>
      <w:r>
        <w:rPr>
          <w:rStyle w:val="FootnoteReference"/>
        </w:rPr>
        <w:footnoteReference w:id="2399"/>
      </w:r>
      <w:r>
        <w:t xml:space="preserve">. La recherche sur les lactotripeptides s’est nettement essoufflée depuis 2015 environ ; les travaux récents étudient surtout, de manière générale, pourquoi les personnes réagissent différemment aux peptides alimentaires.</w:t>
      </w:r>
    </w:p>
    <w:p>
      <w:pPr>
        <w:pStyle w:val="BodyText"/>
      </w:pPr>
      <w:r>
        <w:rPr>
          <w:bCs/>
          <w:b/>
        </w:rPr>
        <w:t xml:space="preserve">Appréciation :</w:t>
      </w:r>
      <w:r>
        <w:t xml:space="preserve"> </w:t>
      </w:r>
      <w:r>
        <w:t xml:space="preserve">les lactotripeptides sont un exemple d’école de la manière dont un mécanisme convaincant en laboratoire et des premières études positives peuvent se réduire dans des études plus grandes et indépendantes. Un petit effet sur la pression artérielle est possible – surtout dans les populations d’étude asiatiques –, mais il n’est pas démontré de façon convaincante pour l’Europe. Aucune renaissance n’est en vue.</w:t>
      </w:r>
    </w:p>
    <w:bookmarkEnd w:id="2400"/>
    <w:bookmarkStart w:id="2401" w:name="conclusion-53"/>
    <w:p>
      <w:pPr>
        <w:pStyle w:val="Heading3"/>
      </w:pPr>
      <w:r>
        <w:t xml:space="preserve">Conclusion</w:t>
      </w:r>
    </w:p>
    <w:p>
      <w:pPr>
        <w:pStyle w:val="FirstParagraph"/>
      </w:pPr>
      <w:r>
        <w:t xml:space="preserve">Les lactotripeptides sont deux petits peptides du lait qui inhibent en éprouvette l’ECA, une enzyme régulant la pression artérielle. Dans les premières études japonaises et finlandaises, ils ont abaissé la pression artérielle, mais pas dans plusieurs études néerlandaises plus grandes, et aucune inhibition mesurable de l’ECA n’a pu être démontrée chez l’humain. Les méta-analyses aboutissent à une baisse de la pression systolique d’environ 1 à 4 mmHg, avec des indices de biais de publication et un effet nettement plus faible en Europe. L’EFSA a refusé une allégation sur la pression artérielle. Ils sont sans danger, mais ne remplacent pas un traitement de l’hypertension.</w:t>
      </w:r>
    </w:p>
    <w:bookmarkEnd w:id="2401"/>
    <w:bookmarkEnd w:id="2402"/>
    <w:bookmarkStart w:id="2453" w:name="carnosine"/>
    <w:p>
      <w:pPr>
        <w:pStyle w:val="Heading2"/>
      </w:pPr>
      <w:r>
        <w:t xml:space="preserve">Carnosine</w:t>
      </w:r>
    </w:p>
    <w:bookmarkStart w:id="2403" w:name="fiche-signalétique-54"/>
    <w:p>
      <w:pPr>
        <w:pStyle w:val="Heading3"/>
      </w:pPr>
      <w:r>
        <w:t xml:space="preserve">Fiche signalétique</w:t>
      </w:r>
    </w:p>
    <w:p>
      <w:pPr>
        <w:numPr>
          <w:ilvl w:val="0"/>
          <w:numId w:val="1301"/>
        </w:numPr>
        <w:pStyle w:val="Compact"/>
      </w:pPr>
      <w:r>
        <w:rPr>
          <w:bCs/>
          <w:b/>
        </w:rPr>
        <w:t xml:space="preserve">Type/structure :</w:t>
      </w:r>
      <w:r>
        <w:t xml:space="preserve"> </w:t>
      </w:r>
      <w:r>
        <w:t xml:space="preserve">dipeptide composé des acides aminés bêta-alanine et histidine (β-alanyl-L-histidine). Les substances apparentées sont l’ansérine (dans la volaille et le poisson) et l’homocarnosine (dans le cerveau) ; ensemble, on les appelle dipeptides histidinés.</w:t>
      </w:r>
    </w:p>
    <w:p>
      <w:pPr>
        <w:numPr>
          <w:ilvl w:val="0"/>
          <w:numId w:val="1301"/>
        </w:numPr>
        <w:pStyle w:val="Compact"/>
      </w:pPr>
      <w:r>
        <w:rPr>
          <w:bCs/>
          <w:b/>
        </w:rPr>
        <w:t xml:space="preserve">Origine :</w:t>
      </w:r>
      <w:r>
        <w:t xml:space="preserve"> </w:t>
      </w:r>
      <w:r>
        <w:t xml:space="preserve">endogène, présente en forte concentration dans les muscles squelettiques, ainsi que dans le cœur et le cerveau. Par l’alimentation, la carnosine est surtout apportée par la viande et le poisson ; les aliments végétaux n’en contiennent pratiquement pas. Pour les compléments alimentaires, elle est produite par synthèse.</w:t>
      </w:r>
    </w:p>
    <w:p>
      <w:pPr>
        <w:numPr>
          <w:ilvl w:val="0"/>
          <w:numId w:val="1301"/>
        </w:numPr>
        <w:pStyle w:val="Compact"/>
      </w:pPr>
      <w:r>
        <w:rPr>
          <w:bCs/>
          <w:b/>
        </w:rPr>
        <w:t xml:space="preserve">Principe d’action :</w:t>
      </w:r>
      <w:r>
        <w:t xml:space="preserve"> </w:t>
      </w:r>
      <w:r>
        <w:t xml:space="preserve">tampon contre l’acidification du muscle ; en laboratoire, également piégeage de produits réactifs issus de la dégradation des sucres et des graisses (anti-glycation) et effet antioxydant.</w:t>
      </w:r>
    </w:p>
    <w:p>
      <w:pPr>
        <w:numPr>
          <w:ilvl w:val="0"/>
          <w:numId w:val="1301"/>
        </w:numPr>
        <w:pStyle w:val="Compact"/>
      </w:pPr>
      <w:r>
        <w:rPr>
          <w:bCs/>
          <w:b/>
        </w:rPr>
        <w:t xml:space="preserve">Principes actifs apparentés :</w:t>
      </w:r>
      <w:r>
        <w:t xml:space="preserve"> </w:t>
      </w:r>
      <w:r>
        <w:t xml:space="preserve">bêta-alanine (le précurseur, complément sportif répandu) ; zinc-carnosine (polaprézinc, un médicament contre l’ulcère gastrique au Japon) ; N-acétylcarnosine (dans des collyres).</w:t>
      </w:r>
    </w:p>
    <w:p>
      <w:pPr>
        <w:numPr>
          <w:ilvl w:val="0"/>
          <w:numId w:val="1301"/>
        </w:numPr>
        <w:pStyle w:val="Compact"/>
      </w:pPr>
      <w:r>
        <w:rPr>
          <w:bCs/>
          <w:b/>
        </w:rPr>
        <w:t xml:space="preserve">Autorisation UE :</w:t>
      </w:r>
      <w:r>
        <w:t xml:space="preserve"> </w:t>
      </w:r>
      <w:r>
        <w:t xml:space="preserve">pas d’autorisation comme médicament pour la carnosine ; commercialisée comme complément alimentaire. Aucune allégation de santé autorisée.</w:t>
      </w:r>
    </w:p>
    <w:p>
      <w:pPr>
        <w:numPr>
          <w:ilvl w:val="0"/>
          <w:numId w:val="1301"/>
        </w:numPr>
        <w:pStyle w:val="Compact"/>
      </w:pPr>
      <w:r>
        <w:rPr>
          <w:bCs/>
          <w:b/>
        </w:rPr>
        <w:t xml:space="preserve">Autorisation États-Unis :</w:t>
      </w:r>
      <w:r>
        <w:t xml:space="preserve"> </w:t>
      </w:r>
      <w:r>
        <w:t xml:space="preserve">pas d’autorisation comme médicament ; disponible comme complément alimentaire.</w:t>
      </w:r>
    </w:p>
    <w:p>
      <w:pPr>
        <w:numPr>
          <w:ilvl w:val="0"/>
          <w:numId w:val="1301"/>
        </w:numPr>
        <w:pStyle w:val="Compact"/>
      </w:pPr>
      <w:r>
        <w:rPr>
          <w:bCs/>
          <w:b/>
        </w:rPr>
        <w:t xml:space="preserve">AMA (WADA) :</w:t>
      </w:r>
      <w:r>
        <w:t xml:space="preserve"> </w:t>
      </w:r>
      <w:r>
        <w:t xml:space="preserve">la carnosine et la bêta-alanine ne sont pas listées.</w:t>
      </w:r>
    </w:p>
    <w:p>
      <w:pPr>
        <w:numPr>
          <w:ilvl w:val="0"/>
          <w:numId w:val="1301"/>
        </w:numPr>
        <w:pStyle w:val="Compact"/>
      </w:pPr>
      <w:r>
        <w:rPr>
          <w:bCs/>
          <w:b/>
        </w:rPr>
        <w:t xml:space="preserve">Niveau de preuve :</w:t>
      </w:r>
      <w:r>
        <w:t xml:space="preserve"> </w:t>
      </w:r>
      <w:r>
        <w:rPr>
          <w:bCs/>
          <w:b/>
        </w:rPr>
        <w:t xml:space="preserve">B</w:t>
      </w:r>
      <w:r>
        <w:t xml:space="preserve"> </w:t>
      </w:r>
      <w:r>
        <w:t xml:space="preserve">– plusieurs petites études randomisées, une étude plus grande avec près de 300 participants ; beaucoup de résultats hétérogènes.</w:t>
      </w:r>
    </w:p>
    <w:bookmarkEnd w:id="2403"/>
    <w:bookmarkStart w:id="2412" w:name="mode-daction-supposé-54"/>
    <w:p>
      <w:pPr>
        <w:pStyle w:val="Heading3"/>
      </w:pPr>
      <w:r>
        <w:t xml:space="preserve">Mode d’action supposé</w:t>
      </w:r>
    </w:p>
    <w:p>
      <w:pPr>
        <w:pStyle w:val="FirstParagraph"/>
      </w:pPr>
      <w:r>
        <w:t xml:space="preserve">Lors d’efforts brefs et très intenses – un 400 mètres ou une course d’aviron –, le muscle produit plus d’acide qu’il ne peut en évacuer. L’acidité augmente, le travail musculaire faiblit. La carnosine est l’un des tampons du muscle qui neutralisent cet acide. Chez 18 rameurs belges de haut niveau, la teneur en carnosine des muscles du mollet était étroitement liée à la vitesse sur 100 à 6 000 mètres</w:t>
      </w:r>
      <w:r>
        <w:rPr>
          <w:rStyle w:val="FootnoteReference"/>
        </w:rPr>
        <w:footnoteReference w:id="2404"/>
      </w:r>
      <w:r>
        <w:t xml:space="preserve">.</w:t>
      </w:r>
    </w:p>
    <w:p>
      <w:pPr>
        <w:pStyle w:val="BodyText"/>
      </w:pPr>
      <w:r>
        <w:t xml:space="preserve">En laboratoire, la carnosine possède en outre d’autres propriétés : elle piège des molécules réactives qui se forment en cas de glycémie élevée ou lors de la dégradation des graisses et qui peuvent endommager les protéines (phénomènes appelés glycation et peroxydation lipidique). De là découlent les hypothèses selon lesquelles la carnosine pourrait être utile dans le diabète, les atteintes vasculaires et rénales, le vieillissement cérébral ou le vieillissement cutané.</w:t>
      </w:r>
    </w:p>
    <w:bookmarkStart w:id="2407" w:name="X21c1d1c8bf43e580ac8aaf3e005ebf9eb770503"/>
    <w:p>
      <w:pPr>
        <w:pStyle w:val="Heading4"/>
      </w:pPr>
      <w:r>
        <w:t xml:space="preserve">Le problème de l’absorption : la carnosinase</w:t>
      </w:r>
    </w:p>
    <w:p>
      <w:pPr>
        <w:pStyle w:val="FirstParagraph"/>
      </w:pPr>
      <w:r>
        <w:t xml:space="preserve">Le sang humain contient une enzyme très active, la carnosinase sérique (CN1), qui scinde rapidement la carnosine en bêta-alanine et histidine. Les rongeurs ne possèdent pratiquement pas cette enzyme dans le sang – une raison importante pour laquelle les résultats des expérimentations animales ne sont transposables que de façon limitée. Dès 1991, une étude a montré qu’une partie de la carnosine avalée est certes absorbée intacte par l’intestin (jusqu’à 14 % se retrouvaient dans l’urine), mais qu’elle n’était détectable dans le sang que si la carnosinase était bloquée dans le tube de prélèvement. La quantité dans l’urine variait fortement et était d’autant plus faible que la carnosinase de la personne était active</w:t>
      </w:r>
      <w:r>
        <w:rPr>
          <w:rStyle w:val="FootnoteReference"/>
        </w:rPr>
        <w:footnoteReference w:id="2405"/>
      </w:r>
      <w:r>
        <w:t xml:space="preserve">.</w:t>
      </w:r>
    </w:p>
    <w:p>
      <w:pPr>
        <w:pStyle w:val="BodyText"/>
      </w:pPr>
      <w:r>
        <w:t xml:space="preserve">Dans la plus grande étude à ce jour, sous 2 g de carnosine par jour, les valeurs de carnosine dans les globules rouges ont environ doublé après 6 et 12 semaines, et ont été multipliées par sept environ dans l’urine</w:t>
      </w:r>
      <w:r>
        <w:rPr>
          <w:rStyle w:val="FootnoteReference"/>
        </w:rPr>
        <w:footnoteReference w:id="2406"/>
      </w:r>
      <w:r>
        <w:t xml:space="preserve">. La carnosine parvient donc dans l’organisme – mais on ignore en grande partie quelle quantité atteint les muscles, le cerveau ou les reins.</w:t>
      </w:r>
    </w:p>
    <w:bookmarkEnd w:id="2407"/>
    <w:bookmarkStart w:id="2411" w:name="Xf3bfa8adbd99883d2f65377b9baef763bf14b85"/>
    <w:p>
      <w:pPr>
        <w:pStyle w:val="Heading4"/>
      </w:pPr>
      <w:r>
        <w:t xml:space="preserve">La bêta-alanine : le détour par le précurseur</w:t>
      </w:r>
    </w:p>
    <w:p>
      <w:pPr>
        <w:pStyle w:val="FirstParagraph"/>
      </w:pPr>
      <w:r>
        <w:t xml:space="preserve">Pour le muscle, une autre voie s’est imposée. L’organisme fabrique lui-même la carnosine dans la cellule musculaire à partir de bêta-alanine et d’histidine ; la bêta-alanine est le constituant limitant. Si l’on prend de la bêta-alanine, la teneur en carnosine du muscle augmente nettement. Dans une étude précoce, quatre semaines de bêta-alanine ont augmenté la teneur en carnosine musculaire d’environ 42 à 64 % selon les estimations ; des quantités isomolaires de carnosine avaient un effet similaire</w:t>
      </w:r>
      <w:r>
        <w:rPr>
          <w:rStyle w:val="FootnoteReference"/>
        </w:rPr>
        <w:footnoteReference w:id="2408"/>
      </w:r>
      <w:r>
        <w:t xml:space="preserve">. Après l’arrêt, il a fallu 12 à 16 semaines pour que la valeur revienne au niveau initial</w:t>
      </w:r>
      <w:r>
        <w:rPr>
          <w:rStyle w:val="FootnoteReference"/>
        </w:rPr>
        <w:footnoteReference w:id="2409"/>
      </w:r>
      <w:r>
        <w:t xml:space="preserve">. Pratiquement toutes les personnes répondent à la bêta-alanine</w:t>
      </w:r>
      <w:r>
        <w:rPr>
          <w:rStyle w:val="FootnoteReference"/>
        </w:rPr>
        <w:footnoteReference w:id="2410"/>
      </w:r>
      <w:r>
        <w:t xml:space="preserve">.</w:t>
      </w:r>
    </w:p>
    <w:p>
      <w:pPr>
        <w:pStyle w:val="BodyText"/>
      </w:pPr>
      <w:r>
        <w:t xml:space="preserve">La bêta-alanine n’est pas un peptide, mais un acide aminé isolé. Elle n’est abordée ici que brièvement, parce qu’elle augmente la teneur en carnosine musculaire de façon plus fiable que la carnosine elle-même et qu’elle joue donc un rôle bien plus important dans le sport.</w:t>
      </w:r>
    </w:p>
    <w:bookmarkEnd w:id="2411"/>
    <w:bookmarkEnd w:id="2412"/>
    <w:bookmarkStart w:id="2440" w:name="études-chez-lhumain-54"/>
    <w:p>
      <w:pPr>
        <w:pStyle w:val="Heading3"/>
      </w:pPr>
      <w:r>
        <w:t xml:space="preserve">Études chez l’humain</w:t>
      </w:r>
    </w:p>
    <w:p>
      <w:pPr>
        <w:pStyle w:val="FirstParagraph"/>
      </w:pPr>
      <w:r>
        <w:t xml:space="preserve">La requête PubMed analysée pour ce livre (carnosine dans le titre, combinée à supplémentation ou administration orale, date de requête octobre 2026) a donné 57 études chez l’humain ; 53 entrées de registre figurent sur ClinicalTrials.gov. Une partie d’entre elles concerne en réalité la bêta-alanine ou la zinc-carnosine. Les études se répartissent sur de nombreux petits domaines d’application.</w:t>
      </w:r>
    </w:p>
    <w:bookmarkStart w:id="2417" w:name="sport-et-performance-physique"/>
    <w:p>
      <w:pPr>
        <w:pStyle w:val="Heading4"/>
      </w:pPr>
      <w:r>
        <w:t xml:space="preserve">Sport et performance physique</w:t>
      </w:r>
    </w:p>
    <w:p>
      <w:pPr>
        <w:pStyle w:val="FirstParagraph"/>
      </w:pPr>
      <w:r>
        <w:t xml:space="preserve">Chez les sportives et sportifs, les données sont nettement meilleures pour la</w:t>
      </w:r>
      <w:r>
        <w:t xml:space="preserve"> </w:t>
      </w:r>
      <w:r>
        <w:rPr>
          <w:bCs/>
          <w:b/>
        </w:rPr>
        <w:t xml:space="preserve">bêta-alanine</w:t>
      </w:r>
      <w:r>
        <w:t xml:space="preserve"> </w:t>
      </w:r>
      <w:r>
        <w:t xml:space="preserve">que pour la carnosine. Une méta-analyse de 40 études en double aveugle contrôlées contre placebo réunissant 1 461 participants a trouvé un petit effet global (taille d’effet 0,18). Il était le plus net pour les efforts de 0,5 à 10 minutes et pour les tests d’endurance jusqu’à épuisement, moins pour la performance en compétition</w:t>
      </w:r>
      <w:r>
        <w:rPr>
          <w:rStyle w:val="FootnoteReference"/>
        </w:rPr>
        <w:footnoteReference w:id="2413"/>
      </w:r>
      <w:r>
        <w:t xml:space="preserve">. Un exemple : chez 15 sprinteurs, la bêta-alanine a augmenté la teneur en carnosine des muscles du mollet de 37 à 47 % et atténué la fatigue lors de séries de force répétées, mais n’a pas amélioré le temps au 400 mètres</w:t>
      </w:r>
      <w:r>
        <w:rPr>
          <w:rStyle w:val="FootnoteReference"/>
        </w:rPr>
        <w:footnoteReference w:id="2414"/>
      </w:r>
      <w:r>
        <w:t xml:space="preserve">. De même, un doublement de la carnosine musculaire n’a pas amélioré le temps sur une heure chez des cyclistes</w:t>
      </w:r>
      <w:r>
        <w:rPr>
          <w:rStyle w:val="FootnoteReference"/>
        </w:rPr>
        <w:footnoteReference w:id="2415"/>
      </w:r>
      <w:r>
        <w:t xml:space="preserve"> </w:t>
      </w:r>
      <w:r>
        <w:t xml:space="preserve">– ce qui est logique, car dans les efforts d’endurance le tamponnement de l’acidité joue un rôle moindre.</w:t>
      </w:r>
    </w:p>
    <w:p>
      <w:pPr>
        <w:pStyle w:val="BodyText"/>
      </w:pPr>
      <w:r>
        <w:t xml:space="preserve">Pour la</w:t>
      </w:r>
      <w:r>
        <w:t xml:space="preserve"> </w:t>
      </w:r>
      <w:r>
        <w:rPr>
          <w:bCs/>
          <w:b/>
        </w:rPr>
        <w:t xml:space="preserve">carnosine elle-même</w:t>
      </w:r>
      <w:r>
        <w:t xml:space="preserve">, il n’existe que peu d’études de performance. Dans l’étude NEAT (Nucleophilic Defense Against PM Toxicity, NCT03314987), 299 adultes ont reçu 2 g de carnosine ou un placebo pendant douze semaines. Pour la force de préhension, la vitesse de marche et la plupart des tests, il n’y avait aucune différence ; des améliorations significatives n’apparaissaient que dans certains sous-groupes (certaines tranches d’âge et un sexe donné) pour les élévations sur la pointe des pieds et le test de la marche</w:t>
      </w:r>
      <w:r>
        <w:rPr>
          <w:rStyle w:val="FootnoteReference"/>
        </w:rPr>
        <w:footnoteReference w:id="2416"/>
      </w:r>
      <w:r>
        <w:t xml:space="preserve">. De tels résultats de sous-groupes sont sujets aux résultats dus au hasard et doivent être confirmés.</w:t>
      </w:r>
    </w:p>
    <w:bookmarkEnd w:id="2417"/>
    <w:bookmarkStart w:id="2421" w:name="diabète-et-métabolisme"/>
    <w:p>
      <w:pPr>
        <w:pStyle w:val="Heading4"/>
      </w:pPr>
      <w:r>
        <w:t xml:space="preserve">Diabète et métabolisme</w:t>
      </w:r>
    </w:p>
    <w:p>
      <w:pPr>
        <w:pStyle w:val="FirstParagraph"/>
      </w:pPr>
      <w:r>
        <w:t xml:space="preserve">C’est le domaine médical le plus étudié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de Courten 2016, PMID 27040154</w:t>
            </w:r>
          </w:p>
        </w:tc>
        <w:tc>
          <w:tcPr/>
          <w:p>
            <w:pPr>
              <w:pStyle w:val="Compact"/>
              <w:jc w:val="left"/>
            </w:pPr>
            <w:r>
              <w:t xml:space="preserve">30 adultes en surpoids sans diabète, 2 g contre placebo</w:t>
            </w:r>
          </w:p>
        </w:tc>
        <w:tc>
          <w:tcPr/>
          <w:p>
            <w:pPr>
              <w:pStyle w:val="Compact"/>
              <w:jc w:val="left"/>
            </w:pPr>
            <w:r>
              <w:t xml:space="preserve">12 semaines</w:t>
            </w:r>
          </w:p>
        </w:tc>
        <w:tc>
          <w:tcPr/>
          <w:p>
            <w:pPr>
              <w:pStyle w:val="Compact"/>
              <w:jc w:val="left"/>
            </w:pPr>
            <w:r>
              <w:t xml:space="preserve">Hausse de l’insuline à jeun et de l’insulinorésistance freinée sous carnosine (étude pilote)</w:t>
            </w:r>
          </w:p>
        </w:tc>
      </w:tr>
      <w:tr>
        <w:tc>
          <w:tcPr/>
          <w:p>
            <w:pPr>
              <w:pStyle w:val="Compact"/>
              <w:jc w:val="left"/>
            </w:pPr>
            <w:r>
              <w:t xml:space="preserve">Houjeghani 2018, PMID 29420997</w:t>
            </w:r>
          </w:p>
        </w:tc>
        <w:tc>
          <w:tcPr/>
          <w:p>
            <w:pPr>
              <w:pStyle w:val="Compact"/>
              <w:jc w:val="left"/>
            </w:pPr>
            <w:r>
              <w:t xml:space="preserve">54 personnes atteintes de diabète de type 2, 1 g contre placebo</w:t>
            </w:r>
          </w:p>
        </w:tc>
        <w:tc>
          <w:tcPr/>
          <w:p>
            <w:pPr>
              <w:pStyle w:val="Compact"/>
              <w:jc w:val="left"/>
            </w:pPr>
            <w:r>
              <w:t xml:space="preserve">12 semaines</w:t>
            </w:r>
          </w:p>
        </w:tc>
        <w:tc>
          <w:tcPr/>
          <w:p>
            <w:pPr>
              <w:pStyle w:val="Compact"/>
              <w:jc w:val="left"/>
            </w:pPr>
            <w:r>
              <w:t xml:space="preserve">Glycémie à jeun −13,1 mg/dl, HbA1c −0,6 point de pourcentage par rapport au placebo</w:t>
            </w:r>
          </w:p>
        </w:tc>
      </w:tr>
      <w:tr>
        <w:tc>
          <w:tcPr/>
          <w:p>
            <w:pPr>
              <w:pStyle w:val="Compact"/>
              <w:jc w:val="left"/>
            </w:pPr>
            <w:r>
              <w:t xml:space="preserve">Hariharan 2024, PMID 38172006</w:t>
            </w:r>
          </w:p>
        </w:tc>
        <w:tc>
          <w:tcPr/>
          <w:p>
            <w:pPr>
              <w:pStyle w:val="Compact"/>
              <w:jc w:val="left"/>
            </w:pPr>
            <w:r>
              <w:t xml:space="preserve">43 adultes prédiabétiques ou atteints de diabète de type 2, 2 g contre placebo</w:t>
            </w:r>
          </w:p>
        </w:tc>
        <w:tc>
          <w:tcPr/>
          <w:p>
            <w:pPr>
              <w:pStyle w:val="Compact"/>
              <w:jc w:val="left"/>
            </w:pPr>
            <w:r>
              <w:t xml:space="preserve">14 semaines</w:t>
            </w:r>
          </w:p>
        </w:tc>
        <w:tc>
          <w:tcPr/>
          <w:p>
            <w:pPr>
              <w:pStyle w:val="Compact"/>
              <w:jc w:val="left"/>
            </w:pPr>
            <w:r>
              <w:t xml:space="preserve">Glycémie plus basse 90 et 120 minutes après une charge en glucose ; insuline inchangée</w:t>
            </w:r>
          </w:p>
        </w:tc>
      </w:tr>
      <w:tr>
        <w:tc>
          <w:tcPr/>
          <w:p>
            <w:pPr>
              <w:pStyle w:val="Compact"/>
              <w:jc w:val="left"/>
            </w:pPr>
            <w:r>
              <w:t xml:space="preserve">Saadati 2023, PMID 38004228</w:t>
            </w:r>
          </w:p>
        </w:tc>
        <w:tc>
          <w:tcPr/>
          <w:p>
            <w:pPr>
              <w:pStyle w:val="Compact"/>
              <w:jc w:val="left"/>
            </w:pPr>
            <w:r>
              <w:t xml:space="preserve">49 adultes prédiabétiques ou atteints de diabète de type 2 bien équilibré, 2 g contre placebo</w:t>
            </w:r>
          </w:p>
        </w:tc>
        <w:tc>
          <w:tcPr/>
          <w:p>
            <w:pPr>
              <w:pStyle w:val="Compact"/>
              <w:jc w:val="left"/>
            </w:pPr>
            <w:r>
              <w:t xml:space="preserve">14 semaines</w:t>
            </w:r>
          </w:p>
        </w:tc>
        <w:tc>
          <w:tcPr/>
          <w:p>
            <w:pPr>
              <w:pStyle w:val="Compact"/>
              <w:jc w:val="left"/>
            </w:pPr>
            <w:r>
              <w:t xml:space="preserve">Aucun effet sur la fonction vasculaire, la rigidité artérielle, les lipides sanguins, la pression artérielle, les valeurs hépatiques et rénales</w:t>
            </w:r>
          </w:p>
        </w:tc>
      </w:tr>
      <w:tr>
        <w:tc>
          <w:tcPr/>
          <w:p>
            <w:pPr>
              <w:pStyle w:val="Compact"/>
              <w:jc w:val="left"/>
            </w:pPr>
            <w:r>
              <w:t xml:space="preserve">Elbarbary 2018, PMID 28744992</w:t>
            </w:r>
          </w:p>
        </w:tc>
        <w:tc>
          <w:tcPr/>
          <w:p>
            <w:pPr>
              <w:pStyle w:val="Compact"/>
              <w:jc w:val="left"/>
            </w:pPr>
            <w:r>
              <w:t xml:space="preserve">90 enfants et adolescents atteints de diabète de type 1 avec atteinte rénale, 1 g contre placebo</w:t>
            </w:r>
          </w:p>
        </w:tc>
        <w:tc>
          <w:tcPr/>
          <w:p>
            <w:pPr>
              <w:pStyle w:val="Compact"/>
              <w:jc w:val="left"/>
            </w:pPr>
            <w:r>
              <w:t xml:space="preserve">12 semaines</w:t>
            </w:r>
          </w:p>
        </w:tc>
        <w:tc>
          <w:tcPr/>
          <w:p>
            <w:pPr>
              <w:pStyle w:val="Compact"/>
              <w:jc w:val="left"/>
            </w:pPr>
            <w:r>
              <w:t xml:space="preserve">Albumine urinaire, HbA1c et marqueurs d’oxydation améliorés</w:t>
            </w:r>
          </w:p>
        </w:tc>
      </w:tr>
    </w:tbl>
    <w:p>
      <w:pPr>
        <w:pStyle w:val="BodyText"/>
      </w:pPr>
      <w:r>
        <w:t xml:space="preserve">Plusieurs méta-analyses regroupent ces études. Une analyse de quatre études réunissant 184 participants a trouvé une baisse de l’HbA1c de 0,92 point de pourcentage, mais aucun effet sur la glycémie à jeun, l’insulinorésistance ou les lipides sanguins</w:t>
      </w:r>
      <w:r>
        <w:rPr>
          <w:rStyle w:val="FootnoteReference"/>
        </w:rPr>
        <w:footnoteReference w:id="2418"/>
      </w:r>
      <w:r>
        <w:t xml:space="preserve">. Une méta-analyse bayésienne, qui considérait ensemble la carnosine et la bêta-alanine, a estimé chez l’humain une baisse de l’HbA1c de 0,91 point de pourcentage – sur la base de seulement quatre études chez l’humain</w:t>
      </w:r>
      <w:r>
        <w:rPr>
          <w:rStyle w:val="FootnoteReference"/>
        </w:rPr>
        <w:footnoteReference w:id="2419"/>
      </w:r>
      <w:r>
        <w:t xml:space="preserve">. Une méta-analyse plus récente de huit études réunissant 377 participants prédiabétiques ou atteints de diabète de type 2 a trouvé des améliorations de la glycémie à jeun et de l’HbA1c, mais pas de l’insuline ni du poids corporel</w:t>
      </w:r>
      <w:r>
        <w:rPr>
          <w:rStyle w:val="FootnoteReference"/>
        </w:rPr>
        <w:footnoteReference w:id="2420"/>
      </w:r>
      <w:r>
        <w:t xml:space="preserve">.</w:t>
      </w:r>
    </w:p>
    <w:p>
      <w:pPr>
        <w:pStyle w:val="BodyText"/>
      </w:pPr>
      <w:r>
        <w:t xml:space="preserve">Ces effets paraissent notables sur le papier, mais reposent sur une base très étroite : des études peu nombreuses, petites, courtes, souvent monocentriques, aux résultats en partie contradictoires (voir les études de 14 semaines de conception similaire de Hariharan 2024 et de Saadati 2023, dont l’une a trouvé des effets favorables sur la glycémie et l’autre aucun effet sur les vaisseaux et les paramètres métaboliques). On n’a jamais étudié si la carnosine prévient à long terme les complications du diabète.</w:t>
      </w:r>
    </w:p>
    <w:bookmarkEnd w:id="2421"/>
    <w:bookmarkStart w:id="2423" w:name="inflammation-et-stress-oxydatif"/>
    <w:p>
      <w:pPr>
        <w:pStyle w:val="Heading4"/>
      </w:pPr>
      <w:r>
        <w:t xml:space="preserve">Inflammation et stress oxydatif</w:t>
      </w:r>
    </w:p>
    <w:p>
      <w:pPr>
        <w:pStyle w:val="FirstParagraph"/>
      </w:pPr>
      <w:r>
        <w:t xml:space="preserve">Une méta-analyse de neuf études réunissant 350 participants a trouvé sous carnosine ou dipeptides histidinés des valeurs plus basses du marqueur inflammatoire CRP et du marqueur d’oxydation malondialdéhyde, mais aucune modification de plusieurs autres marqueurs</w:t>
      </w:r>
      <w:r>
        <w:rPr>
          <w:rStyle w:val="FootnoteReference"/>
        </w:rPr>
        <w:footnoteReference w:id="2422"/>
      </w:r>
      <w:r>
        <w:t xml:space="preserve">. Les valeurs de laboratoire sont toutefois des critères de substitution – on ignore s’ils s’accompagnent d’un bénéfice pour la santé.</w:t>
      </w:r>
    </w:p>
    <w:bookmarkEnd w:id="2423"/>
    <w:bookmarkStart w:id="2431" w:name="cerveau-mémoire-et-psychisme"/>
    <w:p>
      <w:pPr>
        <w:pStyle w:val="Heading4"/>
      </w:pPr>
      <w:r>
        <w:t xml:space="preserve">Cerveau, mémoire et psychisme</w:t>
      </w:r>
    </w:p>
    <w:p>
      <w:pPr>
        <w:numPr>
          <w:ilvl w:val="0"/>
          <w:numId w:val="1302"/>
        </w:numPr>
        <w:pStyle w:val="Compact"/>
      </w:pPr>
      <w:r>
        <w:rPr>
          <w:bCs/>
          <w:b/>
        </w:rPr>
        <w:t xml:space="preserve">Personnes âgées :</w:t>
      </w:r>
      <w:r>
        <w:t xml:space="preserve"> </w:t>
      </w:r>
      <w:r>
        <w:t xml:space="preserve">dans des études japonaises d’un même groupe de recherche, des personnes âgées ont reçu un mélange d’ansérine et de carnosine (3:1). Chez 39 personnes âgées en bonne santé, le rappel différé de contenus verbaux s’est mieux maintenu que sous placebo</w:t>
      </w:r>
      <w:r>
        <w:rPr>
          <w:rStyle w:val="FootnoteReference"/>
        </w:rPr>
        <w:footnoteReference w:id="2424"/>
      </w:r>
      <w:r>
        <w:t xml:space="preserve">. Chez 54 personnes présentant un trouble cognitif léger, un score global de sévérité de la démence était plus favorable sous le mélange ; la plupart des autres tests ne différaient pas</w:t>
      </w:r>
      <w:r>
        <w:rPr>
          <w:rStyle w:val="FootnoteReference"/>
        </w:rPr>
        <w:footnoteReference w:id="2425"/>
      </w:r>
      <w:r>
        <w:t xml:space="preserve">.</w:t>
      </w:r>
    </w:p>
    <w:p>
      <w:pPr>
        <w:numPr>
          <w:ilvl w:val="0"/>
          <w:numId w:val="1302"/>
        </w:numPr>
        <w:pStyle w:val="Compact"/>
      </w:pPr>
      <w:r>
        <w:rPr>
          <w:bCs/>
          <w:b/>
        </w:rPr>
        <w:t xml:space="preserve">Jeunes adultes :</w:t>
      </w:r>
      <w:r>
        <w:t xml:space="preserve"> </w:t>
      </w:r>
      <w:r>
        <w:t xml:space="preserve">dans une analyse a posteriori de l’étude NEAT, la vitesse et l’efficacité aux tests cognitifs ne se sont améliorées que dans la tranche d’âge la plus jeune (23–35 ans)</w:t>
      </w:r>
      <w:r>
        <w:rPr>
          <w:rStyle w:val="FootnoteReference"/>
        </w:rPr>
        <w:footnoteReference w:id="2426"/>
      </w:r>
      <w:r>
        <w:t xml:space="preserve">.</w:t>
      </w:r>
    </w:p>
    <w:p>
      <w:pPr>
        <w:numPr>
          <w:ilvl w:val="0"/>
          <w:numId w:val="1302"/>
        </w:numPr>
        <w:pStyle w:val="Compact"/>
      </w:pPr>
      <w:r>
        <w:rPr>
          <w:bCs/>
          <w:b/>
        </w:rPr>
        <w:t xml:space="preserve">Synthèse :</w:t>
      </w:r>
      <w:r>
        <w:t xml:space="preserve"> </w:t>
      </w:r>
      <w:r>
        <w:t xml:space="preserve">une méta-analyse de 2026 a inclus 13 études. La plupart des tests cognitifs ne montraient aucune différence avec le placebo ; les effets regroupés favorables reposaient en partie sur trois études du même groupe de recherche. Les auteurs jugent le niveau de preuve faible</w:t>
      </w:r>
      <w:r>
        <w:rPr>
          <w:rStyle w:val="FootnoteReference"/>
        </w:rPr>
        <w:footnoteReference w:id="2427"/>
      </w:r>
      <w:r>
        <w:t xml:space="preserve">. Une autre méta-analyse a trouvé une diminution des scores de dépression (fiabilité modérée), mais souligne la petite taille des études et leur risque de biais modéré à élevé</w:t>
      </w:r>
      <w:r>
        <w:rPr>
          <w:rStyle w:val="FootnoteReference"/>
        </w:rPr>
        <w:footnoteReference w:id="2428"/>
      </w:r>
      <w:r>
        <w:t xml:space="preserve">.</w:t>
      </w:r>
    </w:p>
    <w:p>
      <w:pPr>
        <w:numPr>
          <w:ilvl w:val="0"/>
          <w:numId w:val="1302"/>
        </w:numPr>
        <w:pStyle w:val="Compact"/>
      </w:pPr>
      <w:r>
        <w:rPr>
          <w:bCs/>
          <w:b/>
        </w:rPr>
        <w:t xml:space="preserve">Autisme :</w:t>
      </w:r>
      <w:r>
        <w:t xml:space="preserve"> </w:t>
      </w:r>
      <w:r>
        <w:t xml:space="preserve">une étude précoce portant sur 31 enfants a rapporté des améliorations sur une échelle comportementale</w:t>
      </w:r>
      <w:r>
        <w:rPr>
          <w:rStyle w:val="FootnoteReference"/>
        </w:rPr>
        <w:footnoteReference w:id="2429"/>
      </w:r>
      <w:r>
        <w:t xml:space="preserve">. Une étude randomisée ultérieure portant sur 63 enfants analysables n’a en revanche trouvé de différence pour aucun critère</w:t>
      </w:r>
      <w:r>
        <w:rPr>
          <w:rStyle w:val="FootnoteReference"/>
        </w:rPr>
        <w:footnoteReference w:id="2430"/>
      </w:r>
      <w:r>
        <w:t xml:space="preserve">.</w:t>
      </w:r>
    </w:p>
    <w:bookmarkEnd w:id="2431"/>
    <w:bookmarkStart w:id="2436" w:name="autres-applications-4"/>
    <w:p>
      <w:pPr>
        <w:pStyle w:val="Heading4"/>
      </w:pPr>
      <w:r>
        <w:t xml:space="preserve">Autres applications</w:t>
      </w:r>
    </w:p>
    <w:p>
      <w:pPr>
        <w:numPr>
          <w:ilvl w:val="0"/>
          <w:numId w:val="1303"/>
        </w:numPr>
        <w:pStyle w:val="Compact"/>
      </w:pPr>
      <w:r>
        <w:rPr>
          <w:bCs/>
          <w:b/>
        </w:rPr>
        <w:t xml:space="preserve">Neuropathies dues à la chimiothérapie :</w:t>
      </w:r>
      <w:r>
        <w:t xml:space="preserve"> </w:t>
      </w:r>
      <w:r>
        <w:t xml:space="preserve">dans une étude pilote randomisée portant sur 65 patientes et patients atteints d’un cancer colorectal, des neuropathies de grade 2 sont survenues moins souvent sous chimiothérapie par oxaliplatine plus carnosine (1 sur 30 contre 19 sur 31 sans carnosine)</w:t>
      </w:r>
      <w:r>
        <w:rPr>
          <w:rStyle w:val="FootnoteReference"/>
        </w:rPr>
        <w:footnoteReference w:id="2432"/>
      </w:r>
      <w:r>
        <w:t xml:space="preserve">. L’étude n’était ni en aveugle ni contrôlée contre placebo ; une confirmation est attendue.</w:t>
      </w:r>
    </w:p>
    <w:p>
      <w:pPr>
        <w:numPr>
          <w:ilvl w:val="0"/>
          <w:numId w:val="1303"/>
        </w:numPr>
        <w:pStyle w:val="Compact"/>
      </w:pPr>
      <w:r>
        <w:rPr>
          <w:bCs/>
          <w:b/>
        </w:rPr>
        <w:t xml:space="preserve">Insuffisance cardiaque :</w:t>
      </w:r>
      <w:r>
        <w:t xml:space="preserve"> </w:t>
      </w:r>
      <w:r>
        <w:t xml:space="preserve">chez 50 patientes et patients atteints d’insuffisance cardiaque sévère, la distance de marche, la consommation maximale d’oxygène et la qualité de vie se sont améliorées sous carnosine par rapport au traitement standard</w:t>
      </w:r>
      <w:r>
        <w:rPr>
          <w:rStyle w:val="FootnoteReference"/>
        </w:rPr>
        <w:footnoteReference w:id="2433"/>
      </w:r>
      <w:r>
        <w:t xml:space="preserve"> </w:t>
      </w:r>
      <w:r>
        <w:t xml:space="preserve">– là encore sans placebo.</w:t>
      </w:r>
    </w:p>
    <w:p>
      <w:pPr>
        <w:numPr>
          <w:ilvl w:val="0"/>
          <w:numId w:val="1303"/>
        </w:numPr>
        <w:pStyle w:val="Compact"/>
      </w:pPr>
      <w:r>
        <w:rPr>
          <w:bCs/>
          <w:b/>
        </w:rPr>
        <w:t xml:space="preserve">Syndrome de la guerre du Golfe :</w:t>
      </w:r>
      <w:r>
        <w:t xml:space="preserve"> </w:t>
      </w:r>
      <w:r>
        <w:t xml:space="preserve">dans une petite étude portant sur 25 vétérans, un test cognitif s’est amélioré ; la fatigue et la douleur sont restées inchangées</w:t>
      </w:r>
      <w:r>
        <w:rPr>
          <w:rStyle w:val="FootnoteReference"/>
        </w:rPr>
        <w:footnoteReference w:id="2434"/>
      </w:r>
      <w:r>
        <w:t xml:space="preserve">.</w:t>
      </w:r>
    </w:p>
    <w:p>
      <w:pPr>
        <w:numPr>
          <w:ilvl w:val="0"/>
          <w:numId w:val="1303"/>
        </w:numPr>
        <w:pStyle w:val="Compact"/>
      </w:pPr>
      <w:r>
        <w:rPr>
          <w:bCs/>
          <w:b/>
        </w:rPr>
        <w:t xml:space="preserve">Peau :</w:t>
      </w:r>
      <w:r>
        <w:t xml:space="preserve"> </w:t>
      </w:r>
      <w:r>
        <w:t xml:space="preserve">une étude utilisant une préparation de carnosine « non hydrolysable » a rapporté des améliorations cutanées ; elle émane de l’inventeur de la formulation brevetée et mêle expériences de laboratoire et essai clinique</w:t>
      </w:r>
      <w:r>
        <w:rPr>
          <w:rStyle w:val="FootnoteReference"/>
        </w:rPr>
        <w:footnoteReference w:id="2435"/>
      </w:r>
      <w:r>
        <w:t xml:space="preserve">.</w:t>
      </w:r>
    </w:p>
    <w:bookmarkEnd w:id="2436"/>
    <w:bookmarkStart w:id="2439" w:name="Xe1a43fb913dd30eca3f7ca8512a588aea7ac7e5"/>
    <w:p>
      <w:pPr>
        <w:pStyle w:val="Heading4"/>
      </w:pPr>
      <w:r>
        <w:t xml:space="preserve">Substances apparentées : zinc-carnosine et N-acétylcarnosine</w:t>
      </w:r>
    </w:p>
    <w:p>
      <w:pPr>
        <w:pStyle w:val="FirstParagraph"/>
      </w:pPr>
      <w:r>
        <w:t xml:space="preserve">La</w:t>
      </w:r>
      <w:r>
        <w:t xml:space="preserve"> </w:t>
      </w:r>
      <w:r>
        <w:rPr>
          <w:bCs/>
          <w:b/>
        </w:rPr>
        <w:t xml:space="preserve">zinc-carnosine (polaprézinc)</w:t>
      </w:r>
      <w:r>
        <w:t xml:space="preserve"> </w:t>
      </w:r>
      <w:r>
        <w:t xml:space="preserve">est un composé de zinc et de carnosine utilisé au Japon comme médicament contre l’ulcère gastrique. Dans une étude multicentrique portant sur 224 patientes et patients, elle était, après huit semaines, à peu près aussi efficace que le médicament de comparaison rébamipide (taux de cicatrisation 81,5 % contre 74,3 %, différence non significative)</w:t>
      </w:r>
      <w:r>
        <w:rPr>
          <w:rStyle w:val="FootnoteReference"/>
        </w:rPr>
        <w:footnoteReference w:id="2437"/>
      </w:r>
      <w:r>
        <w:t xml:space="preserve">. Cet effet est probablement fortement lié au zinc et ne peut pas être transposé à la carnosine pure.</w:t>
      </w:r>
    </w:p>
    <w:p>
      <w:pPr>
        <w:pStyle w:val="BodyText"/>
      </w:pPr>
      <w:r>
        <w:t xml:space="preserve">Les</w:t>
      </w:r>
      <w:r>
        <w:t xml:space="preserve"> </w:t>
      </w:r>
      <w:r>
        <w:rPr>
          <w:bCs/>
          <w:b/>
        </w:rPr>
        <w:t xml:space="preserve">collyres à la N-acétylcarnosine</w:t>
      </w:r>
      <w:r>
        <w:t xml:space="preserve"> </w:t>
      </w:r>
      <w:r>
        <w:t xml:space="preserve">sont promus sur Internet contre la cataracte. Une revue Cochrane n’a trouvé que deux études possibles réunissant 114 participants, dont la méthodologie n’était pas vérifiable, et a conclu qu’il n’existe aucune preuve convaincante que ces gouttes fassent régresser une cataracte ou en empêchent la progression</w:t>
      </w:r>
      <w:r>
        <w:rPr>
          <w:rStyle w:val="FootnoteReference"/>
        </w:rPr>
        <w:footnoteReference w:id="2438"/>
      </w:r>
      <w:r>
        <w:t xml:space="preserve">. Le seul traitement efficace reste l’opération.</w:t>
      </w:r>
    </w:p>
    <w:bookmarkEnd w:id="2439"/>
    <w:bookmarkEnd w:id="2440"/>
    <w:bookmarkStart w:id="2443" w:name="études-animales-et-de-laboratoire-54"/>
    <w:p>
      <w:pPr>
        <w:pStyle w:val="Heading3"/>
      </w:pPr>
      <w:r>
        <w:t xml:space="preserve">Études animales et de laboratoire</w:t>
      </w:r>
    </w:p>
    <w:p>
      <w:pPr>
        <w:pStyle w:val="FirstParagraph"/>
      </w:pPr>
      <w:r>
        <w:t xml:space="preserve">En culture cellulaire et chez les rongeurs, la carnosine agit comme antioxydant, inhibe la glycation des protéines et fixe des aldéhydes réactifs. Chez la souris et le rat, elle a amélioré dans de nombreuses expériences la glycémie, les atteintes rénales du diabète, la cicatrisation et la fonction vasculaire. La méta-analyse de Matthews 2021 a inclus, outre quatre études chez l’humain, 16 études chez les rongeurs et a jugé très faible la fiabilité des données animales</w:t>
      </w:r>
      <w:r>
        <w:rPr>
          <w:rStyle w:val="FootnoteReference"/>
        </w:rPr>
        <w:footnoteReference w:id="2441"/>
      </w:r>
      <w:r>
        <w:t xml:space="preserve">.</w:t>
      </w:r>
    </w:p>
    <w:p>
      <w:pPr>
        <w:pStyle w:val="BodyText"/>
      </w:pPr>
      <w:r>
        <w:t xml:space="preserve">Un problème fondamental de transposition demeure : les rongeurs ne possèdent pratiquement pas de carnosinase dans le sang. Chez des souris auxquelles on avait intégré par génie génétique l’enzyme humaine, le diabète et les atteintes rénales ont été plus sévères</w:t>
      </w:r>
      <w:r>
        <w:rPr>
          <w:rStyle w:val="FootnoteReference"/>
        </w:rPr>
        <w:footnoteReference w:id="2442"/>
      </w:r>
      <w:r>
        <w:t xml:space="preserve">. Cela suggère que cette enzyme pourrait limiter nettement chez l’humain l’effet de la carnosine apportée.</w:t>
      </w:r>
    </w:p>
    <w:bookmarkEnd w:id="2443"/>
    <w:bookmarkStart w:id="2446" w:name="risques-et-effets-indésirables-54"/>
    <w:p>
      <w:pPr>
        <w:pStyle w:val="Heading3"/>
      </w:pPr>
      <w:r>
        <w:t xml:space="preserve">Risques et effets indésirables</w:t>
      </w:r>
    </w:p>
    <w:p>
      <w:pPr>
        <w:pStyle w:val="FirstParagraph"/>
      </w:pPr>
      <w:r>
        <w:rPr>
          <w:bCs/>
          <w:b/>
        </w:rPr>
        <w:t xml:space="preserve">Établis :</w:t>
      </w:r>
      <w:r>
        <w:t xml:space="preserve"> </w:t>
      </w:r>
      <w:r>
        <w:t xml:space="preserve">dans les études menées jusqu’ici – avec des quantités quotidiennes allant jusqu’à 2 g pendant 14 semaines au maximum –, aucun effet indésirable significatif n’a été rapporté. Dans l’étude NEAT, qui comptait près de 300 participants, aucune modification des fonctions rénale, hépatique et cardiaque ni des électrolytes sanguins n’a été constatée</w:t>
      </w:r>
      <w:r>
        <w:rPr>
          <w:rStyle w:val="FootnoteReference"/>
        </w:rPr>
        <w:footnoteReference w:id="2444"/>
      </w:r>
      <w:r>
        <w:t xml:space="preserve">.</w:t>
      </w:r>
    </w:p>
    <w:p>
      <w:pPr>
        <w:pStyle w:val="BodyText"/>
      </w:pPr>
      <w:r>
        <w:rPr>
          <w:bCs/>
          <w:b/>
        </w:rPr>
        <w:t xml:space="preserve">Bêta-alanine :</w:t>
      </w:r>
      <w:r>
        <w:t xml:space="preserve"> </w:t>
      </w:r>
      <w:r>
        <w:t xml:space="preserve">le seul effet indésirable régulièrement rapporté est un picotement cutané inoffensif mais désagréable (paresthésie), le plus souvent au visage et aux mains, peu après la prise. Une évaluation des risques portant sur 101 études chez l’humain a estimé la probabilité (odds) de ce picotement environ neuf fois plus élevée sous bêta-alanine que sous placebo (odds ratio 8,9) ; les taux d’abandon ne différaient pas, et une légère hausse d’une valeur hépatique est restée dans les limites normales</w:t>
      </w:r>
      <w:r>
        <w:rPr>
          <w:rStyle w:val="FootnoteReference"/>
        </w:rPr>
        <w:footnoteReference w:id="2445"/>
      </w:r>
      <w:r>
        <w:t xml:space="preserve">.</w:t>
      </w:r>
    </w:p>
    <w:p>
      <w:pPr>
        <w:pStyle w:val="BodyText"/>
      </w:pPr>
      <w:r>
        <w:rPr>
          <w:bCs/>
          <w:b/>
        </w:rPr>
        <w:t xml:space="preserve">Théoriques ou incertains :</w:t>
      </w:r>
    </w:p>
    <w:p>
      <w:pPr>
        <w:numPr>
          <w:ilvl w:val="0"/>
          <w:numId w:val="1304"/>
        </w:numPr>
        <w:pStyle w:val="Compact"/>
      </w:pPr>
      <w:r>
        <w:t xml:space="preserve">Les données à long terme au-delà d’un an font défaut.</w:t>
      </w:r>
    </w:p>
    <w:p>
      <w:pPr>
        <w:numPr>
          <w:ilvl w:val="0"/>
          <w:numId w:val="1304"/>
        </w:numPr>
        <w:pStyle w:val="Compact"/>
      </w:pPr>
      <w:r>
        <w:t xml:space="preserve">Pour la grossesse, l’allaitement et les enfants (hormis les petites études citées), aucune donnée de sécurité n’est disponible.</w:t>
      </w:r>
    </w:p>
    <w:p>
      <w:pPr>
        <w:numPr>
          <w:ilvl w:val="0"/>
          <w:numId w:val="1304"/>
        </w:numPr>
        <w:pStyle w:val="Compact"/>
      </w:pPr>
      <w:r>
        <w:t xml:space="preserve">Avec les médicaments antidiabétiques, un renforcement de la baisse de la glycémie est envisageable, mais non démontré ; des contrôles de la glycémie et un avis médical sont judicieux.</w:t>
      </w:r>
    </w:p>
    <w:p>
      <w:pPr>
        <w:numPr>
          <w:ilvl w:val="0"/>
          <w:numId w:val="1304"/>
        </w:numPr>
        <w:pStyle w:val="Compact"/>
      </w:pPr>
      <w:r>
        <w:t xml:space="preserve">Comme pour tous les compléments alimentaires, la qualité dépend du fabricant.</w:t>
      </w:r>
    </w:p>
    <w:bookmarkEnd w:id="2446"/>
    <w:bookmarkStart w:id="2447" w:name="statut-juridique-54"/>
    <w:p>
      <w:pPr>
        <w:pStyle w:val="Heading3"/>
      </w:pPr>
      <w:r>
        <w:t xml:space="preserve">Statut juridique</w:t>
      </w:r>
    </w:p>
    <w:p>
      <w:pPr>
        <w:numPr>
          <w:ilvl w:val="0"/>
          <w:numId w:val="1305"/>
        </w:numPr>
        <w:pStyle w:val="Compact"/>
      </w:pPr>
      <w:r>
        <w:rPr>
          <w:bCs/>
          <w:b/>
        </w:rPr>
        <w:t xml:space="preserve">UE / Autriche / Allemagne :</w:t>
      </w:r>
      <w:r>
        <w:t xml:space="preserve"> </w:t>
      </w:r>
      <w:r>
        <w:t xml:space="preserve">la carnosine est commercialisée comme complément alimentaire. Il n’existe pour la carnosine aucune allégation de santé autorisée selon le règlement sur les allégations de santé (règlement (CE) n° 1924/2006) ; les allégations publicitaires comme « anti-âge » ou « protège les cellules » ne sont donc pas admises. La question de savoir si certaines préparations doivent être classées comme nouveaux aliments (novel food) peut varier d’un produit à l’autre – à vérifier. La zinc-carnosine n’est pas autorisée comme médicament dans l’UE ; il n’existe aucune autorisation de médicament pour les collyres à la N-acétylcarnosine contre la cataracte.</w:t>
      </w:r>
    </w:p>
    <w:p>
      <w:pPr>
        <w:numPr>
          <w:ilvl w:val="0"/>
          <w:numId w:val="1305"/>
        </w:numPr>
        <w:pStyle w:val="Compact"/>
      </w:pPr>
      <w:r>
        <w:rPr>
          <w:bCs/>
          <w:b/>
        </w:rPr>
        <w:t xml:space="preserve">États-Unis :</w:t>
      </w:r>
      <w:r>
        <w:t xml:space="preserve"> </w:t>
      </w:r>
      <w:r>
        <w:t xml:space="preserve">disponible comme complément alimentaire, sans autorisation comme médicament.</w:t>
      </w:r>
    </w:p>
    <w:p>
      <w:pPr>
        <w:numPr>
          <w:ilvl w:val="0"/>
          <w:numId w:val="1305"/>
        </w:numPr>
        <w:pStyle w:val="Compact"/>
      </w:pPr>
      <w:r>
        <w:rPr>
          <w:bCs/>
          <w:b/>
        </w:rPr>
        <w:t xml:space="preserve">Japon :</w:t>
      </w:r>
      <w:r>
        <w:t xml:space="preserve"> </w:t>
      </w:r>
      <w:r>
        <w:t xml:space="preserve">le polaprézinc (zinc-carnosine) est un médicament gastrique autorisé.</w:t>
      </w:r>
    </w:p>
    <w:p>
      <w:pPr>
        <w:numPr>
          <w:ilvl w:val="0"/>
          <w:numId w:val="1305"/>
        </w:numPr>
        <w:pStyle w:val="Compact"/>
      </w:pPr>
      <w:r>
        <w:rPr>
          <w:bCs/>
          <w:b/>
        </w:rPr>
        <w:t xml:space="preserve">Sport :</w:t>
      </w:r>
      <w:r>
        <w:t xml:space="preserve"> </w:t>
      </w:r>
      <w:r>
        <w:t xml:space="preserve">ni la carnosine ni la bêta-alanine ne figurent sur la liste des interdictions de la WADA (état 2026, à vérifier).</w:t>
      </w:r>
    </w:p>
    <w:bookmarkEnd w:id="2447"/>
    <w:bookmarkStart w:id="2451" w:name="études-en-cours-et-perspectives-54"/>
    <w:p>
      <w:pPr>
        <w:pStyle w:val="Heading3"/>
      </w:pPr>
      <w:r>
        <w:t xml:space="preserve">Études en cours et perspectives</w:t>
      </w:r>
    </w:p>
    <w:p>
      <w:pPr>
        <w:pStyle w:val="FirstParagraph"/>
      </w:pPr>
      <w:r>
        <w:rPr>
          <w:bCs/>
          <w:b/>
        </w:rPr>
        <w:t xml:space="preserve">Établi (études enregistrées, état octobre 2026) :</w:t>
      </w:r>
    </w:p>
    <w:p>
      <w:pPr>
        <w:numPr>
          <w:ilvl w:val="0"/>
          <w:numId w:val="1306"/>
        </w:numPr>
        <w:pStyle w:val="Compact"/>
      </w:pPr>
      <w:r>
        <w:rPr>
          <w:bCs/>
          <w:b/>
        </w:rPr>
        <w:t xml:space="preserve">Artériopathie oblitérante des membres inférieurs :</w:t>
      </w:r>
      <w:r>
        <w:t xml:space="preserve"> </w:t>
      </w:r>
      <w:r>
        <w:t xml:space="preserve">une étude de phase 1/2 prévoyant 144 participants examine la carnosine dans les troubles circulatoires des jambes</w:t>
      </w:r>
      <w:r>
        <w:rPr>
          <w:rStyle w:val="FootnoteReference"/>
        </w:rPr>
        <w:footnoteReference w:id="2448"/>
      </w:r>
      <w:r>
        <w:t xml:space="preserve"> </w:t>
      </w:r>
      <w:r>
        <w:t xml:space="preserve">; des études antérieures plus petites sur le même sujet sont terminées ou listées avec un statut inconnu.</w:t>
      </w:r>
    </w:p>
    <w:p>
      <w:pPr>
        <w:numPr>
          <w:ilvl w:val="0"/>
          <w:numId w:val="1306"/>
        </w:numPr>
        <w:pStyle w:val="Compact"/>
      </w:pPr>
      <w:r>
        <w:rPr>
          <w:bCs/>
          <w:b/>
        </w:rPr>
        <w:t xml:space="preserve">Gérothérapie :</w:t>
      </w:r>
      <w:r>
        <w:t xml:space="preserve"> </w:t>
      </w:r>
      <w:r>
        <w:t xml:space="preserve">une petite étude de phase 3 portant sur 30 participants évalue des associations de substances destinées à améliorer l’espérance de vie en bonne santé, dont la carnosine</w:t>
      </w:r>
      <w:r>
        <w:rPr>
          <w:rStyle w:val="FootnoteReference"/>
        </w:rPr>
        <w:footnoteReference w:id="2449"/>
      </w:r>
      <w:r>
        <w:t xml:space="preserve">.</w:t>
      </w:r>
    </w:p>
    <w:p>
      <w:pPr>
        <w:numPr>
          <w:ilvl w:val="0"/>
          <w:numId w:val="1306"/>
        </w:numPr>
        <w:pStyle w:val="Compact"/>
      </w:pPr>
      <w:r>
        <w:t xml:space="preserve">L’étude NEAT</w:t>
      </w:r>
      <w:r>
        <w:rPr>
          <w:rStyle w:val="FootnoteReference"/>
        </w:rPr>
        <w:footnoteReference w:id="2450"/>
      </w:r>
      <w:r>
        <w:t xml:space="preserve"> </w:t>
      </w:r>
      <w:r>
        <w:t xml:space="preserve">est terminée ; d’autres analyses sur les vaisseaux et la pollution atmosphérique sont possibles.</w:t>
      </w:r>
    </w:p>
    <w:p>
      <w:pPr>
        <w:pStyle w:val="FirstParagraph"/>
      </w:pPr>
      <w:r>
        <w:rPr>
          <w:bCs/>
          <w:b/>
        </w:rPr>
        <w:t xml:space="preserve">Appréciation :</w:t>
      </w:r>
      <w:r>
        <w:t xml:space="preserve"> </w:t>
      </w:r>
      <w:r>
        <w:t xml:space="preserve">la carnosine est biologiquement intéressante, mais les études chez l’humain sont petites et hétérogènes. Pour le sport, le précurseur bêta-alanine est la voie la mieux étayée. Pour le diabète et le vieillissement cérébral, il faudrait des études plus grandes et plus longues, avec des critères cliniques. Une piste de recherche consiste à développer des dérivés résistants à la carnosinase, qui ne sont pas immédiatement dégradés dans le sang – ils en sont toutefois encore au stade du laboratoire.</w:t>
      </w:r>
    </w:p>
    <w:bookmarkEnd w:id="2451"/>
    <w:bookmarkStart w:id="2452" w:name="conclusion-54"/>
    <w:p>
      <w:pPr>
        <w:pStyle w:val="Heading3"/>
      </w:pPr>
      <w:r>
        <w:t xml:space="preserve">Conclusion</w:t>
      </w:r>
    </w:p>
    <w:p>
      <w:pPr>
        <w:pStyle w:val="FirstParagraph"/>
      </w:pPr>
      <w:r>
        <w:t xml:space="preserve">La carnosine est un dipeptide endogène qui tamponne l’acidité dans le muscle et, en laboratoire, protège les cellules contre les produits de dégradation des sucres et des graisses. Chez l’humain, elle est rapidement dégradée dans le sang par l’enzyme carnosinase, ce qui explique pourquoi les résultats animaux ne sont transposables que de façon limitée. De petites études et des méta-analyses suggèrent une légère amélioration de la glycémie à long terme dans le diabète et des effets sur les marqueurs inflammatoires ; pour la performance, la mémoire et le vieillissement cutané, les données sont faibles ou contradictoires. Pour la performance sportive, le précurseur bêta-alanine est mieux étudié et associé à de petits avantages lors d’efforts brefs et intenses. Aux quantités étudiées, la carnosine est considérée comme bien tolérée.</w:t>
      </w:r>
    </w:p>
    <w:bookmarkEnd w:id="2452"/>
    <w:bookmarkEnd w:id="2453"/>
    <w:bookmarkStart w:id="2481" w:name="ghk-cu-peptide-de-cuivre"/>
    <w:p>
      <w:pPr>
        <w:pStyle w:val="Heading2"/>
      </w:pPr>
      <w:r>
        <w:t xml:space="preserve">GHK-Cu (peptide de cuivre)</w:t>
      </w:r>
    </w:p>
    <w:bookmarkStart w:id="2455" w:name="fiche-signalétique-55"/>
    <w:p>
      <w:pPr>
        <w:pStyle w:val="Heading3"/>
      </w:pPr>
      <w:r>
        <w:t xml:space="preserve">Fiche signalétique</w:t>
      </w:r>
    </w:p>
    <w:p>
      <w:pPr>
        <w:numPr>
          <w:ilvl w:val="0"/>
          <w:numId w:val="1307"/>
        </w:numPr>
        <w:pStyle w:val="Compact"/>
      </w:pPr>
      <w:r>
        <w:rPr>
          <w:bCs/>
          <w:b/>
        </w:rPr>
        <w:t xml:space="preserve">Type/structure :</w:t>
      </w:r>
      <w:r>
        <w:t xml:space="preserve"> </w:t>
      </w:r>
      <w:r>
        <w:t xml:space="preserve">tripeptide composé de glycine, d’histidine et de lysine (Gly-His-Lys, en abrégé GHK), qui fixe solidement un ion cuivre. Dans les listes d’ingrédients cosmétiques, il apparaît le plus souvent sous le nom</w:t>
      </w:r>
      <w:r>
        <w:t xml:space="preserve"> </w:t>
      </w:r>
      <w:r>
        <w:rPr>
          <w:iCs/>
          <w:i/>
        </w:rPr>
        <w:t xml:space="preserve">Copper Tripeptide-1</w:t>
      </w:r>
      <w:r>
        <w:t xml:space="preserve">. Une forme apparentée sans cuivre, mais avec un résidu d’acide gras, est le palmitoyl tripeptide-1 (Pal-GHK), composant du « Matrixyl 3000 ».</w:t>
      </w:r>
    </w:p>
    <w:p>
      <w:pPr>
        <w:numPr>
          <w:ilvl w:val="0"/>
          <w:numId w:val="1307"/>
        </w:numPr>
        <w:pStyle w:val="Compact"/>
      </w:pPr>
      <w:r>
        <w:rPr>
          <w:bCs/>
          <w:b/>
        </w:rPr>
        <w:t xml:space="preserve">Origine :</w:t>
      </w:r>
      <w:r>
        <w:t xml:space="preserve"> </w:t>
      </w:r>
      <w:r>
        <w:t xml:space="preserve">endogène. Le GHK a été découvert dans les années 1970 dans le plasma sanguin humain</w:t>
      </w:r>
      <w:r>
        <w:rPr>
          <w:rStyle w:val="FootnoteReference"/>
        </w:rPr>
        <w:footnoteReference w:id="2454"/>
      </w:r>
      <w:r>
        <w:t xml:space="preserve"> </w:t>
      </w:r>
      <w:r>
        <w:t xml:space="preserve">et est aussi présent dans la salive et l’urine. La séquence GHK fait partie du collagène et pourrait être libérée lors de sa dégradation. Pour les produits, il est fabriqué par synthèse.</w:t>
      </w:r>
    </w:p>
    <w:p>
      <w:pPr>
        <w:numPr>
          <w:ilvl w:val="0"/>
          <w:numId w:val="1307"/>
        </w:numPr>
        <w:pStyle w:val="Compact"/>
      </w:pPr>
      <w:r>
        <w:rPr>
          <w:bCs/>
          <w:b/>
        </w:rPr>
        <w:t xml:space="preserve">Principe d’action :</w:t>
      </w:r>
      <w:r>
        <w:t xml:space="preserve"> </w:t>
      </w:r>
      <w:r>
        <w:t xml:space="preserve">il est censé stimuler la cicatrisation et le remodelage du tissu conjonctif, notamment en transportant le cuivre dans les cellules et en stimulant la production de collagène.</w:t>
      </w:r>
    </w:p>
    <w:p>
      <w:pPr>
        <w:numPr>
          <w:ilvl w:val="0"/>
          <w:numId w:val="1307"/>
        </w:numPr>
        <w:pStyle w:val="Compact"/>
      </w:pPr>
      <w:r>
        <w:rPr>
          <w:bCs/>
          <w:b/>
        </w:rPr>
        <w:t xml:space="preserve">Utilisation :</w:t>
      </w:r>
      <w:r>
        <w:t xml:space="preserve"> </w:t>
      </w:r>
      <w:r>
        <w:t xml:space="preserve">autorisé comme ingrédient dans les cosmétiques (crèmes, sérums, soins capillaires). Par ailleurs proposé sur le marché gris comme « research peptide » à injecter.</w:t>
      </w:r>
    </w:p>
    <w:p>
      <w:pPr>
        <w:numPr>
          <w:ilvl w:val="0"/>
          <w:numId w:val="1307"/>
        </w:numPr>
        <w:pStyle w:val="Compact"/>
      </w:pPr>
      <w:r>
        <w:rPr>
          <w:bCs/>
          <w:b/>
        </w:rPr>
        <w:t xml:space="preserve">Autorisation UE :</w:t>
      </w:r>
      <w:r>
        <w:t xml:space="preserve"> </w:t>
      </w:r>
      <w:r>
        <w:t xml:space="preserve">pas d’autorisation comme médicament. Utilisable comme ingrédient cosmétique.</w:t>
      </w:r>
    </w:p>
    <w:p>
      <w:pPr>
        <w:numPr>
          <w:ilvl w:val="0"/>
          <w:numId w:val="1307"/>
        </w:numPr>
        <w:pStyle w:val="Compact"/>
      </w:pPr>
      <w:r>
        <w:rPr>
          <w:bCs/>
          <w:b/>
        </w:rPr>
        <w:t xml:space="preserve">Autorisation États-Unis :</w:t>
      </w:r>
      <w:r>
        <w:t xml:space="preserve"> </w:t>
      </w:r>
      <w:r>
        <w:t xml:space="preserve">pas d’autorisation comme médicament ; commercialisé comme ingrédient cosmétique. Des restrictions s’appliquent à la fabrication de préparations injectables en pharmacie (voir Statut juridique).</w:t>
      </w:r>
    </w:p>
    <w:p>
      <w:pPr>
        <w:numPr>
          <w:ilvl w:val="0"/>
          <w:numId w:val="1307"/>
        </w:numPr>
        <w:pStyle w:val="Compact"/>
      </w:pPr>
      <w:r>
        <w:rPr>
          <w:bCs/>
          <w:b/>
        </w:rPr>
        <w:t xml:space="preserve">AMA (WADA) :</w:t>
      </w:r>
      <w:r>
        <w:t xml:space="preserve"> </w:t>
      </w:r>
      <w:r>
        <w:t xml:space="preserve">pas listé nommément. En cas d’injection, en tant que principe actif non autorisé, la catégorie S0 (« substances non approuvées ») peut s’appliquer.</w:t>
      </w:r>
    </w:p>
    <w:p>
      <w:pPr>
        <w:numPr>
          <w:ilvl w:val="0"/>
          <w:numId w:val="1307"/>
        </w:numPr>
        <w:pStyle w:val="Compact"/>
      </w:pPr>
      <w:r>
        <w:rPr>
          <w:bCs/>
          <w:b/>
        </w:rPr>
        <w:t xml:space="preserve">Niveau de preuve :</w:t>
      </w:r>
      <w:r>
        <w:t xml:space="preserve"> </w:t>
      </w:r>
      <w:r>
        <w:rPr>
          <w:bCs/>
          <w:b/>
        </w:rPr>
        <w:t xml:space="preserve">C</w:t>
      </w:r>
      <w:r>
        <w:t xml:space="preserve"> </w:t>
      </w:r>
      <w:r>
        <w:t xml:space="preserve">– une ancienne étude randomisée sur les plaies et quelques très petites études cutanées ; pour les usages promus aujourd’hui (cosmétique anti-âge, injections), aucune donnée contrôlée solide chez l’humain.</w:t>
      </w:r>
    </w:p>
    <w:bookmarkEnd w:id="2455"/>
    <w:bookmarkStart w:id="2462" w:name="mode-daction-supposé-55"/>
    <w:p>
      <w:pPr>
        <w:pStyle w:val="Heading3"/>
      </w:pPr>
      <w:r>
        <w:t xml:space="preserve">Mode d’action supposé</w:t>
      </w:r>
    </w:p>
    <w:p>
      <w:pPr>
        <w:pStyle w:val="FirstParagraph"/>
      </w:pPr>
      <w:r>
        <w:t xml:space="preserve">Le GHK fixe le cuivre si solidement qu’il peut transporter cet oligo-élément vital dans les cellules. Le cuivre est nécessaire à plusieurs enzymes importantes pour le tissu conjonctif, par exemple la lysyl oxydase, qui relie entre elles les fibres de collagène et d’élastine. Dès 1980, un travail précoce supposait que le GHK exerce son effet sur les cellules en facilitant l’absorption du cuivre</w:t>
      </w:r>
      <w:r>
        <w:rPr>
          <w:rStyle w:val="FootnoteReference"/>
        </w:rPr>
        <w:footnoteReference w:id="2456"/>
      </w:r>
      <w:r>
        <w:t xml:space="preserve">.</w:t>
      </w:r>
    </w:p>
    <w:p>
      <w:pPr>
        <w:pStyle w:val="BodyText"/>
      </w:pPr>
      <w:r>
        <w:t xml:space="preserve">En culture cellulaire, le GHK-Cu a stimulé la production de collagène par les fibroblastes dès des concentrations extrêmement faibles ; le maximum se situait autour d’un nanomole par litre</w:t>
      </w:r>
      <w:r>
        <w:rPr>
          <w:rStyle w:val="FootnoteReference"/>
        </w:rPr>
        <w:footnoteReference w:id="2457"/>
      </w:r>
      <w:r>
        <w:t xml:space="preserve">. Le découvreur du GHK, Loren Pickart, a décrit dans plusieurs revues une multitude d’autres effets – sur la cicatrisation, la pousse des cheveux, l’inflammation, la croissance nerveuse et même sur l’activité de milliers de gènes</w:t>
      </w:r>
      <w:r>
        <w:rPr>
          <w:rStyle w:val="FootnoteReference"/>
        </w:rPr>
        <w:footnoteReference w:id="2458"/>
      </w:r>
      <w:r>
        <w:t xml:space="preserve">. Ces affirmations reposent principalement sur des expériences cellulaires et animales ainsi que sur des données d’expression génique issues de bases de données, et non sur des études chez l’humain. En outre, beaucoup de ces revues émanent de l’entourage des personnes qui ont aussi développé commercialement le GHK-Cu – un élément que tu devrais connaître pour en juger.</w:t>
      </w:r>
    </w:p>
    <w:bookmarkStart w:id="2461" w:name="le-peptide-traverse-t-il-la-peau"/>
    <w:p>
      <w:pPr>
        <w:pStyle w:val="Heading4"/>
      </w:pPr>
      <w:r>
        <w:t xml:space="preserve">Le peptide traverse-t-il la peau ?</w:t>
      </w:r>
    </w:p>
    <w:p>
      <w:pPr>
        <w:pStyle w:val="FirstParagraph"/>
      </w:pPr>
      <w:r>
        <w:t xml:space="preserve">Pour l’usage cosmétique, la question décisive est de savoir si le GHK-Cu franchit la barrière cutanée. La couche cornée de la peau est peu perméable aux molécules hydrosolubles et chargées comme le GHK. Une revue de 2025 conclut que le GHK pourrait sans doute être considéré, d’après les expériences cellulaires, comme un actif anti-rides, mais que les études cliniques sont remarquablement peu nombreuses ; la liaison au cuivre et l’ajout d’acides gras améliorent la perméabilité, et les micro-aiguilles et d’autres outils font l’objet de recherches</w:t>
      </w:r>
      <w:r>
        <w:rPr>
          <w:rStyle w:val="FootnoteReference"/>
        </w:rPr>
        <w:footnoteReference w:id="2459"/>
      </w:r>
      <w:r>
        <w:t xml:space="preserve">. Une étude chez trois volontaires a retrouvé le Pal-GHK apparenté, après application, dans toutes les strates de la couche cornée, mais seulement entre les cellules et en quantité décroissante avec la profondeur</w:t>
      </w:r>
      <w:r>
        <w:rPr>
          <w:rStyle w:val="FootnoteReference"/>
        </w:rPr>
        <w:footnoteReference w:id="2460"/>
      </w:r>
      <w:r>
        <w:t xml:space="preserve">. On ignore si des quantités suffisantes atteignent les couches profondes de la peau, où le collagène est produit.</w:t>
      </w:r>
    </w:p>
    <w:bookmarkEnd w:id="2461"/>
    <w:bookmarkEnd w:id="2462"/>
    <w:bookmarkStart w:id="2466" w:name="études-chez-lhumain-55"/>
    <w:p>
      <w:pPr>
        <w:pStyle w:val="Heading3"/>
      </w:pPr>
      <w:r>
        <w:t xml:space="preserve">Études chez l’humain</w:t>
      </w:r>
    </w:p>
    <w:p>
      <w:pPr>
        <w:pStyle w:val="FirstParagraph"/>
      </w:pPr>
      <w:r>
        <w:t xml:space="preserve">La requête PubMed analysée pour ce livre (GHK-Cu, tripeptide de cuivre ou peptide de cuivre GHK dans le titre ou le résumé, date de requête octobre 2026) n’a donné qu’</w:t>
      </w:r>
      <w:r>
        <w:rPr>
          <w:bCs/>
          <w:b/>
        </w:rPr>
        <w:t xml:space="preserve">une seule</w:t>
      </w:r>
      <w:r>
        <w:t xml:space="preserve"> </w:t>
      </w:r>
      <w:r>
        <w:t xml:space="preserve">étude chez l’humain. Sur ClinicalTrials.gov, la recherche a donné 25 entrées, dont presque toutes concernent cependant d’autres composés du cuivre (par exemple le cuivre 64 radioactif pour l’imagerie). Une seule entrée crédible étudie réellement le GHK ou le GHK-Cu ; une autre entrée portant sur un gel cicatrisant au GHK-Cu provient d’un promoteur dont les entrées de registre sont manifestement, d’après notre vérification, des entrées fictives d’exemple ou de test, et elle n’est donc pas prise en compte ici. Une recherche élargie a en outre permis de trouver l’ancienne étude sur les plaies citée plus bas ainsi que des cas isolés.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Mulder 1994, PMID 17147644</w:t>
            </w:r>
          </w:p>
        </w:tc>
        <w:tc>
          <w:tcPr/>
          <w:p>
            <w:pPr>
              <w:pStyle w:val="Compact"/>
              <w:jc w:val="left"/>
            </w:pPr>
            <w:r>
              <w:t xml:space="preserve">Personnes atteintes d’ulcères du pied diabétique, multicentrique, randomisée, évaluation en aveugle, gel de GHK-Cu contre gel excipient</w:t>
            </w:r>
          </w:p>
        </w:tc>
        <w:tc>
          <w:tcPr/>
          <w:p>
            <w:pPr>
              <w:pStyle w:val="Compact"/>
              <w:jc w:val="left"/>
            </w:pPr>
            <w:r>
              <w:t xml:space="preserve">non précisée dans le résumé</w:t>
            </w:r>
          </w:p>
        </w:tc>
        <w:tc>
          <w:tcPr/>
          <w:p>
            <w:pPr>
              <w:pStyle w:val="Compact"/>
              <w:jc w:val="left"/>
            </w:pPr>
            <w:r>
              <w:t xml:space="preserve">Réduction médiane de la surface de la plaie 98,5 % contre 60,8 % ; infections 7 % contre 34 %</w:t>
            </w:r>
          </w:p>
        </w:tc>
      </w:tr>
      <w:tr>
        <w:tc>
          <w:tcPr/>
          <w:p>
            <w:pPr>
              <w:pStyle w:val="Compact"/>
              <w:jc w:val="left"/>
            </w:pPr>
            <w:r>
              <w:t xml:space="preserve">Miller 2006, PMID 16847171</w:t>
            </w:r>
          </w:p>
        </w:tc>
        <w:tc>
          <w:tcPr/>
          <w:p>
            <w:pPr>
              <w:pStyle w:val="Compact"/>
              <w:jc w:val="left"/>
            </w:pPr>
            <w:r>
              <w:t xml:space="preserve">Soins cutanés après traitement au laser CO₂, randomisée, 13 personnes analysables</w:t>
            </w:r>
          </w:p>
        </w:tc>
        <w:tc>
          <w:tcPr/>
          <w:p>
            <w:pPr>
              <w:pStyle w:val="Compact"/>
              <w:jc w:val="left"/>
            </w:pPr>
            <w:r>
              <w:t xml:space="preserve">12 semaines</w:t>
            </w:r>
          </w:p>
        </w:tc>
        <w:tc>
          <w:tcPr/>
          <w:p>
            <w:pPr>
              <w:pStyle w:val="Compact"/>
              <w:jc w:val="left"/>
            </w:pPr>
            <w:r>
              <w:t xml:space="preserve">Aucune différence de rougeur, de rides ou de qualité de la peau selon les mesures et l’évaluation en aveugle ; satisfaction plus élevée au questionnaire</w:t>
            </w:r>
          </w:p>
        </w:tc>
      </w:tr>
      <w:tr>
        <w:tc>
          <w:tcPr/>
          <w:p>
            <w:pPr>
              <w:pStyle w:val="Compact"/>
              <w:jc w:val="left"/>
            </w:pPr>
            <w:r>
              <w:t xml:space="preserve">Byun 2016, PMID 27064823</w:t>
            </w:r>
          </w:p>
        </w:tc>
        <w:tc>
          <w:tcPr/>
          <w:p>
            <w:pPr>
              <w:pStyle w:val="Compact"/>
              <w:jc w:val="left"/>
            </w:pPr>
            <w:r>
              <w:t xml:space="preserve">1 homme, mélange de GHK-Cu, acide hyaluronique, extrait végétal, acide tranexamique et bêta-glucane avec un pulvérisateur</w:t>
            </w:r>
          </w:p>
        </w:tc>
        <w:tc>
          <w:tcPr/>
          <w:p>
            <w:pPr>
              <w:pStyle w:val="Compact"/>
              <w:jc w:val="left"/>
            </w:pPr>
            <w:r>
              <w:t xml:space="preserve">12 semaines</w:t>
            </w:r>
          </w:p>
        </w:tc>
        <w:tc>
          <w:tcPr/>
          <w:p>
            <w:pPr>
              <w:pStyle w:val="Compact"/>
              <w:jc w:val="left"/>
            </w:pPr>
            <w:r>
              <w:t xml:space="preserve">Moins de rides du contour de l’œil ; plus de collagène dans les biopsies cutanées (cas isolé, produit combiné)</w:t>
            </w:r>
          </w:p>
        </w:tc>
      </w:tr>
    </w:tbl>
    <w:p>
      <w:pPr>
        <w:pStyle w:val="BodyText"/>
      </w:pPr>
      <w:r>
        <w:rPr>
          <w:bCs/>
          <w:b/>
        </w:rPr>
        <w:t xml:space="preserve">L’étude de 1994 sur les plaies</w:t>
      </w:r>
      <w:r>
        <w:t xml:space="preserve"> </w:t>
      </w:r>
      <w:r>
        <w:t xml:space="preserve">est la seule étude contrôlée qui ait amélioré un critère cliniquement pertinent. La préparation (développée sous le nom d’Iamin) n’a toutefois pas obtenu d’autorisation comme médicament. Le résumé ne précise ni le nombre de participants ni la durée de l’étude ; des études de confirmation ultérieures sont introuvables dans PubMed.</w:t>
      </w:r>
    </w:p>
    <w:p>
      <w:pPr>
        <w:pStyle w:val="BodyText"/>
      </w:pPr>
      <w:r>
        <w:rPr>
          <w:bCs/>
          <w:b/>
        </w:rPr>
        <w:t xml:space="preserve">L’étude laser de 2006</w:t>
      </w:r>
      <w:r>
        <w:t xml:space="preserve"> </w:t>
      </w:r>
      <w:r>
        <w:t xml:space="preserve">est la seule étude randomisée à visée cosmétique recensée dans PubMed. Avec seulement 13 patientes et patients analysables, elle était trop petite pour détecter des différences de façon sûre – et elle n’en a objectivement trouvé aucune.</w:t>
      </w:r>
    </w:p>
    <w:p>
      <w:pPr>
        <w:pStyle w:val="BodyText"/>
      </w:pPr>
      <w:r>
        <w:rPr>
          <w:bCs/>
          <w:b/>
        </w:rPr>
        <w:t xml:space="preserve">Études cosmétiques :</w:t>
      </w:r>
      <w:r>
        <w:t xml:space="preserve"> </w:t>
      </w:r>
      <w:r>
        <w:t xml:space="preserve">dans des ouvrages spécialisés et des documents publicitaires sont citées des études selon lesquelles des crèmes au GHK-Cu auraient amélioré les rides, la densité et l’élasticité de la peau. Elles sont pour la plupart parues dans des revues non référencées dans PubMed, ou ne sont disponibles que sous forme de communications de congrès et de rapports de fabricants, et n’ont pas pu être vérifiées dans l’original pour ce livre. Une méta-analyse de 2026 sur les peptides oraux et topiques contre le vieillissement cutané a montré que le bénéfice sur les rides était surtout porté par les peptides pris</w:t>
      </w:r>
      <w:r>
        <w:t xml:space="preserve"> </w:t>
      </w:r>
      <w:r>
        <w:rPr>
          <w:iCs/>
          <w:i/>
        </w:rPr>
        <w:t xml:space="preserve">par voie orale</w:t>
      </w:r>
      <w:r>
        <w:t xml:space="preserve"> </w:t>
      </w:r>
      <w:r>
        <w:t xml:space="preserve">; le résumé ne présente pas de résultats spécifiques au GHK-Cu</w:t>
      </w:r>
      <w:r>
        <w:rPr>
          <w:rStyle w:val="FootnoteReference"/>
        </w:rPr>
        <w:footnoteReference w:id="2463"/>
      </w:r>
      <w:r>
        <w:t xml:space="preserve">.</w:t>
      </w:r>
    </w:p>
    <w:p>
      <w:pPr>
        <w:pStyle w:val="BodyText"/>
      </w:pPr>
      <w:r>
        <w:rPr>
          <w:bCs/>
          <w:b/>
        </w:rPr>
        <w:t xml:space="preserve">Injections :</w:t>
      </w:r>
      <w:r>
        <w:t xml:space="preserve"> </w:t>
      </w:r>
      <w:r>
        <w:t xml:space="preserve">pour le GHK-Cu injecté, il n’existe pas une seule étude contrôlée publiée chez l’humain. Une revue destinée à l’orthopédie et à la médecine du sport constate qu’aucune donnée clinique n’existe pour une utilisation dans les maladies de l’appareil locomoteur et que la posologie, la fréquence et la durée d’un traitement sont inconnues</w:t>
      </w:r>
      <w:r>
        <w:rPr>
          <w:rStyle w:val="FootnoteReference"/>
        </w:rPr>
        <w:footnoteReference w:id="2464"/>
      </w:r>
      <w:r>
        <w:t xml:space="preserve">. Une autre revue sur les peptides non autorisés en médecine du sport conclut que des données de sécurité solides chez l’humain font défaut et qu’il existe un potentiel de nuisance</w:t>
      </w:r>
      <w:r>
        <w:rPr>
          <w:rStyle w:val="FootnoteReference"/>
        </w:rPr>
        <w:footnoteReference w:id="2465"/>
      </w:r>
      <w:r>
        <w:t xml:space="preserve">.</w:t>
      </w:r>
    </w:p>
    <w:bookmarkEnd w:id="2466"/>
    <w:bookmarkStart w:id="2473" w:name="études-animales-et-de-laboratoire-55"/>
    <w:p>
      <w:pPr>
        <w:pStyle w:val="Heading3"/>
      </w:pPr>
      <w:r>
        <w:t xml:space="preserve">Études animales et de laboratoire</w:t>
      </w:r>
    </w:p>
    <w:p>
      <w:pPr>
        <w:pStyle w:val="FirstParagraph"/>
      </w:pPr>
      <w:r>
        <w:t xml:space="preserve">La littérature préclinique est abondante :</w:t>
      </w:r>
    </w:p>
    <w:p>
      <w:pPr>
        <w:numPr>
          <w:ilvl w:val="0"/>
          <w:numId w:val="1308"/>
        </w:numPr>
        <w:pStyle w:val="Compact"/>
      </w:pPr>
      <w:r>
        <w:rPr>
          <w:bCs/>
          <w:b/>
        </w:rPr>
        <w:t xml:space="preserve">Culture cellulaire :</w:t>
      </w:r>
      <w:r>
        <w:t xml:space="preserve"> </w:t>
      </w:r>
      <w:r>
        <w:t xml:space="preserve">augmentation de la production de collagène par les fibroblastes</w:t>
      </w:r>
      <w:r>
        <w:rPr>
          <w:rStyle w:val="FootnoteReference"/>
        </w:rPr>
        <w:footnoteReference w:id="2467"/>
      </w:r>
      <w:r>
        <w:t xml:space="preserve"> </w:t>
      </w:r>
      <w:r>
        <w:t xml:space="preserve">; action sur des enzymes qui construisent et dégradent le tissu conjonctif.</w:t>
      </w:r>
    </w:p>
    <w:p>
      <w:pPr>
        <w:numPr>
          <w:ilvl w:val="0"/>
          <w:numId w:val="1308"/>
        </w:numPr>
        <w:pStyle w:val="Compact"/>
      </w:pPr>
      <w:r>
        <w:rPr>
          <w:bCs/>
          <w:b/>
        </w:rPr>
        <w:t xml:space="preserve">Cicatrisation chez l’animal :</w:t>
      </w:r>
      <w:r>
        <w:t xml:space="preserve"> </w:t>
      </w:r>
      <w:r>
        <w:t xml:space="preserve">chez des rats présentant des plaies mal irriguées, la surface de la plaie a diminué de 64,5 % après 13 jours sous gel de GHK-Cu, de 45,6 % sous gel excipient et de 28,2 % sans traitement</w:t>
      </w:r>
      <w:r>
        <w:rPr>
          <w:rStyle w:val="FootnoteReference"/>
        </w:rPr>
        <w:footnoteReference w:id="2468"/>
      </w:r>
      <w:r>
        <w:t xml:space="preserve">. Chez la souris, des liposomes contenant du GHK-Cu ont favorisé la néoformation de vaisseaux dans une peau ébouillantée et raccourci le temps de cicatrisation</w:t>
      </w:r>
      <w:r>
        <w:rPr>
          <w:rStyle w:val="FootnoteReference"/>
        </w:rPr>
        <w:footnoteReference w:id="2469"/>
      </w:r>
      <w:r>
        <w:t xml:space="preserve">.</w:t>
      </w:r>
    </w:p>
    <w:p>
      <w:pPr>
        <w:numPr>
          <w:ilvl w:val="0"/>
          <w:numId w:val="1308"/>
        </w:numPr>
        <w:pStyle w:val="Compact"/>
      </w:pPr>
      <w:r>
        <w:rPr>
          <w:bCs/>
          <w:b/>
        </w:rPr>
        <w:t xml:space="preserve">Autres organes (chez l’animal) :</w:t>
      </w:r>
      <w:r>
        <w:t xml:space="preserve"> </w:t>
      </w:r>
      <w:r>
        <w:t xml:space="preserve">chez la souris, le GHK-Cu injecté dans la cavité abdominale a atténué une fibrose pulmonaire induite expérimentalement</w:t>
      </w:r>
      <w:r>
        <w:rPr>
          <w:rStyle w:val="FootnoteReference"/>
        </w:rPr>
        <w:footnoteReference w:id="2470"/>
      </w:r>
      <w:r>
        <w:t xml:space="preserve"> </w:t>
      </w:r>
      <w:r>
        <w:t xml:space="preserve">; d’autres études chez la souris décrivent des effets sur les lésions pulmonaires, l’inflammation intestinale et la faiblesse musculaire après exposition à la fumée de cigarette. Chez le rat, il n’a amélioré que transitoirement la cicatrisation après reconstruction du ligament croisé</w:t>
      </w:r>
      <w:r>
        <w:rPr>
          <w:rStyle w:val="FootnoteReference"/>
        </w:rPr>
        <w:footnoteReference w:id="2471"/>
      </w:r>
      <w:r>
        <w:t xml:space="preserve">.</w:t>
      </w:r>
    </w:p>
    <w:p>
      <w:pPr>
        <w:numPr>
          <w:ilvl w:val="0"/>
          <w:numId w:val="1308"/>
        </w:numPr>
        <w:pStyle w:val="Compact"/>
      </w:pPr>
      <w:r>
        <w:rPr>
          <w:bCs/>
          <w:b/>
        </w:rPr>
        <w:t xml:space="preserve">Cerveau (chez la souris) :</w:t>
      </w:r>
      <w:r>
        <w:t xml:space="preserve"> </w:t>
      </w:r>
      <w:r>
        <w:t xml:space="preserve">une prépublication de 2026, non encore évaluée par les pairs, a décrit chez des souris âgées de meilleures performances d’apprentissage après huit semaines d’administration par voie nasale ; après une brève administration dans la cavité abdominale, l’effet n’était que transitoire et limité aux mâles</w:t>
      </w:r>
      <w:r>
        <w:rPr>
          <w:rStyle w:val="FootnoteReference"/>
        </w:rPr>
        <w:footnoteReference w:id="2472"/>
      </w:r>
      <w:r>
        <w:t xml:space="preserve">.</w:t>
      </w:r>
    </w:p>
    <w:p>
      <w:pPr>
        <w:pStyle w:val="FirstParagraph"/>
      </w:pPr>
      <w:r>
        <w:t xml:space="preserve">Ces résultats montrent une activité biologique, mais ne sont pas directement transposables à l’humain – et encore moins aux crèmes cosmétiques dont la pénétration cutanée est incertaine.</w:t>
      </w:r>
    </w:p>
    <w:bookmarkEnd w:id="2473"/>
    <w:bookmarkStart w:id="2476" w:name="risques-et-effets-indésirables-55"/>
    <w:p>
      <w:pPr>
        <w:pStyle w:val="Heading3"/>
      </w:pPr>
      <w:r>
        <w:t xml:space="preserve">Risques et effets indésirables</w:t>
      </w:r>
    </w:p>
    <w:p>
      <w:pPr>
        <w:pStyle w:val="FirstParagraph"/>
      </w:pPr>
      <w:r>
        <w:rPr>
          <w:bCs/>
          <w:b/>
        </w:rPr>
        <w:t xml:space="preserve">Usage cosmétique (établi ou probable) :</w:t>
      </w:r>
      <w:r>
        <w:t xml:space="preserve"> </w:t>
      </w:r>
      <w:r>
        <w:t xml:space="preserve">le GHK-Cu est utilisé depuis des décennies dans les cosmétiques ; les rares études n’ont rapporté aucun effet indésirable significatif. Comme pour tout ingrédient cosmétique, des irritations cutanées et des allergies de contact sont possibles. Les sérums contenant du cuivre peuvent être chimiquement compatibles ou non avec d’autres actifs (par exemple la vitamine C ou les acides) – c’est une question de formulation.</w:t>
      </w:r>
    </w:p>
    <w:p>
      <w:pPr>
        <w:pStyle w:val="BodyText"/>
      </w:pPr>
      <w:r>
        <w:rPr>
          <w:bCs/>
          <w:b/>
        </w:rPr>
        <w:t xml:space="preserve">Injection (théorique, mais à prendre au sérieux) :</w:t>
      </w:r>
    </w:p>
    <w:p>
      <w:pPr>
        <w:numPr>
          <w:ilvl w:val="0"/>
          <w:numId w:val="1309"/>
        </w:numPr>
        <w:pStyle w:val="Compact"/>
      </w:pPr>
      <w:r>
        <w:rPr>
          <w:bCs/>
          <w:b/>
        </w:rPr>
        <w:t xml:space="preserve">Aucune donnée de sécurité :</w:t>
      </w:r>
      <w:r>
        <w:t xml:space="preserve"> </w:t>
      </w:r>
      <w:r>
        <w:t xml:space="preserve">il n’existe aucune donnée systématique sur la tolérance, la posologie ou les conséquences à long terme chez l’humain.</w:t>
      </w:r>
    </w:p>
    <w:p>
      <w:pPr>
        <w:numPr>
          <w:ilvl w:val="0"/>
          <w:numId w:val="1309"/>
        </w:numPr>
        <w:pStyle w:val="Compact"/>
      </w:pPr>
      <w:r>
        <w:rPr>
          <w:bCs/>
          <w:b/>
        </w:rPr>
        <w:t xml:space="preserve">Effets cellulaires hétérogènes :</w:t>
      </w:r>
      <w:r>
        <w:t xml:space="preserve"> </w:t>
      </w:r>
      <w:r>
        <w:t xml:space="preserve">les premiers travaux de laboratoire décrivaient déjà que le GHK peut, selon le système cellulaire, favoriser la croissance mais aussi avoir un effet toxique</w:t>
      </w:r>
      <w:r>
        <w:rPr>
          <w:rStyle w:val="FootnoteReference"/>
        </w:rPr>
        <w:footnoteReference w:id="2474"/>
      </w:r>
      <w:r>
        <w:t xml:space="preserve">.</w:t>
      </w:r>
    </w:p>
    <w:p>
      <w:pPr>
        <w:numPr>
          <w:ilvl w:val="0"/>
          <w:numId w:val="1309"/>
        </w:numPr>
        <w:pStyle w:val="Compact"/>
      </w:pPr>
      <w:r>
        <w:rPr>
          <w:bCs/>
          <w:b/>
        </w:rPr>
        <w:t xml:space="preserve">Charge en cuivre :</w:t>
      </w:r>
      <w:r>
        <w:t xml:space="preserve"> </w:t>
      </w:r>
      <w:r>
        <w:t xml:space="preserve">le cuivre est toxique à doses plus élevées. La quantité de cuivre qui reste dans l’organisme après des injections répétées n’a pas été étudiée. Les personnes atteintes de la maladie de Wilson, une maladie congénitale de surcharge en cuivre, seraient particulièrement exposées.</w:t>
      </w:r>
    </w:p>
    <w:p>
      <w:pPr>
        <w:numPr>
          <w:ilvl w:val="0"/>
          <w:numId w:val="1309"/>
        </w:numPr>
        <w:pStyle w:val="Compact"/>
      </w:pPr>
      <w:r>
        <w:rPr>
          <w:bCs/>
          <w:b/>
        </w:rPr>
        <w:t xml:space="preserve">Signaux de croissance :</w:t>
      </w:r>
      <w:r>
        <w:t xml:space="preserve"> </w:t>
      </w:r>
      <w:r>
        <w:t xml:space="preserve">chez l’animal, le GHK-Cu favorise la formation de nouveaux vaisseaux sanguins (angiogenèse). On ignore si cela représente un risque en présence de tumeurs existantes (risque théorique).</w:t>
      </w:r>
    </w:p>
    <w:p>
      <w:pPr>
        <w:numPr>
          <w:ilvl w:val="0"/>
          <w:numId w:val="1309"/>
        </w:numPr>
        <w:pStyle w:val="Compact"/>
      </w:pPr>
      <w:r>
        <w:rPr>
          <w:bCs/>
          <w:b/>
        </w:rPr>
        <w:t xml:space="preserve">Qualité du marché gris :</w:t>
      </w:r>
      <w:r>
        <w:t xml:space="preserve"> </w:t>
      </w:r>
      <w:r>
        <w:t xml:space="preserve">les « research peptides » sont fabriqués sans contrôle de qualité pharmaceutique. Des impuretés, des quantités erronées ou une contamination bactérienne sont possibles ; l’injection de produits non stériles peut provoquer des abcès et des infections. Une revue décrit ces risques pour les peptides injectables de « biohacking » en général</w:t>
      </w:r>
      <w:r>
        <w:rPr>
          <w:rStyle w:val="FootnoteReference"/>
        </w:rPr>
        <w:footnoteReference w:id="2475"/>
      </w:r>
      <w:r>
        <w:t xml:space="preserve">. La partie IV traite ce sujet en détail.</w:t>
      </w:r>
    </w:p>
    <w:bookmarkEnd w:id="2476"/>
    <w:bookmarkStart w:id="2477" w:name="statut-juridique-55"/>
    <w:p>
      <w:pPr>
        <w:pStyle w:val="Heading3"/>
      </w:pPr>
      <w:r>
        <w:t xml:space="preserve">Statut juridique</w:t>
      </w:r>
    </w:p>
    <w:p>
      <w:pPr>
        <w:numPr>
          <w:ilvl w:val="0"/>
          <w:numId w:val="1310"/>
        </w:numPr>
        <w:pStyle w:val="Compact"/>
      </w:pPr>
      <w:r>
        <w:rPr>
          <w:bCs/>
          <w:b/>
        </w:rPr>
        <w:t xml:space="preserve">UE / Autriche / Allemagne :</w:t>
      </w:r>
      <w:r>
        <w:t xml:space="preserve"> </w:t>
      </w:r>
      <w:r>
        <w:t xml:space="preserve">le GHK-Cu (Copper Tripeptide-1) peut être utilisé comme ingrédient dans les cosmétiques ; le règlement européen sur les produits cosmétiques (règlement (CE) n° 1223/2009) s’applique. Les cosmétiques ne peuvent être destinés qu’à une application sur la peau et ses annexes et ne peuvent revendiquer aucun effet médicamenteux ; selon le règlement (UE) n° 655/2013, les allégations publicitaires doivent pouvoir être justifiées. Un GHK-Cu destiné à l’injection n’est pas un cosmétique, mais un médicament non autorisé. Sa vente pour un usage chez l’humain n’est pas permise ; des étiquettes comme « réservé à la recherche » n’y changent rien.</w:t>
      </w:r>
    </w:p>
    <w:p>
      <w:pPr>
        <w:numPr>
          <w:ilvl w:val="0"/>
          <w:numId w:val="1310"/>
        </w:numPr>
        <w:pStyle w:val="Compact"/>
      </w:pPr>
      <w:r>
        <w:rPr>
          <w:bCs/>
          <w:b/>
        </w:rPr>
        <w:t xml:space="preserve">États-Unis :</w:t>
      </w:r>
      <w:r>
        <w:t xml:space="preserve"> </w:t>
      </w:r>
      <w:r>
        <w:t xml:space="preserve">autorisé dans les cosmétiques. À notre connaissance, la FDA a placé en 2023 le GHK-Cu injectable sur une liste de substances pour lesquelles elle voit d’importants problèmes de sécurité concernant leur préparation en pharmacie (compounding) ; le classement de plusieurs peptides a depuis été rediscuté.</w:t>
      </w:r>
    </w:p>
    <w:p>
      <w:pPr>
        <w:numPr>
          <w:ilvl w:val="0"/>
          <w:numId w:val="1310"/>
        </w:numPr>
        <w:pStyle w:val="Compact"/>
      </w:pPr>
      <w:r>
        <w:rPr>
          <w:bCs/>
          <w:b/>
        </w:rPr>
        <w:t xml:space="preserve">Sport :</w:t>
      </w:r>
      <w:r>
        <w:t xml:space="preserve"> </w:t>
      </w:r>
      <w:r>
        <w:t xml:space="preserve">le GHK-Cu ne figure pas nommément sur la liste de la WADA. Les crèmes cosmétiques sont considérées comme sans problème. Le GHK-Cu injecté pourrait, en tant que substance non approuvée, relever de la catégorie S0 ; en cas de doute, les athlètes devraient se renseigner auprès de leur agence nationale antidopage (état 2026, à vérifier).</w:t>
      </w:r>
    </w:p>
    <w:bookmarkEnd w:id="2477"/>
    <w:bookmarkStart w:id="2479" w:name="études-en-cours-et-perspectives-55"/>
    <w:p>
      <w:pPr>
        <w:pStyle w:val="Heading3"/>
      </w:pPr>
      <w:r>
        <w:t xml:space="preserve">Études en cours et perspectives</w:t>
      </w:r>
    </w:p>
    <w:p>
      <w:pPr>
        <w:pStyle w:val="FirstParagraph"/>
      </w:pPr>
      <w:r>
        <w:rPr>
          <w:bCs/>
          <w:b/>
        </w:rPr>
        <w:t xml:space="preserve">Établi (études enregistrées, état octobre 2026) :</w:t>
      </w:r>
    </w:p>
    <w:p>
      <w:pPr>
        <w:numPr>
          <w:ilvl w:val="0"/>
          <w:numId w:val="1311"/>
        </w:numPr>
        <w:pStyle w:val="Compact"/>
      </w:pPr>
      <w:r>
        <w:rPr>
          <w:bCs/>
          <w:b/>
        </w:rPr>
        <w:t xml:space="preserve">Patch :</w:t>
      </w:r>
      <w:r>
        <w:t xml:space="preserve"> </w:t>
      </w:r>
      <w:r>
        <w:t xml:space="preserve">une étude prévoyant 100 personnes en bonne santé doit examiner si un patch (X39) modifie les taux sanguins de GHK et de GHK-Cu ; début prévu en 2027</w:t>
      </w:r>
      <w:r>
        <w:rPr>
          <w:rStyle w:val="FootnoteReference"/>
        </w:rPr>
        <w:footnoteReference w:id="2478"/>
      </w:r>
      <w:r>
        <w:t xml:space="preserve">. Le promoteur est une entreprise qui commercialise ce patch.</w:t>
      </w:r>
    </w:p>
    <w:p>
      <w:pPr>
        <w:pStyle w:val="FirstParagraph"/>
      </w:pPr>
      <w:r>
        <w:rPr>
          <w:bCs/>
          <w:b/>
        </w:rPr>
        <w:t xml:space="preserve">Appréciation :</w:t>
      </w:r>
      <w:r>
        <w:t xml:space="preserve"> </w:t>
      </w:r>
      <w:r>
        <w:t xml:space="preserve">aucune étude sérieuse et enregistrée portant sur un critère médicalement pertinent – par exemple la cicatrisation, d’où proviennent les seules données contrôlées positives chez l’humain – n’est actuellement en vue. Pour l’usage cosmétique, il faudrait des études indépendantes, suffisamment grandes et contrôlées contre placebo, avec une crème ne contenant pas d’autres actifs. Pour les injections, aucune étude sérieuse n’est en vue ; l’intérêt est surtout alimenté par les réseaux sociaux et le marché gris.</w:t>
      </w:r>
    </w:p>
    <w:bookmarkEnd w:id="2479"/>
    <w:bookmarkStart w:id="2480" w:name="conclusion-55"/>
    <w:p>
      <w:pPr>
        <w:pStyle w:val="Heading3"/>
      </w:pPr>
      <w:r>
        <w:t xml:space="preserve">Conclusion</w:t>
      </w:r>
    </w:p>
    <w:p>
      <w:pPr>
        <w:pStyle w:val="FirstParagraph"/>
      </w:pPr>
      <w:r>
        <w:t xml:space="preserve">Le GHK-Cu est un peptide de cuivre endogène qui stimule la production de collagène en laboratoire et accélère la cicatrisation chez l’animal. Chez l’humain, il n’existe qu’une ancienne étude randomisée sur les ulcères du pied diabétique avec un résultat positif et une minuscule étude cosmétique sans effet mesurable. On ignore si le GHK-Cu des crèmes pénètre dans la peau en quantité suffisante ; les allégations publicitaires reposent surtout sur des données de laboratoire et sur des études de fabricants non vérifiées de manière indépendante. En tant qu’ingrédient cosmétique, il est légal et considéré comme bien toléré. Les injections de GHK-Cu du marché gris ne sont ni étudiées ni autorisées et comportent des risques évitables.</w:t>
      </w:r>
    </w:p>
    <w:bookmarkEnd w:id="2480"/>
    <w:bookmarkEnd w:id="2481"/>
    <w:bookmarkStart w:id="2500" w:name="palmitoyl-pentapeptide-4-matrixyl"/>
    <w:p>
      <w:pPr>
        <w:pStyle w:val="Heading2"/>
      </w:pPr>
      <w:r>
        <w:t xml:space="preserve">Palmitoyl pentapeptide-4 (Matrixyl)</w:t>
      </w:r>
    </w:p>
    <w:bookmarkStart w:id="2482" w:name="fiche-signalétique-56"/>
    <w:p>
      <w:pPr>
        <w:pStyle w:val="Heading3"/>
      </w:pPr>
      <w:r>
        <w:t xml:space="preserve">Fiche signalétique</w:t>
      </w:r>
    </w:p>
    <w:p>
      <w:pPr>
        <w:numPr>
          <w:ilvl w:val="0"/>
          <w:numId w:val="1312"/>
        </w:numPr>
        <w:pStyle w:val="Compact"/>
      </w:pPr>
      <w:r>
        <w:rPr>
          <w:bCs/>
          <w:b/>
        </w:rPr>
        <w:t xml:space="preserve">Type/structure :</w:t>
      </w:r>
      <w:r>
        <w:t xml:space="preserve"> </w:t>
      </w:r>
      <w:r>
        <w:t xml:space="preserve">pentapeptide composé de lysine, thréonine, thréonine, lysine et sérine (KTTKS), auquel est couplé un acide palmitique (un acide gras à 16 atomes de carbone). Abréviation Pal-KTTKS ; autrefois désigné comme palmitoyl pentapeptide-3. Nom commercial de la matière première : Matrixyl.</w:t>
      </w:r>
    </w:p>
    <w:p>
      <w:pPr>
        <w:numPr>
          <w:ilvl w:val="0"/>
          <w:numId w:val="1312"/>
        </w:numPr>
        <w:pStyle w:val="Compact"/>
      </w:pPr>
      <w:r>
        <w:rPr>
          <w:bCs/>
          <w:b/>
        </w:rPr>
        <w:t xml:space="preserve">Origine :</w:t>
      </w:r>
      <w:r>
        <w:t xml:space="preserve"> </w:t>
      </w:r>
      <w:r>
        <w:t xml:space="preserve">synthétique. La séquence KTTKS provient de la molécule précurseur du collagène de type I (procollagène). L’ajout de l’acide gras est censé améliorer la pénétration dans la peau.</w:t>
      </w:r>
    </w:p>
    <w:p>
      <w:pPr>
        <w:numPr>
          <w:ilvl w:val="0"/>
          <w:numId w:val="1312"/>
        </w:numPr>
        <w:pStyle w:val="Compact"/>
      </w:pPr>
      <w:r>
        <w:rPr>
          <w:bCs/>
          <w:b/>
        </w:rPr>
        <w:t xml:space="preserve">Principe d’action :</w:t>
      </w:r>
      <w:r>
        <w:t xml:space="preserve"> </w:t>
      </w:r>
      <w:r>
        <w:t xml:space="preserve">en tant que « matrikine » – un fragment de la matrice du tissu conjonctif doté d’un effet de signal –, il est censé stimuler les fibroblastes de la peau pour qu’ils produisent du collagène et d’autres composants de la matrice.</w:t>
      </w:r>
    </w:p>
    <w:p>
      <w:pPr>
        <w:numPr>
          <w:ilvl w:val="0"/>
          <w:numId w:val="1312"/>
        </w:numPr>
        <w:pStyle w:val="Compact"/>
      </w:pPr>
      <w:r>
        <w:rPr>
          <w:bCs/>
          <w:b/>
        </w:rPr>
        <w:t xml:space="preserve">Distinction :</w:t>
      </w:r>
      <w:r>
        <w:t xml:space="preserve"> </w:t>
      </w:r>
      <w:r>
        <w:t xml:space="preserve">le « Matrixyl 3000 » est un autre produit, une association de palmitoyl tripeptide-1 (Pal-GHK, voir chapitre GHK-Cu) et de palmitoyl tétrapeptide-7.</w:t>
      </w:r>
    </w:p>
    <w:p>
      <w:pPr>
        <w:numPr>
          <w:ilvl w:val="0"/>
          <w:numId w:val="1312"/>
        </w:numPr>
        <w:pStyle w:val="Compact"/>
      </w:pPr>
      <w:r>
        <w:rPr>
          <w:bCs/>
          <w:b/>
        </w:rPr>
        <w:t xml:space="preserve">Autorisation UE :</w:t>
      </w:r>
      <w:r>
        <w:t xml:space="preserve"> </w:t>
      </w:r>
      <w:r>
        <w:t xml:space="preserve">pas un médicament ; ingrédient cosmétique.</w:t>
      </w:r>
    </w:p>
    <w:p>
      <w:pPr>
        <w:numPr>
          <w:ilvl w:val="0"/>
          <w:numId w:val="1312"/>
        </w:numPr>
        <w:pStyle w:val="Compact"/>
      </w:pPr>
      <w:r>
        <w:rPr>
          <w:bCs/>
          <w:b/>
        </w:rPr>
        <w:t xml:space="preserve">Autorisation États-Unis :</w:t>
      </w:r>
      <w:r>
        <w:t xml:space="preserve"> </w:t>
      </w:r>
      <w:r>
        <w:t xml:space="preserve">pas un médicament ; ingrédient cosmétique.</w:t>
      </w:r>
    </w:p>
    <w:p>
      <w:pPr>
        <w:numPr>
          <w:ilvl w:val="0"/>
          <w:numId w:val="1312"/>
        </w:numPr>
        <w:pStyle w:val="Compact"/>
      </w:pPr>
      <w:r>
        <w:rPr>
          <w:bCs/>
          <w:b/>
        </w:rPr>
        <w:t xml:space="preserve">AMA (WADA) :</w:t>
      </w:r>
      <w:r>
        <w:t xml:space="preserve"> </w:t>
      </w:r>
      <w:r>
        <w:t xml:space="preserve">pas listé ; en tant que composant cosmétique, sans importance en droit du sport.</w:t>
      </w:r>
    </w:p>
    <w:p>
      <w:pPr>
        <w:numPr>
          <w:ilvl w:val="0"/>
          <w:numId w:val="1312"/>
        </w:numPr>
        <w:pStyle w:val="Compact"/>
      </w:pPr>
      <w:r>
        <w:rPr>
          <w:bCs/>
          <w:b/>
        </w:rPr>
        <w:t xml:space="preserve">Niveau de preuve :</w:t>
      </w:r>
      <w:r>
        <w:t xml:space="preserve"> </w:t>
      </w:r>
      <w:r>
        <w:rPr>
          <w:bCs/>
          <w:b/>
        </w:rPr>
        <w:t xml:space="preserve">B</w:t>
      </w:r>
      <w:r>
        <w:t xml:space="preserve"> </w:t>
      </w:r>
      <w:r>
        <w:t xml:space="preserve">(faible) – une étude randomisée en hémivisage assez grande de 2005 et une très petite étude randomisée ; aucune étude de confirmation indépendante.</w:t>
      </w:r>
    </w:p>
    <w:bookmarkEnd w:id="2482"/>
    <w:bookmarkStart w:id="2486" w:name="mode-daction-supposé-56"/>
    <w:p>
      <w:pPr>
        <w:pStyle w:val="Heading3"/>
      </w:pPr>
      <w:r>
        <w:t xml:space="preserve">Mode d’action supposé</w:t>
      </w:r>
    </w:p>
    <w:p>
      <w:pPr>
        <w:pStyle w:val="FirstParagraph"/>
      </w:pPr>
      <w:r>
        <w:t xml:space="preserve">Lorsque le tissu conjonctif est lésé, des enzymes décomposent le collagène et d’autres composants de la matrice en fragments. Certains de ces fragments agissent comme signal : ils indiquent aux cellules du tissu conjonctif qu’une réparation est nécessaire. Ces fragments de signalisation sont appelés matrikines.</w:t>
      </w:r>
    </w:p>
    <w:p>
      <w:pPr>
        <w:pStyle w:val="BodyText"/>
      </w:pPr>
      <w:r>
        <w:t xml:space="preserve">En 1993, un groupe de recherche a décrit que le pentapeptide KTTKS – un petit morceau de l’extrémité du procollagène de type I – augmente fortement, dans des cultures de fibroblastes, la production de collagène de types I et III ainsi que de fibronectine. KTTKS était la plus petite séquence qui déclenchait encore cet effet</w:t>
      </w:r>
      <w:r>
        <w:rPr>
          <w:rStyle w:val="FootnoteReference"/>
        </w:rPr>
        <w:footnoteReference w:id="2483"/>
      </w:r>
      <w:r>
        <w:t xml:space="preserve">. L’industrie cosmétique a repris l’idée : un peptide qui signale à la peau un « besoin de réparation » pourrait relancer la production de collagène qui diminue avec l’âge.</w:t>
      </w:r>
    </w:p>
    <w:p>
      <w:pPr>
        <w:pStyle w:val="BodyText"/>
      </w:pPr>
      <w:r>
        <w:t xml:space="preserve">Le KTTKS pur ne pénètre cependant guère dans la peau. L’ajout d’un acide gras (palmitoylation) rend la molécule plus liposoluble. En culture cellulaire, le Pal-KTTKS a stimulé de manière dépendante de la concentration la production de collagène par des fibroblastes cutanés et cornéens ; l’effet apparaissait près de la concentration à partir de laquelle les molécules s’assemblent en nanostructures en forme de rubans</w:t>
      </w:r>
      <w:r>
        <w:rPr>
          <w:rStyle w:val="FootnoteReference"/>
        </w:rPr>
        <w:footnoteReference w:id="2484"/>
      </w:r>
      <w:r>
        <w:t xml:space="preserve">.</w:t>
      </w:r>
    </w:p>
    <w:p>
      <w:pPr>
        <w:pStyle w:val="BodyText"/>
      </w:pPr>
      <w:r>
        <w:t xml:space="preserve">Reste à savoir quelle quantité de Pal-KTTKS contenu dans une crème atteint réellement le derme, où se trouvent les fibroblastes. Pour le Pal-GHK apparenté, une étude chez des volontaires a montré qu’après application, il ne se répartit qu’entre les cellules de la couche cornée et diminue avec la profondeur</w:t>
      </w:r>
      <w:r>
        <w:rPr>
          <w:rStyle w:val="FootnoteReference"/>
        </w:rPr>
        <w:footnoteReference w:id="2485"/>
      </w:r>
      <w:r>
        <w:t xml:space="preserve">. Pour le Pal-KTTKS lui-même, des mesures comparables chez l’humain font défaut dans la littérature analysée.</w:t>
      </w:r>
    </w:p>
    <w:bookmarkEnd w:id="2486"/>
    <w:bookmarkStart w:id="2489" w:name="études-chez-lhumain-56"/>
    <w:p>
      <w:pPr>
        <w:pStyle w:val="Heading3"/>
      </w:pPr>
      <w:r>
        <w:t xml:space="preserve">Études chez l’humain</w:t>
      </w:r>
    </w:p>
    <w:p>
      <w:pPr>
        <w:pStyle w:val="FirstParagraph"/>
      </w:pPr>
      <w:r>
        <w:t xml:space="preserve">La requête PubMed analysée pour ce livre (palmitoyl pentapeptide ou Matrixyl dans le titre ou le résumé, date de requête octobre 2026) n’a donné qu’</w:t>
      </w:r>
      <w:r>
        <w:rPr>
          <w:bCs/>
          <w:b/>
        </w:rPr>
        <w:t xml:space="preserve">un seul</w:t>
      </w:r>
      <w:r>
        <w:t xml:space="preserve"> </w:t>
      </w:r>
      <w:r>
        <w:t xml:space="preserve">travail classé comme étude chez l’humain ; aucune entrée de registre ne figure sur ClinicalTrials.gov. L’examen manuel a permis de trouver deux autres études contrôlées ainsi que des études portant sur des produits combinés.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Robinson 2005, PMID 18492182</w:t>
            </w:r>
          </w:p>
        </w:tc>
        <w:tc>
          <w:tcPr/>
          <w:p>
            <w:pPr>
              <w:pStyle w:val="Compact"/>
              <w:jc w:val="left"/>
            </w:pPr>
            <w:r>
              <w:t xml:space="preserve">93 femmes à peau claire (35–55 ans), crème hydratante au Pal-KTTKS sur une moitié du visage contre la même crème sans actif sur l’autre, double aveugle</w:t>
            </w:r>
          </w:p>
        </w:tc>
        <w:tc>
          <w:tcPr/>
          <w:p>
            <w:pPr>
              <w:pStyle w:val="Compact"/>
              <w:jc w:val="left"/>
            </w:pPr>
            <w:r>
              <w:t xml:space="preserve">12 semaines</w:t>
            </w:r>
          </w:p>
        </w:tc>
        <w:tc>
          <w:tcPr/>
          <w:p>
            <w:pPr>
              <w:pStyle w:val="Compact"/>
              <w:jc w:val="left"/>
            </w:pPr>
            <w:r>
              <w:t xml:space="preserve">Réduction significative des rides et ridules par rapport au côté témoin, mesurée par analyse d’images et par des spécialistes ; bonne tolérance</w:t>
            </w:r>
          </w:p>
        </w:tc>
      </w:tr>
      <w:tr>
        <w:tc>
          <w:tcPr/>
          <w:p>
            <w:pPr>
              <w:pStyle w:val="Compact"/>
              <w:jc w:val="left"/>
            </w:pPr>
            <w:r>
              <w:t xml:space="preserve">Aruan 2023, PMID 36909866</w:t>
            </w:r>
          </w:p>
        </w:tc>
        <w:tc>
          <w:tcPr/>
          <w:p>
            <w:pPr>
              <w:pStyle w:val="Compact"/>
              <w:jc w:val="left"/>
            </w:pPr>
            <w:r>
              <w:t xml:space="preserve">21 femmes indonésiennes (26–55 ans), crème au palmitoyl pentapeptide-4 contre acétyl hexapeptide-3 contre placebo, double aveugle</w:t>
            </w:r>
          </w:p>
        </w:tc>
        <w:tc>
          <w:tcPr/>
          <w:p>
            <w:pPr>
              <w:pStyle w:val="Compact"/>
              <w:jc w:val="left"/>
            </w:pPr>
            <w:r>
              <w:t xml:space="preserve">8 semaines</w:t>
            </w:r>
          </w:p>
        </w:tc>
        <w:tc>
          <w:tcPr/>
          <w:p>
            <w:pPr>
              <w:pStyle w:val="Compact"/>
              <w:jc w:val="left"/>
            </w:pPr>
            <w:r>
              <w:t xml:space="preserve">Améliorations « chez certaines participantes » ; le palmitoyl pentapeptide-4 a obtenu de meilleurs résultats que les groupes de comparaison ; aucune taille d’effet solide dans le résumé</w:t>
            </w:r>
          </w:p>
        </w:tc>
      </w:tr>
      <w:tr>
        <w:tc>
          <w:tcPr/>
          <w:p>
            <w:pPr>
              <w:pStyle w:val="Compact"/>
              <w:jc w:val="left"/>
            </w:pPr>
            <w:r>
              <w:t xml:space="preserve">Röper 2004, PMID 15127162</w:t>
            </w:r>
          </w:p>
        </w:tc>
        <w:tc>
          <w:tcPr/>
          <w:p>
            <w:pPr>
              <w:pStyle w:val="Compact"/>
              <w:jc w:val="left"/>
            </w:pPr>
            <w:r>
              <w:t xml:space="preserve">20 femmes atteintes d’un cancer du sein sous radiothérapie, crème au Matrixyl et à d’autres actifs contre lotion au dexpanthénol</w:t>
            </w:r>
          </w:p>
        </w:tc>
        <w:tc>
          <w:tcPr/>
          <w:p>
            <w:pPr>
              <w:pStyle w:val="Compact"/>
              <w:jc w:val="left"/>
            </w:pPr>
            <w:r>
              <w:t xml:space="preserve">durée du traitement</w:t>
            </w:r>
          </w:p>
        </w:tc>
        <w:tc>
          <w:tcPr/>
          <w:p>
            <w:pPr>
              <w:pStyle w:val="Compact"/>
              <w:jc w:val="left"/>
            </w:pPr>
            <w:r>
              <w:t xml:space="preserve">Aucun avantage pour les réactions cutanées ; démangeaisons plus fréquentes, une suspicion de réaction allergique uniquement dans le groupe Matrixyl</w:t>
            </w:r>
          </w:p>
        </w:tc>
      </w:tr>
    </w:tbl>
    <w:p>
      <w:pPr>
        <w:pStyle w:val="BodyText"/>
      </w:pPr>
      <w:r>
        <w:rPr>
          <w:bCs/>
          <w:b/>
        </w:rPr>
        <w:t xml:space="preserve">Robinson 2005</w:t>
      </w:r>
      <w:r>
        <w:t xml:space="preserve"> </w:t>
      </w:r>
      <w:r>
        <w:t xml:space="preserve">est l’étude centrale. Le protocole en hémivisage est astucieux, car chaque participante est son propre témoin. La concentration dans le produit était de 3 ppm (parties par million). Limites : le résumé ne donne aucune taille d’effet ; l’étude a été publiée dans une revue spécialisée en cosmétique et n’a jamais été reproduite de manière indépendante. Seules des femmes à peau claire présentant un photovieillissement ont été étudiées ; on ignore si les résultats sont transposables à d’autres types de peau.</w:t>
      </w:r>
    </w:p>
    <w:p>
      <w:pPr>
        <w:pStyle w:val="BodyText"/>
      </w:pPr>
      <w:r>
        <w:rPr>
          <w:bCs/>
          <w:b/>
        </w:rPr>
        <w:t xml:space="preserve">Aruan 2023</w:t>
      </w:r>
      <w:r>
        <w:t xml:space="preserve">, avec 21 participantes réparties en trois groupes, était trop petite pour permettre des conclusions fiables ; les auteurs la qualifient eux-mêmes de point de départ pour des études plus grandes.</w:t>
      </w:r>
    </w:p>
    <w:p>
      <w:pPr>
        <w:pStyle w:val="BodyText"/>
      </w:pPr>
      <w:r>
        <w:rPr>
          <w:bCs/>
          <w:b/>
        </w:rPr>
        <w:t xml:space="preserve">Röper 2004</w:t>
      </w:r>
      <w:r>
        <w:t xml:space="preserve"> </w:t>
      </w:r>
      <w:r>
        <w:t xml:space="preserve">a évalué un produit combiné dans un contexte médical et n’a trouvé aucun bénéfice.</w:t>
      </w:r>
    </w:p>
    <w:p>
      <w:pPr>
        <w:pStyle w:val="BodyText"/>
      </w:pPr>
      <w:r>
        <w:rPr>
          <w:bCs/>
          <w:b/>
        </w:rPr>
        <w:t xml:space="preserve">Produits combinés :</w:t>
      </w:r>
      <w:r>
        <w:t xml:space="preserve"> </w:t>
      </w:r>
      <w:r>
        <w:t xml:space="preserve">dans deux études en hémivisage portant sur 42 et 35 femmes, des produits de soin contenant du Pal-KTTKS associé à de la niacinamide, un autre peptide, de la carnosine et, pour certains, du propionate de rétinyle ont amélioré la douceur de la peau du contour de l’œil par rapport à une peau non traitée</w:t>
      </w:r>
      <w:r>
        <w:rPr>
          <w:rStyle w:val="FootnoteReference"/>
        </w:rPr>
        <w:footnoteReference w:id="2487"/>
      </w:r>
      <w:r>
        <w:t xml:space="preserve">. Comme plusieurs actifs ont été testés simultanément et comparés à « aucun traitement », l’effet ne peut pas être attribué au peptide.</w:t>
      </w:r>
    </w:p>
    <w:p>
      <w:pPr>
        <w:pStyle w:val="BodyText"/>
      </w:pPr>
      <w:r>
        <w:rPr>
          <w:bCs/>
          <w:b/>
        </w:rPr>
        <w:t xml:space="preserve">Méta-analyse :</w:t>
      </w:r>
      <w:r>
        <w:t xml:space="preserve"> </w:t>
      </w:r>
      <w:r>
        <w:t xml:space="preserve">une méta-analyse sur les peptides oraux et topiques contre le vieillissement cutané (19 études, 1 341 participants) a trouvé un effet global modeste sur les rides, porté surtout par les peptides pris par voie orale</w:t>
      </w:r>
      <w:r>
        <w:rPr>
          <w:rStyle w:val="FootnoteReference"/>
        </w:rPr>
        <w:footnoteReference w:id="2488"/>
      </w:r>
      <w:r>
        <w:t xml:space="preserve">. Pour les peptides appliqués localement comme le Pal-KTTKS, il n’en découle aucune preuve propre.</w:t>
      </w:r>
    </w:p>
    <w:bookmarkEnd w:id="2489"/>
    <w:bookmarkStart w:id="2493" w:name="études-animales-et-de-laboratoire-56"/>
    <w:p>
      <w:pPr>
        <w:pStyle w:val="Heading3"/>
      </w:pPr>
      <w:r>
        <w:t xml:space="preserve">Études animales et de laboratoire</w:t>
      </w:r>
    </w:p>
    <w:p>
      <w:pPr>
        <w:numPr>
          <w:ilvl w:val="0"/>
          <w:numId w:val="1313"/>
        </w:numPr>
        <w:pStyle w:val="Compact"/>
      </w:pPr>
      <w:r>
        <w:rPr>
          <w:bCs/>
          <w:b/>
        </w:rPr>
        <w:t xml:space="preserve">Culture cellulaire :</w:t>
      </w:r>
      <w:r>
        <w:t xml:space="preserve"> </w:t>
      </w:r>
      <w:r>
        <w:t xml:space="preserve">le KTTKS et le Pal-KTTKS augmentent la production de collagène et de fibronectine par les fibroblastes</w:t>
      </w:r>
      <w:r>
        <w:rPr>
          <w:rStyle w:val="FootnoteReference"/>
        </w:rPr>
        <w:footnoteReference w:id="2490"/>
      </w:r>
      <w:r>
        <w:t xml:space="preserve">. Dans une autre étude cellulaire, le Pal-KTTKS à faible concentration a réduit la transformation des fibroblastes en myofibroblastes cicatriciels ; à concentration plus élevée, l’effet n’était pas significatif</w:t>
      </w:r>
      <w:r>
        <w:rPr>
          <w:rStyle w:val="FootnoteReference"/>
        </w:rPr>
        <w:footnoteReference w:id="2491"/>
      </w:r>
      <w:r>
        <w:t xml:space="preserve">.</w:t>
      </w:r>
    </w:p>
    <w:p>
      <w:pPr>
        <w:numPr>
          <w:ilvl w:val="0"/>
          <w:numId w:val="1313"/>
        </w:numPr>
        <w:pStyle w:val="Compact"/>
      </w:pPr>
      <w:r>
        <w:rPr>
          <w:bCs/>
          <w:b/>
        </w:rPr>
        <w:t xml:space="preserve">Expérimentations animales :</w:t>
      </w:r>
      <w:r>
        <w:t xml:space="preserve"> </w:t>
      </w:r>
      <w:r>
        <w:t xml:space="preserve">chez des animaux de laboratoire, des pansements et des crèmes au Matrixyl ont amélioré la cicatrisation de plaies cutanées par rapport à des témoins non traités</w:t>
      </w:r>
      <w:r>
        <w:rPr>
          <w:rStyle w:val="FootnoteReference"/>
        </w:rPr>
        <w:footnoteReference w:id="2492"/>
      </w:r>
      <w:r>
        <w:t xml:space="preserve">.</w:t>
      </w:r>
    </w:p>
    <w:p>
      <w:pPr>
        <w:numPr>
          <w:ilvl w:val="0"/>
          <w:numId w:val="1313"/>
        </w:numPr>
        <w:pStyle w:val="Compact"/>
      </w:pPr>
      <w:r>
        <w:rPr>
          <w:bCs/>
          <w:b/>
        </w:rPr>
        <w:t xml:space="preserve">Nouveaux dérivés :</w:t>
      </w:r>
      <w:r>
        <w:t xml:space="preserve"> </w:t>
      </w:r>
      <w:r>
        <w:t xml:space="preserve">des groupes de recherche couplent le KTTKS à d’autres molécules afin de créer des variantes antibactériennes ou stimulant plus fortement le collagène – jusqu’à présent exclusivement en laboratoire.</w:t>
      </w:r>
    </w:p>
    <w:bookmarkEnd w:id="2493"/>
    <w:bookmarkStart w:id="2496" w:name="risques-et-effets-indésirables-56"/>
    <w:p>
      <w:pPr>
        <w:pStyle w:val="Heading3"/>
      </w:pPr>
      <w:r>
        <w:t xml:space="preserve">Risques et effets indésirables</w:t>
      </w:r>
    </w:p>
    <w:p>
      <w:pPr>
        <w:pStyle w:val="FirstParagraph"/>
      </w:pPr>
      <w:r>
        <w:rPr>
          <w:bCs/>
          <w:b/>
        </w:rPr>
        <w:t xml:space="preserve">Établis :</w:t>
      </w:r>
      <w:r>
        <w:t xml:space="preserve"> </w:t>
      </w:r>
      <w:r>
        <w:t xml:space="preserve">dans l’étude de Robinson, le peptide a été bien toléré. Dans l’étude en radiothérapie, les démangeaisons ont été plus fréquentes sous le produit combiné contenant du Matrixyl, et une suspicion de réaction allergique n’est apparue qu’avec ce produit</w:t>
      </w:r>
      <w:r>
        <w:rPr>
          <w:rStyle w:val="FootnoteReference"/>
        </w:rPr>
        <w:footnoteReference w:id="2494"/>
      </w:r>
      <w:r>
        <w:t xml:space="preserve"> </w:t>
      </w:r>
      <w:r>
        <w:t xml:space="preserve">; on ignore quel composant en était responsable.</w:t>
      </w:r>
    </w:p>
    <w:p>
      <w:pPr>
        <w:pStyle w:val="BodyText"/>
      </w:pPr>
      <w:r>
        <w:rPr>
          <w:bCs/>
          <w:b/>
        </w:rPr>
        <w:t xml:space="preserve">En général :</w:t>
      </w:r>
      <w:r>
        <w:t xml:space="preserve"> </w:t>
      </w:r>
      <w:r>
        <w:t xml:space="preserve">comme pour tout composant cosmétique, des irritations et des allergies de contact sont possibles, mais elles semblent rares. Un travail issu de l’industrie cosmétique, qui a évalué par des outils bio-informatiques le potentiel toxique et allergisant de peptides, a trouvé pour le palmitoyl pentapeptide-4 des similitudes avec des protéines du tissu conjonctif de la peau, mais aucun indice de structures de toxines ou d’allergènes</w:t>
      </w:r>
      <w:r>
        <w:rPr>
          <w:rStyle w:val="FootnoteReference"/>
        </w:rPr>
        <w:footnoteReference w:id="2495"/>
      </w:r>
      <w:r>
        <w:t xml:space="preserve">. De telles analyses informatiques ne remplacent pas l’observation clinique.</w:t>
      </w:r>
    </w:p>
    <w:p>
      <w:pPr>
        <w:pStyle w:val="BodyText"/>
      </w:pPr>
      <w:r>
        <w:rPr>
          <w:bCs/>
          <w:b/>
        </w:rPr>
        <w:t xml:space="preserve">Théoriques :</w:t>
      </w:r>
      <w:r>
        <w:t xml:space="preserve"> </w:t>
      </w:r>
      <w:r>
        <w:t xml:space="preserve">une molécule de signalisation qui stimule réellement les fibroblastes pour produire du collagène pourrait être indésirable en cas de tendance aux cicatrices hypertrophiques. Il n’existe aucun cas rapporté ; la faible pénétration cutanée plaide contre un effet significatif.</w:t>
      </w:r>
    </w:p>
    <w:bookmarkEnd w:id="2496"/>
    <w:bookmarkStart w:id="2497" w:name="statut-juridique-56"/>
    <w:p>
      <w:pPr>
        <w:pStyle w:val="Heading3"/>
      </w:pPr>
      <w:r>
        <w:t xml:space="preserve">Statut juridique</w:t>
      </w:r>
    </w:p>
    <w:p>
      <w:pPr>
        <w:numPr>
          <w:ilvl w:val="0"/>
          <w:numId w:val="1314"/>
        </w:numPr>
        <w:pStyle w:val="Compact"/>
      </w:pPr>
      <w:r>
        <w:rPr>
          <w:bCs/>
          <w:b/>
        </w:rPr>
        <w:t xml:space="preserve">UE / Autriche / Allemagne :</w:t>
      </w:r>
      <w:r>
        <w:t xml:space="preserve"> </w:t>
      </w:r>
      <w:r>
        <w:t xml:space="preserve">le palmitoyl pentapeptide-4 est un ingrédient cosmétique autorisé selon le règlement européen sur les produits cosmétiques (règlement (CE) n° 1223/2009). Les cosmétiques ne font pas l’objet d’un contrôle officiel de leur efficacité avant la mise en vente ; le fabricant doit établir une évaluation de la sécurité et pouvoir justifier les allégations publicitaires conformément au règlement (UE) n° 655/2013. Des affirmations comme « agit comme une injection de comblement des rides » ou « reconstruit le collagène » sont donc juridiquement délicates si elles ne sont pas couvertes par des études sur le produit.</w:t>
      </w:r>
    </w:p>
    <w:p>
      <w:pPr>
        <w:numPr>
          <w:ilvl w:val="0"/>
          <w:numId w:val="1314"/>
        </w:numPr>
        <w:pStyle w:val="Compact"/>
      </w:pPr>
      <w:r>
        <w:rPr>
          <w:bCs/>
          <w:b/>
        </w:rPr>
        <w:t xml:space="preserve">États-Unis :</w:t>
      </w:r>
      <w:r>
        <w:t xml:space="preserve"> </w:t>
      </w:r>
      <w:r>
        <w:t xml:space="preserve">ingrédient cosmétique sans contrôle préalable par la FDA. Des allégations publicitaires promettant une modification de la structure de la peau peuvent juridiquement faire d’un produit un médicament.</w:t>
      </w:r>
    </w:p>
    <w:p>
      <w:pPr>
        <w:numPr>
          <w:ilvl w:val="0"/>
          <w:numId w:val="1314"/>
        </w:numPr>
        <w:pStyle w:val="Compact"/>
      </w:pPr>
      <w:r>
        <w:rPr>
          <w:bCs/>
          <w:b/>
        </w:rPr>
        <w:t xml:space="preserve">Sport :</w:t>
      </w:r>
      <w:r>
        <w:t xml:space="preserve"> </w:t>
      </w:r>
      <w:r>
        <w:t xml:space="preserve">sans importance (état 2026, à vérifier).</w:t>
      </w:r>
    </w:p>
    <w:bookmarkEnd w:id="2497"/>
    <w:bookmarkStart w:id="2498" w:name="études-en-cours-et-perspectives-56"/>
    <w:p>
      <w:pPr>
        <w:pStyle w:val="Heading3"/>
      </w:pPr>
      <w:r>
        <w:t xml:space="preserve">Études en cours et perspectives</w:t>
      </w:r>
    </w:p>
    <w:p>
      <w:pPr>
        <w:pStyle w:val="FirstParagraph"/>
      </w:pPr>
      <w:r>
        <w:rPr>
          <w:bCs/>
          <w:b/>
        </w:rPr>
        <w:t xml:space="preserve">Établi :</w:t>
      </w:r>
      <w:r>
        <w:t xml:space="preserve"> </w:t>
      </w:r>
      <w:r>
        <w:t xml:space="preserve">aucune étude n’est enregistrée sur ClinicalTrials.gov sous « palmitoyl pentapeptide » (état octobre 2026). Les études d’efficacité cosmétique ne sont en règle générale pas enregistrées, mais commandées par les fabricants et seulement en partie publiées.</w:t>
      </w:r>
    </w:p>
    <w:p>
      <w:pPr>
        <w:pStyle w:val="BodyText"/>
      </w:pPr>
      <w:r>
        <w:rPr>
          <w:bCs/>
          <w:b/>
        </w:rPr>
        <w:t xml:space="preserve">Appréciation :</w:t>
      </w:r>
      <w:r>
        <w:t xml:space="preserve"> </w:t>
      </w:r>
      <w:r>
        <w:t xml:space="preserve">le Matrixyl est l’un des « peptides anti-âge » les plus anciens et les plus utilisés en cosmétique. Sa base scientifique – un travail de culture cellulaire de 1993 et une étude en hémivisage de 2005 – est étonnamment mince pour un produit aussi répandu. Les nouveaux développements visent une meilleure pénétration cutanée (micro-aiguilles, nanostructures) et des associations avec d’autres peptides. Sans études indépendantes et suffisamment grandes portant sur l’actif seul, l’état des connaissances ne changera guère.</w:t>
      </w:r>
    </w:p>
    <w:bookmarkEnd w:id="2498"/>
    <w:bookmarkStart w:id="2499" w:name="conclusion-56"/>
    <w:p>
      <w:pPr>
        <w:pStyle w:val="Heading3"/>
      </w:pPr>
      <w:r>
        <w:t xml:space="preserve">Conclusion</w:t>
      </w:r>
    </w:p>
    <w:p>
      <w:pPr>
        <w:pStyle w:val="FirstParagraph"/>
      </w:pPr>
      <w:r>
        <w:t xml:space="preserve">Le palmitoyl pentapeptide-4 est un fragment du précurseur du collagène couplé à un acide gras, qui stimule en laboratoire la production de collagène par les fibroblastes. Chez l’humain, son efficacité repose surtout sur une étude en hémivisage de 2005 portant sur 93 femmes, qui a montré une réduction des ridules, ainsi que sur une très petite étude de 2023. La quantité d’actif qui atteint réellement les couches profondes de la peau n’est pas établie. En tant qu’ingrédient cosmétique, il est considéré comme bien toléré. Si tu utilises des produits au Matrixyl, attends-toi à un petit effet cosmétique – pas à un substitut à la protection UV ou à des actifs évalués médicalement comme les rétinoïdes.</w:t>
      </w:r>
    </w:p>
    <w:bookmarkEnd w:id="2499"/>
    <w:bookmarkEnd w:id="2500"/>
    <w:bookmarkStart w:id="2524" w:name="acétyl-hexapeptide-8-argireline"/>
    <w:p>
      <w:pPr>
        <w:pStyle w:val="Heading2"/>
      </w:pPr>
      <w:r>
        <w:t xml:space="preserve">Acétyl hexapeptide-8 (Argireline)</w:t>
      </w:r>
    </w:p>
    <w:bookmarkStart w:id="2501" w:name="fiche-signalétique-57"/>
    <w:p>
      <w:pPr>
        <w:pStyle w:val="Heading3"/>
      </w:pPr>
      <w:r>
        <w:t xml:space="preserve">Fiche signalétique</w:t>
      </w:r>
    </w:p>
    <w:p>
      <w:pPr>
        <w:numPr>
          <w:ilvl w:val="0"/>
          <w:numId w:val="1315"/>
        </w:numPr>
        <w:pStyle w:val="Compact"/>
      </w:pPr>
      <w:r>
        <w:rPr>
          <w:bCs/>
          <w:b/>
        </w:rPr>
        <w:t xml:space="preserve">Type/structure :</w:t>
      </w:r>
      <w:r>
        <w:t xml:space="preserve"> </w:t>
      </w:r>
      <w:r>
        <w:t xml:space="preserve">hexapeptide de séquence glutamate-glutamate-méthionine-glutamine-arginine-arginine (Ac-EEMQRR-NH₂), acétylé au début et amidé à la fin. Autrefois désigné comme acétyl hexapeptide-3 ; nom commercial de la matière première : Argireline.</w:t>
      </w:r>
    </w:p>
    <w:p>
      <w:pPr>
        <w:numPr>
          <w:ilvl w:val="0"/>
          <w:numId w:val="1315"/>
        </w:numPr>
        <w:pStyle w:val="Compact"/>
      </w:pPr>
      <w:r>
        <w:rPr>
          <w:bCs/>
          <w:b/>
        </w:rPr>
        <w:t xml:space="preserve">Origine :</w:t>
      </w:r>
      <w:r>
        <w:t xml:space="preserve"> </w:t>
      </w:r>
      <w:r>
        <w:t xml:space="preserve">synthétique, conçu délibérément au début des années 2000. La séquence imite le segment initial de la protéine neuronale SNAP-25.</w:t>
      </w:r>
    </w:p>
    <w:p>
      <w:pPr>
        <w:numPr>
          <w:ilvl w:val="0"/>
          <w:numId w:val="1315"/>
        </w:numPr>
        <w:pStyle w:val="Compact"/>
      </w:pPr>
      <w:r>
        <w:rPr>
          <w:bCs/>
          <w:b/>
        </w:rPr>
        <w:t xml:space="preserve">Principe d’action :</w:t>
      </w:r>
      <w:r>
        <w:t xml:space="preserve"> </w:t>
      </w:r>
      <w:r>
        <w:t xml:space="preserve">il est censé atténuer la libération du messager acétylcholine à la jonction entre nerf et muscle et ainsi lisser les rides d’expression – une cible similaire à celle de la toxine botulique, mais avec un effet beaucoup plus faible. D’où le terme publicitaire de « Botox en tube ».</w:t>
      </w:r>
    </w:p>
    <w:p>
      <w:pPr>
        <w:numPr>
          <w:ilvl w:val="0"/>
          <w:numId w:val="1315"/>
        </w:numPr>
        <w:pStyle w:val="Compact"/>
      </w:pPr>
      <w:r>
        <w:rPr>
          <w:bCs/>
          <w:b/>
        </w:rPr>
        <w:t xml:space="preserve">Autorisation UE :</w:t>
      </w:r>
      <w:r>
        <w:t xml:space="preserve"> </w:t>
      </w:r>
      <w:r>
        <w:t xml:space="preserve">pas un médicament ; ingrédient cosmétique.</w:t>
      </w:r>
    </w:p>
    <w:p>
      <w:pPr>
        <w:numPr>
          <w:ilvl w:val="0"/>
          <w:numId w:val="1315"/>
        </w:numPr>
        <w:pStyle w:val="Compact"/>
      </w:pPr>
      <w:r>
        <w:rPr>
          <w:bCs/>
          <w:b/>
        </w:rPr>
        <w:t xml:space="preserve">Autorisation États-Unis :</w:t>
      </w:r>
      <w:r>
        <w:t xml:space="preserve"> </w:t>
      </w:r>
      <w:r>
        <w:t xml:space="preserve">pas un médicament ; ingrédient cosmétique.</w:t>
      </w:r>
    </w:p>
    <w:p>
      <w:pPr>
        <w:numPr>
          <w:ilvl w:val="0"/>
          <w:numId w:val="1315"/>
        </w:numPr>
        <w:pStyle w:val="Compact"/>
      </w:pPr>
      <w:r>
        <w:rPr>
          <w:bCs/>
          <w:b/>
        </w:rPr>
        <w:t xml:space="preserve">AMA (WADA) :</w:t>
      </w:r>
      <w:r>
        <w:t xml:space="preserve"> </w:t>
      </w:r>
      <w:r>
        <w:t xml:space="preserve">pas listé.</w:t>
      </w:r>
    </w:p>
    <w:p>
      <w:pPr>
        <w:numPr>
          <w:ilvl w:val="0"/>
          <w:numId w:val="1315"/>
        </w:numPr>
        <w:pStyle w:val="Compact"/>
      </w:pPr>
      <w:r>
        <w:rPr>
          <w:bCs/>
          <w:b/>
        </w:rPr>
        <w:t xml:space="preserve">Niveau de preuve :</w:t>
      </w:r>
      <w:r>
        <w:t xml:space="preserve"> </w:t>
      </w:r>
      <w:r>
        <w:rPr>
          <w:bCs/>
          <w:b/>
        </w:rPr>
        <w:t xml:space="preserve">B</w:t>
      </w:r>
      <w:r>
        <w:t xml:space="preserve"> </w:t>
      </w:r>
      <w:r>
        <w:t xml:space="preserve">(faible) – quelques petites études randomisées, le plus souvent de courte durée et aux résultats hétérogènes.</w:t>
      </w:r>
    </w:p>
    <w:bookmarkEnd w:id="2501"/>
    <w:bookmarkStart w:id="2505" w:name="mode-daction-supposé-57"/>
    <w:p>
      <w:pPr>
        <w:pStyle w:val="Heading3"/>
      </w:pPr>
      <w:r>
        <w:t xml:space="preserve">Mode d’action supposé</w:t>
      </w:r>
    </w:p>
    <w:p>
      <w:pPr>
        <w:pStyle w:val="FirstParagraph"/>
      </w:pPr>
      <w:r>
        <w:t xml:space="preserve">Pour qu’un muscle se contracte, une cellule nerveuse doit libérer le messager acétylcholine. Pour cela, de petites vésicules remplies de ce messager fusionnent avec la membrane cellulaire. Cette fusion est assurée par un complexe protéique, le complexe SNARE, auquel participe notamment la protéine SNAP-25. La toxine botulique de type A découpe SNAP-25 et bloque ainsi la libération du messager pendant des mois – le muscle se relâche, la ride située au-dessus s’atténue.</w:t>
      </w:r>
    </w:p>
    <w:p>
      <w:pPr>
        <w:pStyle w:val="BodyText"/>
      </w:pPr>
      <w:r>
        <w:t xml:space="preserve">L’Argireline a été conçue comme une imitation du segment initial de SNAP-25. L’idée : ce court peptide entre en concurrence avec la vraie SNAP-25 pour sa place dans le complexe SNARE et perturbe sa formation. Dans la description initiale, l’Argireline inhibait en expériences cellulaires la libération de messagers avec une</w:t>
      </w:r>
      <w:r>
        <w:t xml:space="preserve"> </w:t>
      </w:r>
      <w:r>
        <w:rPr>
          <w:iCs/>
          <w:i/>
        </w:rPr>
        <w:t xml:space="preserve">puissance</w:t>
      </w:r>
      <w:r>
        <w:t xml:space="preserve"> </w:t>
      </w:r>
      <w:r>
        <w:t xml:space="preserve">semblable à celle de la toxine botulique A, mais atteignait, comme attendu, une</w:t>
      </w:r>
      <w:r>
        <w:t xml:space="preserve"> </w:t>
      </w:r>
      <w:r>
        <w:rPr>
          <w:iCs/>
          <w:i/>
        </w:rPr>
        <w:t xml:space="preserve">efficacité</w:t>
      </w:r>
      <w:r>
        <w:t xml:space="preserve"> </w:t>
      </w:r>
      <w:r>
        <w:t xml:space="preserve">bien moindre – c’est-à-dire un effet maximal nettement plus faible</w:t>
      </w:r>
      <w:r>
        <w:rPr>
          <w:rStyle w:val="FootnoteReference"/>
        </w:rPr>
        <w:footnoteReference w:id="2502"/>
      </w:r>
      <w:r>
        <w:t xml:space="preserve">.</w:t>
      </w:r>
    </w:p>
    <w:p>
      <w:pPr>
        <w:pStyle w:val="BodyText"/>
      </w:pPr>
      <w:r>
        <w:t xml:space="preserve">Le hic décisif : pour agir, l’Argireline contenue dans une crème devrait traverser l’épiderme et le derme jusqu’aux terminaisons nerveuses des muscles du visage. La molécule est hydrosoluble, chargée électriquement et relativement grosse pour la peau. Dans une expérience de laboratoire sur de la peau de donneurs décédés, la plus grande partie est restée à la surface de la peau après 24 heures ; 0,22 % du peptide appliqué se trouvaient dans la couche cornée, 0,01 % dans l’épiderme, et rien n’était détectable dans le derme et en dessous</w:t>
      </w:r>
      <w:r>
        <w:rPr>
          <w:rStyle w:val="FootnoteReference"/>
        </w:rPr>
        <w:footnoteReference w:id="2503"/>
      </w:r>
      <w:r>
        <w:t xml:space="preserve">. Une revue de 2025 constate qu’il reste incertain que le peptide atteigne seulement la jonction neuromusculaire</w:t>
      </w:r>
      <w:r>
        <w:rPr>
          <w:rStyle w:val="FootnoteReference"/>
        </w:rPr>
        <w:footnoteReference w:id="2504"/>
      </w:r>
      <w:r>
        <w:t xml:space="preserve">.</w:t>
      </w:r>
    </w:p>
    <w:p>
      <w:pPr>
        <w:pStyle w:val="BodyText"/>
      </w:pPr>
      <w:r>
        <w:t xml:space="preserve">Cela n’exclut pas des effets sur la peau – par exemple sur l’hydratation ou par des terminaisons nerveuses situées dans les couches supérieures de la peau –, mais rend peu probable le « mécanisme Botox » mis en avant lors d’une application sur la peau.</w:t>
      </w:r>
    </w:p>
    <w:bookmarkEnd w:id="2505"/>
    <w:bookmarkStart w:id="2512" w:name="études-chez-lhumain-57"/>
    <w:p>
      <w:pPr>
        <w:pStyle w:val="Heading3"/>
      </w:pPr>
      <w:r>
        <w:t xml:space="preserve">Études chez l’humain</w:t>
      </w:r>
    </w:p>
    <w:p>
      <w:pPr>
        <w:pStyle w:val="FirstParagraph"/>
      </w:pPr>
      <w:r>
        <w:t xml:space="preserve">La requête PubMed analysée pour ce livre (acétyl hexapeptide ou Argireline dans le titre ou le résumé, date de requête octobre 2026) a donné trois travaux classés comme études chez l’humain ; sept entrées de registre figurent sur ClinicalTrials.gov. L’examen a permis de trouver quelques autres petites études.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protocole</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Blanes-Mira 2002, PMID 18498523</w:t>
            </w:r>
          </w:p>
        </w:tc>
        <w:tc>
          <w:tcPr/>
          <w:p>
            <w:pPr>
              <w:pStyle w:val="Compact"/>
              <w:jc w:val="left"/>
            </w:pPr>
            <w:r>
              <w:t xml:space="preserve">Femmes en bonne santé, émulsion à 10 % d’Argireline (informations succinctes dans le résumé)</w:t>
            </w:r>
          </w:p>
        </w:tc>
        <w:tc>
          <w:tcPr/>
          <w:p>
            <w:pPr>
              <w:pStyle w:val="Compact"/>
              <w:jc w:val="left"/>
            </w:pPr>
            <w:r>
              <w:t xml:space="preserve">30 jours</w:t>
            </w:r>
          </w:p>
        </w:tc>
        <w:tc>
          <w:tcPr/>
          <w:p>
            <w:pPr>
              <w:pStyle w:val="Compact"/>
              <w:jc w:val="left"/>
            </w:pPr>
            <w:r>
              <w:t xml:space="preserve">Profondeur des rides réduite jusqu’à 30 %</w:t>
            </w:r>
          </w:p>
        </w:tc>
      </w:tr>
      <w:tr>
        <w:tc>
          <w:tcPr/>
          <w:p>
            <w:pPr>
              <w:pStyle w:val="Compact"/>
              <w:jc w:val="left"/>
            </w:pPr>
            <w:r>
              <w:t xml:space="preserve">Wang 2013, PMID 23417317</w:t>
            </w:r>
          </w:p>
        </w:tc>
        <w:tc>
          <w:tcPr/>
          <w:p>
            <w:pPr>
              <w:pStyle w:val="Compact"/>
              <w:jc w:val="left"/>
            </w:pPr>
            <w:r>
              <w:t xml:space="preserve">60 adultes chinois présentant des rides du contour de l’œil, Argireline contre placebo dans un rapport 3:1</w:t>
            </w:r>
          </w:p>
        </w:tc>
        <w:tc>
          <w:tcPr/>
          <w:p>
            <w:pPr>
              <w:pStyle w:val="Compact"/>
              <w:jc w:val="left"/>
            </w:pPr>
            <w:r>
              <w:t xml:space="preserve">4 semaines</w:t>
            </w:r>
          </w:p>
        </w:tc>
        <w:tc>
          <w:tcPr/>
          <w:p>
            <w:pPr>
              <w:pStyle w:val="Compact"/>
              <w:jc w:val="left"/>
            </w:pPr>
            <w:r>
              <w:t xml:space="preserve">« Efficacité globale » subjective 48,9 % contre 0 % ; valeurs de rugosité des empreintes cutanées en baisse</w:t>
            </w:r>
          </w:p>
        </w:tc>
      </w:tr>
      <w:tr>
        <w:tc>
          <w:tcPr/>
          <w:p>
            <w:pPr>
              <w:pStyle w:val="Compact"/>
              <w:jc w:val="left"/>
            </w:pPr>
            <w:r>
              <w:t xml:space="preserve">Raikou 2017, PMID 28150423</w:t>
            </w:r>
          </w:p>
        </w:tc>
        <w:tc>
          <w:tcPr/>
          <w:p>
            <w:pPr>
              <w:pStyle w:val="Compact"/>
              <w:jc w:val="left"/>
            </w:pPr>
            <w:r>
              <w:t xml:space="preserve">24 personnes en bonne santé, quatre groupes : Argireline, tripeptide-10 citrulline, les deux ou aucun</w:t>
            </w:r>
          </w:p>
        </w:tc>
        <w:tc>
          <w:tcPr/>
          <w:p>
            <w:pPr>
              <w:pStyle w:val="Compact"/>
              <w:jc w:val="left"/>
            </w:pPr>
            <w:r>
              <w:t xml:space="preserve">60 jours</w:t>
            </w:r>
          </w:p>
        </w:tc>
        <w:tc>
          <w:tcPr/>
          <w:p>
            <w:pPr>
              <w:pStyle w:val="Compact"/>
              <w:jc w:val="left"/>
            </w:pPr>
            <w:r>
              <w:t xml:space="preserve">Certains paramètres des rides et la perte d’eau cutanée meilleurs avec l’Argireline</w:t>
            </w:r>
          </w:p>
        </w:tc>
      </w:tr>
      <w:tr>
        <w:tc>
          <w:tcPr/>
          <w:p>
            <w:pPr>
              <w:pStyle w:val="Compact"/>
              <w:jc w:val="left"/>
            </w:pPr>
            <w:r>
              <w:t xml:space="preserve">Henseler 2023, PMID 38024099</w:t>
            </w:r>
          </w:p>
        </w:tc>
        <w:tc>
          <w:tcPr/>
          <w:p>
            <w:pPr>
              <w:pStyle w:val="Compact"/>
              <w:jc w:val="left"/>
            </w:pPr>
            <w:r>
              <w:t xml:space="preserve">19 femmes, comparaison en hémivisage : sérum à l’acide hyaluronique avec contre sans Argireline, double aveugle</w:t>
            </w:r>
          </w:p>
        </w:tc>
        <w:tc>
          <w:tcPr/>
          <w:p>
            <w:pPr>
              <w:pStyle w:val="Compact"/>
              <w:jc w:val="left"/>
            </w:pPr>
            <w:r>
              <w:t xml:space="preserve">4 semaines</w:t>
            </w:r>
          </w:p>
        </w:tc>
        <w:tc>
          <w:tcPr/>
          <w:p>
            <w:pPr>
              <w:pStyle w:val="Compact"/>
              <w:jc w:val="left"/>
            </w:pPr>
            <w:r>
              <w:t xml:space="preserve">Aucune différence significative entre les deux moitiés du visage</w:t>
            </w:r>
          </w:p>
        </w:tc>
      </w:tr>
      <w:tr>
        <w:tc>
          <w:tcPr/>
          <w:p>
            <w:pPr>
              <w:pStyle w:val="Compact"/>
              <w:jc w:val="left"/>
            </w:pPr>
            <w:r>
              <w:t xml:space="preserve">Aruan 2023, PMID 36909866</w:t>
            </w:r>
          </w:p>
        </w:tc>
        <w:tc>
          <w:tcPr/>
          <w:p>
            <w:pPr>
              <w:pStyle w:val="Compact"/>
              <w:jc w:val="left"/>
            </w:pPr>
            <w:r>
              <w:t xml:space="preserve">21 femmes, acétyl hexapeptide-3 contre palmitoyl pentapeptide-4 contre placebo</w:t>
            </w:r>
          </w:p>
        </w:tc>
        <w:tc>
          <w:tcPr/>
          <w:p>
            <w:pPr>
              <w:pStyle w:val="Compact"/>
              <w:jc w:val="left"/>
            </w:pPr>
            <w:r>
              <w:t xml:space="preserve">8 semaines</w:t>
            </w:r>
          </w:p>
        </w:tc>
        <w:tc>
          <w:tcPr/>
          <w:p>
            <w:pPr>
              <w:pStyle w:val="Compact"/>
              <w:jc w:val="left"/>
            </w:pPr>
            <w:r>
              <w:t xml:space="preserve">Le palmitoyl pentapeptide-4 a obtenu de meilleurs résultats que l’Argireline et le placebo</w:t>
            </w:r>
          </w:p>
        </w:tc>
      </w:tr>
    </w:tbl>
    <w:p>
      <w:pPr>
        <w:pStyle w:val="BodyText"/>
      </w:pPr>
      <w:r>
        <w:rPr>
          <w:bCs/>
          <w:b/>
        </w:rPr>
        <w:t xml:space="preserve">Pour situer les études positives :</w:t>
      </w:r>
    </w:p>
    <w:p>
      <w:pPr>
        <w:numPr>
          <w:ilvl w:val="0"/>
          <w:numId w:val="1316"/>
        </w:numPr>
        <w:pStyle w:val="Compact"/>
      </w:pPr>
      <w:r>
        <w:t xml:space="preserve">La description initiale de 2002 émane des concepteurs et ne précise dans son résumé ni le nombre de participants ni l’existence d’un groupe témoin. Elle a testé une concentration de 10 % – bien au-delà de ce qu’une évaluation de sécurité américaine a ensuite jugé suffisamment étudié (voir Risques).</w:t>
      </w:r>
    </w:p>
    <w:p>
      <w:pPr>
        <w:numPr>
          <w:ilvl w:val="0"/>
          <w:numId w:val="1316"/>
        </w:numPr>
        <w:pStyle w:val="Compact"/>
      </w:pPr>
      <w:r>
        <w:t xml:space="preserve">L’étude chinoise (Wang 2013) est la plus grande. Les groupes étaient de tailles inégales (environ 45 contre 15), l’évaluation principale était subjective, et les mêmes données cliniques figurent, avec des expériences chez la souris, dans une autre publication du même groupe</w:t>
      </w:r>
      <w:r>
        <w:rPr>
          <w:rStyle w:val="FootnoteReference"/>
        </w:rPr>
        <w:footnoteReference w:id="2506"/>
      </w:r>
      <w:r>
        <w:t xml:space="preserve">. Dans les comparaisons avec la valeur initiale, seul le groupe Argireline montrait une baisse des valeurs de rugosité – aucune comparaison statistique directe entre les groupes n’est rapportée dans le résumé.</w:t>
      </w:r>
    </w:p>
    <w:p>
      <w:pPr>
        <w:numPr>
          <w:ilvl w:val="0"/>
          <w:numId w:val="1316"/>
        </w:numPr>
        <w:pStyle w:val="Compact"/>
      </w:pPr>
      <w:r>
        <w:t xml:space="preserve">L’étude de Raikou ne comptait que six participants par groupe et une multitude de comparaisons isolées ; certaines différences étaient significatives, d’autres non.</w:t>
      </w:r>
    </w:p>
    <w:p>
      <w:pPr>
        <w:pStyle w:val="FirstParagraph"/>
      </w:pPr>
      <w:r>
        <w:rPr>
          <w:bCs/>
          <w:b/>
        </w:rPr>
        <w:t xml:space="preserve">L’étude négative :</w:t>
      </w:r>
      <w:r>
        <w:t xml:space="preserve"> </w:t>
      </w:r>
      <w:r>
        <w:t xml:space="preserve">une étude en hémivisage en double aveugle, menée dans un cabinet de chirurgie plastique avec une mesure objective par caméra (Henseler 2023), n’a trouvé aucune différence entre la moitié du visage avec et celle sans Argireline. Les responsables de l’étude ont conclu qu’aucun effet n’avait été démontré et que l’Argireline ne doit pas être considérée comme une alternative à la toxine botulique. Avec 19 participantes, cette étude était toutefois elle aussi petite.</w:t>
      </w:r>
    </w:p>
    <w:bookmarkStart w:id="2511" w:name="autres-applications-5"/>
    <w:p>
      <w:pPr>
        <w:pStyle w:val="Heading4"/>
      </w:pPr>
      <w:r>
        <w:t xml:space="preserve">Autres applications</w:t>
      </w:r>
    </w:p>
    <w:p>
      <w:pPr>
        <w:numPr>
          <w:ilvl w:val="0"/>
          <w:numId w:val="1317"/>
        </w:numPr>
        <w:pStyle w:val="Compact"/>
      </w:pPr>
      <w:r>
        <w:rPr>
          <w:bCs/>
          <w:b/>
        </w:rPr>
        <w:t xml:space="preserve">Blépharospasme :</w:t>
      </w:r>
      <w:r>
        <w:t xml:space="preserve"> </w:t>
      </w:r>
      <w:r>
        <w:t xml:space="preserve">dans cette maladie neurologique, les muscles des paupières se contractent involontairement ; le traitement standard est l’injection de toxine botulique tous les trois mois. Dans une étude pilote portant sur 24 patientes et patients, une crème à l’Argireline devait prolonger la durée d’action de l’injection. Il y a eu une tendance non significative (3,7 contre 3,0 mois avant le retour des symptômes) et aucun effet indésirable significatif (Lungu 2013, PMID 23146065 ; enregistrée sous NCT00942851). Une étude de suivi a été arrêtée après huit participants</w:t>
      </w:r>
      <w:r>
        <w:rPr>
          <w:rStyle w:val="FootnoteReference"/>
        </w:rPr>
        <w:footnoteReference w:id="2507"/>
      </w:r>
      <w:r>
        <w:t xml:space="preserve">.</w:t>
      </w:r>
    </w:p>
    <w:p>
      <w:pPr>
        <w:numPr>
          <w:ilvl w:val="0"/>
          <w:numId w:val="1317"/>
        </w:numPr>
        <w:pStyle w:val="Compact"/>
      </w:pPr>
      <w:r>
        <w:rPr>
          <w:bCs/>
          <w:b/>
        </w:rPr>
        <w:t xml:space="preserve">Patchs à micro-aiguilles :</w:t>
      </w:r>
      <w:r>
        <w:t xml:space="preserve"> </w:t>
      </w:r>
      <w:r>
        <w:t xml:space="preserve">dans une étude coréenne en hémivisage portant sur 52 femmes, un patch à micro-aiguilles d’acide hyaluronique contenant de l’Argireline a davantage amélioré les rides que le patch seul</w:t>
      </w:r>
      <w:r>
        <w:rPr>
          <w:rStyle w:val="FootnoteReference"/>
        </w:rPr>
        <w:footnoteReference w:id="2508"/>
      </w:r>
      <w:r>
        <w:t xml:space="preserve">. Ici, le peptide est introduit dans la peau par de minuscules aiguilles – le résultat n’est pas transposable aux crèmes ordinaires.</w:t>
      </w:r>
    </w:p>
    <w:p>
      <w:pPr>
        <w:numPr>
          <w:ilvl w:val="0"/>
          <w:numId w:val="1317"/>
        </w:numPr>
        <w:pStyle w:val="Compact"/>
      </w:pPr>
      <w:r>
        <w:rPr>
          <w:bCs/>
          <w:b/>
        </w:rPr>
        <w:t xml:space="preserve">Produits combinés :</w:t>
      </w:r>
      <w:r>
        <w:t xml:space="preserve"> </w:t>
      </w:r>
      <w:r>
        <w:t xml:space="preserve">beaucoup d’études testent des sérums contenant de l’Argireline associée à du rétinol, de l’acide hyaluronique ou d’autres peptides. Leur résultat ne peut pas être attribué au peptide pris isolément.</w:t>
      </w:r>
    </w:p>
    <w:p>
      <w:pPr>
        <w:numPr>
          <w:ilvl w:val="0"/>
          <w:numId w:val="1317"/>
        </w:numPr>
        <w:pStyle w:val="Compact"/>
      </w:pPr>
      <w:r>
        <w:rPr>
          <w:bCs/>
          <w:b/>
        </w:rPr>
        <w:t xml:space="preserve">Très petites études enregistrées :</w:t>
      </w:r>
      <w:r>
        <w:t xml:space="preserve"> </w:t>
      </w:r>
      <w:r>
        <w:t xml:space="preserve">sur ClinicalTrials.gov figurent notamment une étude terminée sur la peau grasse portant sur 14 participants</w:t>
      </w:r>
      <w:r>
        <w:rPr>
          <w:rStyle w:val="FootnoteReference"/>
        </w:rPr>
        <w:footnoteReference w:id="2509"/>
      </w:r>
      <w:r>
        <w:t xml:space="preserve"> </w:t>
      </w:r>
      <w:r>
        <w:t xml:space="preserve">et une étude qualifiée de phase 3 sur les rides du contour de l’œil portant sur 70 participants</w:t>
      </w:r>
      <w:r>
        <w:rPr>
          <w:rStyle w:val="FootnoteReference"/>
        </w:rPr>
        <w:footnoteReference w:id="2510"/>
      </w:r>
      <w:r>
        <w:t xml:space="preserve"> </w:t>
      </w:r>
      <w:r>
        <w:t xml:space="preserve">; il n’a pas été possible d’établir clairement si cette dernière correspond à l’étude chinoise mentionnée plus haut.</w:t>
      </w:r>
    </w:p>
    <w:bookmarkEnd w:id="2511"/>
    <w:bookmarkEnd w:id="2512"/>
    <w:bookmarkStart w:id="2517" w:name="études-animales-et-de-laboratoire-57"/>
    <w:p>
      <w:pPr>
        <w:pStyle w:val="Heading3"/>
      </w:pPr>
      <w:r>
        <w:t xml:space="preserve">Études animales et de laboratoire</w:t>
      </w:r>
    </w:p>
    <w:p>
      <w:pPr>
        <w:numPr>
          <w:ilvl w:val="0"/>
          <w:numId w:val="1318"/>
        </w:numPr>
        <w:pStyle w:val="Compact"/>
      </w:pPr>
      <w:r>
        <w:rPr>
          <w:bCs/>
          <w:b/>
        </w:rPr>
        <w:t xml:space="preserve">Expériences cellulaires :</w:t>
      </w:r>
      <w:r>
        <w:t xml:space="preserve"> </w:t>
      </w:r>
      <w:r>
        <w:t xml:space="preserve">inhibition de la libération de messagers et perturbation de la formation du complexe SNARE</w:t>
      </w:r>
      <w:r>
        <w:rPr>
          <w:rStyle w:val="FootnoteReference"/>
        </w:rPr>
        <w:footnoteReference w:id="2513"/>
      </w:r>
      <w:r>
        <w:t xml:space="preserve">. Dans des cultures de fibroblastes cutanés humains et d’autres lignées cellulaires, l’Argireline a inhibé la prolifération cellulaire de manière dose-dépendante, mais seulement à des concentrations 18 à 10 000 fois plus élevées que celles de la substance de comparaison doxorubicine, un médicament anticancéreux</w:t>
      </w:r>
      <w:r>
        <w:rPr>
          <w:rStyle w:val="FootnoteReference"/>
        </w:rPr>
        <w:footnoteReference w:id="2514"/>
      </w:r>
      <w:r>
        <w:t xml:space="preserve">.</w:t>
      </w:r>
    </w:p>
    <w:p>
      <w:pPr>
        <w:numPr>
          <w:ilvl w:val="0"/>
          <w:numId w:val="1318"/>
        </w:numPr>
        <w:pStyle w:val="Compact"/>
      </w:pPr>
      <w:r>
        <w:rPr>
          <w:bCs/>
          <w:b/>
        </w:rPr>
        <w:t xml:space="preserve">Expérimentations animales :</w:t>
      </w:r>
      <w:r>
        <w:t xml:space="preserve"> </w:t>
      </w:r>
      <w:r>
        <w:t xml:space="preserve">chez des souris présentant un vieillissement accéléré artificiellement (par le D-galactose), la proportion de fibres de collagène de type I dans la peau a augmenté sous Argireline</w:t>
      </w:r>
      <w:r>
        <w:rPr>
          <w:rStyle w:val="FootnoteReference"/>
        </w:rPr>
        <w:footnoteReference w:id="2515"/>
      </w:r>
      <w:r>
        <w:t xml:space="preserve">.</w:t>
      </w:r>
    </w:p>
    <w:p>
      <w:pPr>
        <w:numPr>
          <w:ilvl w:val="0"/>
          <w:numId w:val="1318"/>
        </w:numPr>
        <w:pStyle w:val="Compact"/>
      </w:pPr>
      <w:r>
        <w:rPr>
          <w:bCs/>
          <w:b/>
        </w:rPr>
        <w:t xml:space="preserve">Pénétration cutanée :</w:t>
      </w:r>
      <w:r>
        <w:t xml:space="preserve"> </w:t>
      </w:r>
      <w:r>
        <w:t xml:space="preserve">outre l’étude sur la peau de donneurs décédés</w:t>
      </w:r>
      <w:r>
        <w:rPr>
          <w:rStyle w:val="FootnoteReference"/>
        </w:rPr>
        <w:footnoteReference w:id="2516"/>
      </w:r>
      <w:r>
        <w:t xml:space="preserve">, de nombreux travaux de laboratoire étudient des émulsions, des micro-aiguilles, l’ionophorèse et des modifications chimiques afin de faire pénétrer davantage de principe actif dans la peau.</w:t>
      </w:r>
    </w:p>
    <w:bookmarkEnd w:id="2517"/>
    <w:bookmarkStart w:id="2520" w:name="risques-et-effets-indésirables-57"/>
    <w:p>
      <w:pPr>
        <w:pStyle w:val="Heading3"/>
      </w:pPr>
      <w:r>
        <w:t xml:space="preserve">Risques et effets indésirables</w:t>
      </w:r>
    </w:p>
    <w:p>
      <w:pPr>
        <w:pStyle w:val="FirstParagraph"/>
      </w:pPr>
      <w:r>
        <w:rPr>
          <w:bCs/>
          <w:b/>
        </w:rPr>
        <w:t xml:space="preserve">En crème (établi) :</w:t>
      </w:r>
      <w:r>
        <w:t xml:space="preserve"> </w:t>
      </w:r>
      <w:r>
        <w:t xml:space="preserve">aucun effet indésirable significatif n’a été observé dans les études ; des irritations cutanées et des allergies sont possibles, comme pour tout composant cosmétique. Le comité d’experts indépendant américain pour la sécurité des ingrédients cosmétiques (Cosmetic Ingredient Review) a conclu en 2025 que l’acétyl hexapeptide-8 est sûr aux concentrations actuellement usuelles, jusqu’à 0,005 %. Pour des concentrations plus élevées, les données disponibles étaient insuffisantes pour se prononcer sur la sécurité</w:t>
      </w:r>
      <w:r>
        <w:rPr>
          <w:rStyle w:val="FootnoteReference"/>
        </w:rPr>
        <w:footnoteReference w:id="2518"/>
      </w:r>
      <w:r>
        <w:t xml:space="preserve">.</w:t>
      </w:r>
    </w:p>
    <w:p>
      <w:pPr>
        <w:pStyle w:val="BodyText"/>
      </w:pPr>
      <w:r>
        <w:rPr>
          <w:bCs/>
          <w:b/>
        </w:rPr>
        <w:t xml:space="preserve">En injection :</w:t>
      </w:r>
      <w:r>
        <w:t xml:space="preserve"> </w:t>
      </w:r>
      <w:r>
        <w:t xml:space="preserve">l’Argireline est parfois aussi injectée dans la peau, par exemple dans des instituts de beauté ou via des produits du marché gris. Il n’existe pour cela ni autorisation ni études. Un cas rapporté décrit une femme de 45 ans chez qui des rougeurs, des nodules et des abcès sont apparus après des injections d’Argireline dans le front et les tempes ; la cause était une infection par la bactérie difficile à traiter</w:t>
      </w:r>
      <w:r>
        <w:t xml:space="preserve"> </w:t>
      </w:r>
      <w:r>
        <w:rPr>
          <w:iCs/>
          <w:i/>
        </w:rPr>
        <w:t xml:space="preserve">Mycobacterium abscessus</w:t>
      </w:r>
      <w:r>
        <w:t xml:space="preserve">, qui a nécessité une antibiothérapie de cinq mois</w:t>
      </w:r>
      <w:r>
        <w:rPr>
          <w:rStyle w:val="FootnoteReference"/>
        </w:rPr>
        <w:footnoteReference w:id="2519"/>
      </w:r>
      <w:r>
        <w:t xml:space="preserve">. Le risque tient ici moins au peptide lui-même qu’aux produits et procédés non stériles.</w:t>
      </w:r>
    </w:p>
    <w:p>
      <w:pPr>
        <w:pStyle w:val="BodyText"/>
      </w:pPr>
      <w:r>
        <w:rPr>
          <w:bCs/>
          <w:b/>
        </w:rPr>
        <w:t xml:space="preserve">Théorique :</w:t>
      </w:r>
      <w:r>
        <w:t xml:space="preserve"> </w:t>
      </w:r>
      <w:r>
        <w:t xml:space="preserve">si l’Argireline parvenait en quantité notable aux jonctions neuromusculaires, des faiblesses musculaires indésirables seraient envisageables – comme avec la toxine botulique. Rien ne l’indique en cas d’application externe.</w:t>
      </w:r>
    </w:p>
    <w:bookmarkEnd w:id="2520"/>
    <w:bookmarkStart w:id="2521" w:name="statut-juridique-57"/>
    <w:p>
      <w:pPr>
        <w:pStyle w:val="Heading3"/>
      </w:pPr>
      <w:r>
        <w:t xml:space="preserve">Statut juridique</w:t>
      </w:r>
    </w:p>
    <w:p>
      <w:pPr>
        <w:numPr>
          <w:ilvl w:val="0"/>
          <w:numId w:val="1319"/>
        </w:numPr>
        <w:pStyle w:val="Compact"/>
      </w:pPr>
      <w:r>
        <w:rPr>
          <w:bCs/>
          <w:b/>
        </w:rPr>
        <w:t xml:space="preserve">UE / Autriche / Allemagne :</w:t>
      </w:r>
      <w:r>
        <w:t xml:space="preserve"> </w:t>
      </w:r>
      <w:r>
        <w:t xml:space="preserve">l’acétyl hexapeptide-8 est un ingrédient cosmétique autorisé selon le règlement européen sur les produits cosmétiques (règlement (CE) n° 1223/2009). Les allégations publicitaires doivent pouvoir être justifiées conformément au règlement (UE) n° 655/2013. Les comparaisons avec la toxine botulique (« comme le Botox ») sont trompeuses si elles suggèrent un effet comparable. Une injection n’est pas une utilisation cosmétique ; un produit destiné à l’injection serait un médicament ou un dispositif médical non autorisé et ne peut pas être distribué comme tel.</w:t>
      </w:r>
    </w:p>
    <w:p>
      <w:pPr>
        <w:numPr>
          <w:ilvl w:val="0"/>
          <w:numId w:val="1319"/>
        </w:numPr>
        <w:pStyle w:val="Compact"/>
      </w:pPr>
      <w:r>
        <w:rPr>
          <w:bCs/>
          <w:b/>
        </w:rPr>
        <w:t xml:space="preserve">États-Unis :</w:t>
      </w:r>
      <w:r>
        <w:t xml:space="preserve"> </w:t>
      </w:r>
      <w:r>
        <w:t xml:space="preserve">ingrédient cosmétique sans contrôle préalable par la FDA ; des allégations promettant un effet sur les muscles peuvent juridiquement faire d’un produit un médicament.</w:t>
      </w:r>
    </w:p>
    <w:p>
      <w:pPr>
        <w:numPr>
          <w:ilvl w:val="0"/>
          <w:numId w:val="1319"/>
        </w:numPr>
        <w:pStyle w:val="Compact"/>
      </w:pPr>
      <w:r>
        <w:rPr>
          <w:bCs/>
          <w:b/>
        </w:rPr>
        <w:t xml:space="preserve">Sport :</w:t>
      </w:r>
      <w:r>
        <w:t xml:space="preserve"> </w:t>
      </w:r>
      <w:r>
        <w:t xml:space="preserve">sans importance (état 2026, à vérifier).</w:t>
      </w:r>
    </w:p>
    <w:bookmarkEnd w:id="2521"/>
    <w:bookmarkStart w:id="2522" w:name="études-en-cours-et-perspectives-57"/>
    <w:p>
      <w:pPr>
        <w:pStyle w:val="Heading3"/>
      </w:pPr>
      <w:r>
        <w:t xml:space="preserve">Études en cours et perspectives</w:t>
      </w:r>
    </w:p>
    <w:p>
      <w:pPr>
        <w:pStyle w:val="FirstParagraph"/>
      </w:pPr>
      <w:r>
        <w:rPr>
          <w:bCs/>
          <w:b/>
        </w:rPr>
        <w:t xml:space="preserve">Établi :</w:t>
      </w:r>
      <w:r>
        <w:t xml:space="preserve"> </w:t>
      </w:r>
      <w:r>
        <w:t xml:space="preserve">aucune étude en cours portant sur l’acétyl hexapeptide-8 comme actif unique n’est enregistrée sur ClinicalTrials.gov (état octobre 2026) ; les entrées listées sont terminées ou interrompues. Les études d’efficacité cosmétique sont rarement enregistrées.</w:t>
      </w:r>
    </w:p>
    <w:p>
      <w:pPr>
        <w:pStyle w:val="BodyText"/>
      </w:pPr>
      <w:r>
        <w:rPr>
          <w:bCs/>
          <w:b/>
        </w:rPr>
        <w:t xml:space="preserve">Appréciation :</w:t>
      </w:r>
      <w:r>
        <w:t xml:space="preserve"> </w:t>
      </w:r>
      <w:r>
        <w:t xml:space="preserve">l’Argireline est l’exemple d’un peptide conçu de manière rationnelle, dont le résultat de laboratoire est convaincant, mais dont le chemin vers le site d’action reste un problème non résolu. La recherche se concentre donc sur des systèmes de transport comme les micro-aiguilles et les nanovecteurs. Il appartiendra à des études plus grandes et indépendantes de montrer s’ils permettent d’obtenir un effet visible pour les utilisatrices et utilisateurs, qui aille au-delà de celui d’un bon produit hydratant. En l’état actuel des connaissances, une véritable alternative à la toxine botulique n’est pas à attendre.</w:t>
      </w:r>
    </w:p>
    <w:bookmarkEnd w:id="2522"/>
    <w:bookmarkStart w:id="2523" w:name="conclusion-57"/>
    <w:p>
      <w:pPr>
        <w:pStyle w:val="Heading3"/>
      </w:pPr>
      <w:r>
        <w:t xml:space="preserve">Conclusion</w:t>
      </w:r>
    </w:p>
    <w:p>
      <w:pPr>
        <w:pStyle w:val="FirstParagraph"/>
      </w:pPr>
      <w:r>
        <w:t xml:space="preserve">L’acétyl hexapeptide-8 est un peptide synthétique qui inhibe en laboratoire la libération de messagers par les cellules nerveuses, de manière semblable à la toxine botulique, mais nettement plus faiblement. Contenu dans des crèmes, il ne pénètre guère dans la peau ; dans une expérience de laboratoire, il est resté presque entièrement dans les couches superficielles. De petites études de courte durée – en partie menées par les concepteurs, en partie avec des produits combinés – rapportent moins de ridules ; une étude en hémivisage en aveugle avec mesure objective n’a en revanche trouvé aucune différence. En crème, il est considéré comme sûr aux concentrations usuelles ; les injections ne sont ni étudiées ni autorisées et peuvent provoquer des infections graves. Le terme publicitaire de « Botox en tube » n’est pas couvert par les données.</w:t>
      </w:r>
    </w:p>
    <w:bookmarkEnd w:id="2523"/>
    <w:bookmarkEnd w:id="2524"/>
    <w:bookmarkEnd w:id="2525"/>
    <w:bookmarkStart w:id="2604" w:name="partie-iii-la-grande-comparaison"/>
    <w:p>
      <w:pPr>
        <w:pStyle w:val="Heading1"/>
      </w:pPr>
      <w:r>
        <w:t xml:space="preserve">Partie III – La grande comparaison</w:t>
      </w:r>
    </w:p>
    <w:p>
      <w:pPr>
        <w:pStyle w:val="FirstParagraph"/>
      </w:pPr>
      <w:r>
        <w:t xml:space="preserve">Dans la partie II, chaque peptide a été examiné séparément. Cette partie met les résultats côte à côte et répond à trois questions : dans quelle mesure un peptide est-il étudié par rapport aux autres ? Comment les médicaments contre l’obésité et le diabète se comparent-ils entre eux ? Et que reste-t-il des promesses d’Internet si l’on ne retient que les études chez l’humain ?</w:t>
      </w:r>
    </w:p>
    <w:p>
      <w:pPr>
        <w:pStyle w:val="BodyText"/>
      </w:pPr>
      <w:r>
        <w:t xml:space="preserve">Les tableaux sont des condensés. Les sources et les limites de chaque chiffre se trouvent dans les chapitres de la partie II. Toutes les informations sur l’autorisation et le statut antidopage correspondent à l’état 2026 et doivent être vérifiées.</w:t>
      </w:r>
    </w:p>
    <w:bookmarkStart w:id="2538" w:name="tous-les-peptides-en-un-coup-dœil"/>
    <w:p>
      <w:pPr>
        <w:pStyle w:val="Heading2"/>
      </w:pPr>
      <w:r>
        <w:t xml:space="preserve">Tous les peptides en un coup d’œil</w:t>
      </w:r>
    </w:p>
    <w:bookmarkStart w:id="2526" w:name="comment-lire-les-tableaux"/>
    <w:p>
      <w:pPr>
        <w:pStyle w:val="Heading3"/>
      </w:pPr>
      <w:r>
        <w:t xml:space="preserve">Comment lire les tableaux</w:t>
      </w:r>
    </w:p>
    <w:p>
      <w:pPr>
        <w:pStyle w:val="FirstParagraph"/>
      </w:pPr>
      <w:r>
        <w:t xml:space="preserve">Pour chaque groupe de la partie II, deux tableaux suivent : le premier indique le niveau de preuve, l’autorisation et l’ampleur des données, le second le principal résultat d’étude et le risque principal.</w:t>
      </w:r>
    </w:p>
    <w:p>
      <w:pPr>
        <w:pStyle w:val="BodyText"/>
      </w:pPr>
      <w:r>
        <w:rPr>
          <w:bCs/>
          <w:b/>
        </w:rPr>
        <w:t xml:space="preserve">Niveau de preuve</w:t>
      </w:r>
      <w:r>
        <w:t xml:space="preserve"> </w:t>
      </w:r>
      <w:r>
        <w:t xml:space="preserve">(comme dans la partie II) :</w:t>
      </w:r>
    </w:p>
    <w:p>
      <w:pPr>
        <w:numPr>
          <w:ilvl w:val="0"/>
          <w:numId w:val="1320"/>
        </w:numPr>
        <w:pStyle w:val="Compact"/>
      </w:pPr>
      <w:r>
        <w:rPr>
          <w:bCs/>
          <w:b/>
        </w:rPr>
        <w:t xml:space="preserve">A</w:t>
      </w:r>
      <w:r>
        <w:t xml:space="preserve"> </w:t>
      </w:r>
      <w:r>
        <w:t xml:space="preserve">: plusieurs grandes études randomisées chez l’humain, le plus souvent avec autorisation</w:t>
      </w:r>
    </w:p>
    <w:p>
      <w:pPr>
        <w:numPr>
          <w:ilvl w:val="0"/>
          <w:numId w:val="1320"/>
        </w:numPr>
        <w:pStyle w:val="Compact"/>
      </w:pPr>
      <w:r>
        <w:rPr>
          <w:bCs/>
          <w:b/>
        </w:rPr>
        <w:t xml:space="preserve">B</w:t>
      </w:r>
      <w:r>
        <w:t xml:space="preserve"> </w:t>
      </w:r>
      <w:r>
        <w:t xml:space="preserve">: quelques études randomisées chez l’humain</w:t>
      </w:r>
    </w:p>
    <w:p>
      <w:pPr>
        <w:numPr>
          <w:ilvl w:val="0"/>
          <w:numId w:val="1320"/>
        </w:numPr>
        <w:pStyle w:val="Compact"/>
      </w:pPr>
      <w:r>
        <w:rPr>
          <w:bCs/>
          <w:b/>
        </w:rPr>
        <w:t xml:space="preserve">C</w:t>
      </w:r>
      <w:r>
        <w:t xml:space="preserve"> </w:t>
      </w:r>
      <w:r>
        <w:t xml:space="preserve">: uniquement de petites études chez l’humain ou des études non contrôlées</w:t>
      </w:r>
    </w:p>
    <w:p>
      <w:pPr>
        <w:numPr>
          <w:ilvl w:val="0"/>
          <w:numId w:val="1320"/>
        </w:numPr>
        <w:pStyle w:val="Compact"/>
      </w:pPr>
      <w:r>
        <w:rPr>
          <w:bCs/>
          <w:b/>
        </w:rPr>
        <w:t xml:space="preserve">D</w:t>
      </w:r>
      <w:r>
        <w:t xml:space="preserve"> </w:t>
      </w:r>
      <w:r>
        <w:t xml:space="preserve">: uniquement des études animales et de laboratoire</w:t>
      </w:r>
    </w:p>
    <w:p>
      <w:pPr>
        <w:pStyle w:val="FirstParagraph"/>
      </w:pPr>
      <w:r>
        <w:t xml:space="preserve">Le niveau décrit</w:t>
      </w:r>
      <w:r>
        <w:t xml:space="preserve"> </w:t>
      </w:r>
      <w:r>
        <w:rPr>
          <w:iCs/>
          <w:i/>
        </w:rPr>
        <w:t xml:space="preserve">dans quelle mesure</w:t>
      </w:r>
      <w:r>
        <w:t xml:space="preserve"> </w:t>
      </w:r>
      <w:r>
        <w:t xml:space="preserve">quelque chose a été étudié, et non</w:t>
      </w:r>
      <w:r>
        <w:t xml:space="preserve"> </w:t>
      </w:r>
      <w:r>
        <w:rPr>
          <w:iCs/>
          <w:i/>
        </w:rPr>
        <w:t xml:space="preserve">si</w:t>
      </w:r>
      <w:r>
        <w:t xml:space="preserve"> </w:t>
      </w:r>
      <w:r>
        <w:t xml:space="preserve">cela fonctionne – et il ne vaut que pour l’usage étudié.</w:t>
      </w:r>
    </w:p>
    <w:p>
      <w:pPr>
        <w:pStyle w:val="BodyText"/>
      </w:pPr>
      <w:r>
        <w:rPr>
          <w:bCs/>
          <w:b/>
        </w:rPr>
        <w:t xml:space="preserve">Études chez l’humain / registre :</w:t>
      </w:r>
      <w:r>
        <w:t xml:space="preserve"> </w:t>
      </w:r>
      <w:r>
        <w:t xml:space="preserve">les chiffres proviennent de la requête automatisée réalisée pour ce livre (octobre 2026, méthodologie en annexe) : publications classées comme études chez l’humain dans PubMed et entrées dans le registre d’études ClinicalTrials.gov. Ils n’indiquent qu’un ordre de grandeur, dépendent fortement du terme de recherche et contiennent parfois des résultats hors sujet, tandis que des travaux plus anciens publiés sous d’autres noms peuvent manquer. Lorsqu’un chiffre est nettement trompeur, il est signalé par « (rem.) » et expliqué sous le tableau. Les entrées de registre d’un promoteur dont les entrées se sont révélées, à l’examen, être manifestement des entrées fictives d’exemple ou de test ne sont pas comptées.</w:t>
      </w:r>
    </w:p>
    <w:bookmarkEnd w:id="2526"/>
    <w:bookmarkStart w:id="2527" w:name="a.-métabolisme-et-poids"/>
    <w:p>
      <w:pPr>
        <w:pStyle w:val="Heading3"/>
      </w:pPr>
      <w:r>
        <w:t xml:space="preserve">A. Métabolisme et poids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Exénatide</w:t>
            </w:r>
          </w:p>
        </w:tc>
        <w:tc>
          <w:tcPr/>
          <w:p>
            <w:pPr>
              <w:pStyle w:val="Compact"/>
              <w:jc w:val="left"/>
            </w:pPr>
            <w:r>
              <w:t xml:space="preserve">A</w:t>
            </w:r>
          </w:p>
        </w:tc>
        <w:tc>
          <w:tcPr/>
          <w:p>
            <w:pPr>
              <w:pStyle w:val="Compact"/>
              <w:jc w:val="left"/>
            </w:pPr>
            <w:r>
              <w:t xml:space="preserve">oui / oui</w:t>
            </w:r>
          </w:p>
        </w:tc>
        <w:tc>
          <w:tcPr/>
          <w:p>
            <w:pPr>
              <w:pStyle w:val="Compact"/>
              <w:jc w:val="left"/>
            </w:pPr>
            <w:r>
              <w:t xml:space="preserve">437 / 379</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oui / oui (génériques aussi)</w:t>
            </w:r>
          </w:p>
        </w:tc>
        <w:tc>
          <w:tcPr/>
          <w:p>
            <w:pPr>
              <w:pStyle w:val="Compact"/>
              <w:jc w:val="left"/>
            </w:pPr>
            <w:r>
              <w:t xml:space="preserve">613 / 517</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oui / oui</w:t>
            </w:r>
          </w:p>
        </w:tc>
        <w:tc>
          <w:tcPr/>
          <w:p>
            <w:pPr>
              <w:pStyle w:val="Compact"/>
              <w:jc w:val="left"/>
            </w:pPr>
            <w:r>
              <w:t xml:space="preserve">158 / 143</w:t>
            </w:r>
          </w:p>
        </w:tc>
      </w:tr>
      <w:tr>
        <w:tc>
          <w:tcPr/>
          <w:p>
            <w:pPr>
              <w:pStyle w:val="Compact"/>
              <w:jc w:val="left"/>
            </w:pPr>
            <w:r>
              <w:t xml:space="preserve">Sémaglutide</w:t>
            </w:r>
          </w:p>
        </w:tc>
        <w:tc>
          <w:tcPr/>
          <w:p>
            <w:pPr>
              <w:pStyle w:val="Compact"/>
              <w:jc w:val="left"/>
            </w:pPr>
            <w:r>
              <w:t xml:space="preserve">A</w:t>
            </w:r>
          </w:p>
        </w:tc>
        <w:tc>
          <w:tcPr/>
          <w:p>
            <w:pPr>
              <w:pStyle w:val="Compact"/>
              <w:jc w:val="left"/>
            </w:pPr>
            <w:r>
              <w:t xml:space="preserve">oui / oui (injection et comprimé)</w:t>
            </w:r>
          </w:p>
        </w:tc>
        <w:tc>
          <w:tcPr/>
          <w:p>
            <w:pPr>
              <w:pStyle w:val="Compact"/>
              <w:jc w:val="left"/>
            </w:pPr>
            <w:r>
              <w:t xml:space="preserve">342 / 793</w:t>
            </w:r>
          </w:p>
        </w:tc>
      </w:tr>
      <w:tr>
        <w:tc>
          <w:tcPr/>
          <w:p>
            <w:pPr>
              <w:pStyle w:val="Compact"/>
              <w:jc w:val="left"/>
            </w:pPr>
            <w:r>
              <w:t xml:space="preserve">Tirzépatide</w:t>
            </w:r>
          </w:p>
        </w:tc>
        <w:tc>
          <w:tcPr/>
          <w:p>
            <w:pPr>
              <w:pStyle w:val="Compact"/>
              <w:jc w:val="left"/>
            </w:pPr>
            <w:r>
              <w:t xml:space="preserve">A</w:t>
            </w:r>
          </w:p>
        </w:tc>
        <w:tc>
          <w:tcPr/>
          <w:p>
            <w:pPr>
              <w:pStyle w:val="Compact"/>
              <w:jc w:val="left"/>
            </w:pPr>
            <w:r>
              <w:t xml:space="preserve">oui / oui</w:t>
            </w:r>
          </w:p>
        </w:tc>
        <w:tc>
          <w:tcPr/>
          <w:p>
            <w:pPr>
              <w:pStyle w:val="Compact"/>
              <w:jc w:val="left"/>
            </w:pPr>
            <w:r>
              <w:t xml:space="preserve">144 / 307</w:t>
            </w:r>
          </w:p>
        </w:tc>
      </w:tr>
      <w:tr>
        <w:tc>
          <w:tcPr/>
          <w:p>
            <w:pPr>
              <w:pStyle w:val="Compact"/>
              <w:jc w:val="left"/>
            </w:pPr>
            <w:r>
              <w:t xml:space="preserve">Rétatrutide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10 / 32</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10 / 29</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non / non (Chine uniquement, 2025)</w:t>
            </w:r>
          </w:p>
        </w:tc>
        <w:tc>
          <w:tcPr/>
          <w:p>
            <w:pPr>
              <w:pStyle w:val="Compact"/>
              <w:jc w:val="left"/>
            </w:pPr>
            <w:r>
              <w:t xml:space="preserve">9 / 44</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15 / 44</w:t>
            </w:r>
          </w:p>
        </w:tc>
      </w:tr>
      <w:tr>
        <w:tc>
          <w:tcPr/>
          <w:p>
            <w:pPr>
              <w:pStyle w:val="Compact"/>
              <w:jc w:val="left"/>
            </w:pPr>
            <w:r>
              <w:t xml:space="preserve">Amycrétine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4 / 1 (rem.)</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2 / 28</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non / oui</w:t>
            </w:r>
          </w:p>
        </w:tc>
        <w:tc>
          <w:tcPr/>
          <w:p>
            <w:pPr>
              <w:pStyle w:val="Compact"/>
              <w:jc w:val="left"/>
            </w:pPr>
            <w:r>
              <w:t xml:space="preserve">76 / 64</w:t>
            </w:r>
          </w:p>
        </w:tc>
      </w:tr>
      <w:tr>
        <w:tc>
          <w:tcPr/>
          <w:p>
            <w:pPr>
              <w:pStyle w:val="Compact"/>
              <w:jc w:val="left"/>
            </w:pPr>
            <w:r>
              <w:t xml:space="preserve">Setmélanotide</w:t>
            </w:r>
          </w:p>
        </w:tc>
        <w:tc>
          <w:tcPr/>
          <w:p>
            <w:pPr>
              <w:pStyle w:val="Compact"/>
              <w:jc w:val="left"/>
            </w:pPr>
            <w:r>
              <w:t xml:space="preserve">A</w:t>
            </w:r>
          </w:p>
        </w:tc>
        <w:tc>
          <w:tcPr/>
          <w:p>
            <w:pPr>
              <w:pStyle w:val="Compact"/>
              <w:jc w:val="left"/>
            </w:pPr>
            <w:r>
              <w:t xml:space="preserve">oui / oui (formes génétiques rares)</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Orforglipron (pas un peptide)</w:t>
            </w:r>
          </w:p>
        </w:tc>
        <w:tc>
          <w:tcPr/>
          <w:p>
            <w:pPr>
              <w:pStyle w:val="Compact"/>
              <w:jc w:val="left"/>
            </w:pPr>
            <w:r>
              <w:t xml:space="preserve">A</w:t>
            </w:r>
          </w:p>
        </w:tc>
        <w:tc>
          <w:tcPr/>
          <w:p>
            <w:pPr>
              <w:pStyle w:val="Compact"/>
              <w:jc w:val="left"/>
            </w:pPr>
            <w:r>
              <w:t xml:space="preserve">non / demande déposée (à vérifier)</w:t>
            </w:r>
          </w:p>
        </w:tc>
        <w:tc>
          <w:tcPr/>
          <w:p>
            <w:pPr>
              <w:pStyle w:val="Compact"/>
              <w:jc w:val="left"/>
            </w:pPr>
            <w:r>
              <w:t xml:space="preserve">20 / 53</w:t>
            </w:r>
          </w:p>
        </w:tc>
      </w:tr>
    </w:tbl>
    <w:p>
      <w:pPr>
        <w:pStyle w:val="BodyText"/>
      </w:pPr>
      <w:r>
        <w:t xml:space="preserve">Remarque sur le tableau : pour l’</w:t>
      </w:r>
      <w:r>
        <w:rPr>
          <w:bCs/>
          <w:b/>
        </w:rPr>
        <w:t xml:space="preserve">amycrétine</w:t>
      </w:r>
      <w:r>
        <w:t xml:space="preserve">, la recherche dans le registre n’a trouvé qu’une seule entrée ; sous le nom de zénagamtide et sous le code de développement, une trentaine d’études sont enregistrées, dont le programme de phase 3 commencé en 2026. Pour le</w:t>
      </w:r>
      <w:r>
        <w:t xml:space="preserve"> </w:t>
      </w:r>
      <w:r>
        <w:rPr>
          <w:bCs/>
          <w:b/>
        </w:rPr>
        <w:t xml:space="preserve">mazdutide</w:t>
      </w:r>
      <w:r>
        <w:t xml:space="preserve">, les études proviennent presque toutes de Chine ; pour l’</w:t>
      </w:r>
      <w:r>
        <w:rPr>
          <w:bCs/>
          <w:b/>
        </w:rPr>
        <w:t xml:space="preserve">orforglipron</w:t>
      </w:r>
      <w:r>
        <w:t xml:space="preserve">, l’autorisation était encore attendue à la date de clôture de la rédaction.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Exénatide</w:t>
            </w:r>
          </w:p>
        </w:tc>
        <w:tc>
          <w:tcPr/>
          <w:p>
            <w:pPr>
              <w:pStyle w:val="Compact"/>
              <w:jc w:val="left"/>
            </w:pPr>
            <w:r>
              <w:t xml:space="preserve">EXSCEL : risque cardiovasculaire non augmenté, mais pas non plus significativement réduit (HR 0,91 ; PMID 28910237)</w:t>
            </w:r>
          </w:p>
        </w:tc>
        <w:tc>
          <w:tcPr/>
          <w:p>
            <w:pPr>
              <w:pStyle w:val="Compact"/>
              <w:jc w:val="left"/>
            </w:pPr>
            <w:r>
              <w:t xml:space="preserve">Nausées, nodules, anticorps</w:t>
            </w:r>
          </w:p>
        </w:tc>
      </w:tr>
      <w:tr>
        <w:tc>
          <w:tcPr/>
          <w:p>
            <w:pPr>
              <w:pStyle w:val="Compact"/>
              <w:jc w:val="left"/>
            </w:pPr>
            <w:r>
              <w:t xml:space="preserve">Liraglutide</w:t>
            </w:r>
          </w:p>
        </w:tc>
        <w:tc>
          <w:tcPr/>
          <w:p>
            <w:pPr>
              <w:pStyle w:val="Compact"/>
              <w:jc w:val="left"/>
            </w:pPr>
            <w:r>
              <w:t xml:space="preserve">LEADER : 13 % d’événements cardiovasculaires en moins (PMID 27295427) ; SCALE : −8,4 contre −2,8 kg (PMID 26132939)</w:t>
            </w:r>
          </w:p>
        </w:tc>
        <w:tc>
          <w:tcPr/>
          <w:p>
            <w:pPr>
              <w:pStyle w:val="Compact"/>
              <w:jc w:val="left"/>
            </w:pPr>
            <w:r>
              <w:t xml:space="preserve">Troubles digestifs, vésicule biliaire</w:t>
            </w:r>
          </w:p>
        </w:tc>
      </w:tr>
      <w:tr>
        <w:tc>
          <w:tcPr/>
          <w:p>
            <w:pPr>
              <w:pStyle w:val="Compact"/>
              <w:jc w:val="left"/>
            </w:pPr>
            <w:r>
              <w:t xml:space="preserve">Dulaglutide</w:t>
            </w:r>
          </w:p>
        </w:tc>
        <w:tc>
          <w:tcPr/>
          <w:p>
            <w:pPr>
              <w:pStyle w:val="Compact"/>
              <w:jc w:val="left"/>
            </w:pPr>
            <w:r>
              <w:t xml:space="preserve">REWIND : 12 % d’événements cardiovasculaires graves en moins chez 9 901 participants (PMID 31189511)</w:t>
            </w:r>
          </w:p>
        </w:tc>
        <w:tc>
          <w:tcPr/>
          <w:p>
            <w:pPr>
              <w:pStyle w:val="Compact"/>
              <w:jc w:val="left"/>
            </w:pPr>
            <w:r>
              <w:t xml:space="preserve">Troubles digestifs ; hypoglycémie en association</w:t>
            </w:r>
          </w:p>
        </w:tc>
      </w:tr>
      <w:tr>
        <w:tc>
          <w:tcPr/>
          <w:p>
            <w:pPr>
              <w:pStyle w:val="Compact"/>
              <w:jc w:val="left"/>
            </w:pPr>
            <w:r>
              <w:t xml:space="preserve">Sémaglutide</w:t>
            </w:r>
          </w:p>
        </w:tc>
        <w:tc>
          <w:tcPr/>
          <w:p>
            <w:pPr>
              <w:pStyle w:val="Compact"/>
              <w:jc w:val="left"/>
            </w:pPr>
            <w:r>
              <w:t xml:space="preserve">STEP 1 : −14,9 % contre −2,4 % (PMID 33567185) ; SELECT : 20 % d’événements cardiovasculaires en moins (PMID 37952131)</w:t>
            </w:r>
          </w:p>
        </w:tc>
        <w:tc>
          <w:tcPr/>
          <w:p>
            <w:pPr>
              <w:pStyle w:val="Compact"/>
              <w:jc w:val="left"/>
            </w:pPr>
            <w:r>
              <w:t xml:space="preserve">Troubles digestifs, vésicule biliaire, signal rare de NOIAN, contrefaçons</w:t>
            </w:r>
          </w:p>
        </w:tc>
      </w:tr>
      <w:tr>
        <w:tc>
          <w:tcPr/>
          <w:p>
            <w:pPr>
              <w:pStyle w:val="Compact"/>
              <w:jc w:val="left"/>
            </w:pPr>
            <w:r>
              <w:t xml:space="preserve">Tirzépatide</w:t>
            </w:r>
          </w:p>
        </w:tc>
        <w:tc>
          <w:tcPr/>
          <w:p>
            <w:pPr>
              <w:pStyle w:val="Compact"/>
              <w:jc w:val="left"/>
            </w:pPr>
            <w:r>
              <w:t xml:space="preserve">SURMOUNT-5 : −20,2 % contre −13,7 % sous sémaglutide (PMID 40353578)</w:t>
            </w:r>
          </w:p>
        </w:tc>
        <w:tc>
          <w:tcPr/>
          <w:p>
            <w:pPr>
              <w:pStyle w:val="Compact"/>
              <w:jc w:val="left"/>
            </w:pPr>
            <w:r>
              <w:t xml:space="preserve">Troubles digestifs, voies biliaires ; reprise de poids après l’arrêt</w:t>
            </w:r>
          </w:p>
        </w:tc>
      </w:tr>
      <w:tr>
        <w:tc>
          <w:tcPr/>
          <w:p>
            <w:pPr>
              <w:pStyle w:val="Compact"/>
              <w:jc w:val="left"/>
            </w:pPr>
            <w:r>
              <w:t xml:space="preserve">Rétatrutide</w:t>
            </w:r>
          </w:p>
        </w:tc>
        <w:tc>
          <w:tcPr/>
          <w:p>
            <w:pPr>
              <w:pStyle w:val="Compact"/>
              <w:jc w:val="left"/>
            </w:pPr>
            <w:r>
              <w:t xml:space="preserve">TRIUMPH-1 : jusqu’à −25,0 % contre −3,9 % après 80 semaines (PMID 42814954)</w:t>
            </w:r>
          </w:p>
        </w:tc>
        <w:tc>
          <w:tcPr/>
          <w:p>
            <w:pPr>
              <w:pStyle w:val="Compact"/>
              <w:jc w:val="left"/>
            </w:pPr>
            <w:r>
              <w:t xml:space="preserve">Troubles digestifs, dysesthésies cutanées, plus d’abandons à dose élevée</w:t>
            </w:r>
          </w:p>
        </w:tc>
      </w:tr>
      <w:tr>
        <w:tc>
          <w:tcPr/>
          <w:p>
            <w:pPr>
              <w:pStyle w:val="Compact"/>
              <w:jc w:val="left"/>
            </w:pPr>
            <w:r>
              <w:t xml:space="preserve">Survodutide</w:t>
            </w:r>
          </w:p>
        </w:tc>
        <w:tc>
          <w:tcPr/>
          <w:p>
            <w:pPr>
              <w:pStyle w:val="Compact"/>
              <w:jc w:val="left"/>
            </w:pPr>
            <w:r>
              <w:t xml:space="preserve">SYNCHRONIZE-1 : jusqu’à −13,0 % contre −5,4 % après 76 semaines (PMID 42253238)</w:t>
            </w:r>
          </w:p>
        </w:tc>
        <w:tc>
          <w:tcPr/>
          <w:p>
            <w:pPr>
              <w:pStyle w:val="Compact"/>
              <w:jc w:val="left"/>
            </w:pPr>
            <w:r>
              <w:t xml:space="preserve">Troubles digestifs très fréquents</w:t>
            </w:r>
          </w:p>
        </w:tc>
      </w:tr>
      <w:tr>
        <w:tc>
          <w:tcPr/>
          <w:p>
            <w:pPr>
              <w:pStyle w:val="Compact"/>
              <w:jc w:val="left"/>
            </w:pPr>
            <w:r>
              <w:t xml:space="preserve">Mazdutide</w:t>
            </w:r>
          </w:p>
        </w:tc>
        <w:tc>
          <w:tcPr/>
          <w:p>
            <w:pPr>
              <w:pStyle w:val="Compact"/>
              <w:jc w:val="left"/>
            </w:pPr>
            <w:r>
              <w:t xml:space="preserve">GLORY-1 : jusqu’à −14,0 % contre +0,3 % après 48 semaines (PMID 40421736)</w:t>
            </w:r>
          </w:p>
        </w:tc>
        <w:tc>
          <w:tcPr/>
          <w:p>
            <w:pPr>
              <w:pStyle w:val="Compact"/>
              <w:jc w:val="left"/>
            </w:pPr>
            <w:r>
              <w:t xml:space="preserve">Troubles digestifs, surtout vomissements</w:t>
            </w:r>
          </w:p>
        </w:tc>
      </w:tr>
      <w:tr>
        <w:tc>
          <w:tcPr/>
          <w:p>
            <w:pPr>
              <w:pStyle w:val="Compact"/>
              <w:jc w:val="left"/>
            </w:pPr>
            <w:r>
              <w:t xml:space="preserve">Cagrilintide / CagriSema</w:t>
            </w:r>
          </w:p>
        </w:tc>
        <w:tc>
          <w:tcPr/>
          <w:p>
            <w:pPr>
              <w:pStyle w:val="Compact"/>
              <w:jc w:val="left"/>
            </w:pPr>
            <w:r>
              <w:t xml:space="preserve">REDEFINE 1 : −20,4 % contre −3,0 % après 68 semaines (PMID 40544433)</w:t>
            </w:r>
          </w:p>
        </w:tc>
        <w:tc>
          <w:tcPr/>
          <w:p>
            <w:pPr>
              <w:pStyle w:val="Compact"/>
              <w:jc w:val="left"/>
            </w:pPr>
            <w:r>
              <w:t xml:space="preserve">Troubles digestifs chez environ 80 %</w:t>
            </w:r>
          </w:p>
        </w:tc>
      </w:tr>
      <w:tr>
        <w:tc>
          <w:tcPr/>
          <w:p>
            <w:pPr>
              <w:pStyle w:val="Compact"/>
              <w:jc w:val="left"/>
            </w:pPr>
            <w:r>
              <w:t xml:space="preserve">Amycrétine</w:t>
            </w:r>
          </w:p>
        </w:tc>
        <w:tc>
          <w:tcPr/>
          <w:p>
            <w:pPr>
              <w:pStyle w:val="Compact"/>
              <w:jc w:val="left"/>
            </w:pPr>
            <w:r>
              <w:t xml:space="preserve">Phase 1b/2a : jusqu’à −24,3 % contre −1,1 % après 36 semaines (PMID 40550231)</w:t>
            </w:r>
          </w:p>
        </w:tc>
        <w:tc>
          <w:tcPr/>
          <w:p>
            <w:pPr>
              <w:pStyle w:val="Compact"/>
              <w:jc w:val="left"/>
            </w:pPr>
            <w:r>
              <w:t xml:space="preserve">Troubles digestifs ; conséquences à long terme inconnues</w:t>
            </w:r>
          </w:p>
        </w:tc>
      </w:tr>
      <w:tr>
        <w:tc>
          <w:tcPr/>
          <w:p>
            <w:pPr>
              <w:pStyle w:val="Compact"/>
              <w:jc w:val="left"/>
            </w:pPr>
            <w:r>
              <w:t xml:space="preserve">Maridebart cafraglutide</w:t>
            </w:r>
          </w:p>
        </w:tc>
        <w:tc>
          <w:tcPr/>
          <w:p>
            <w:pPr>
              <w:pStyle w:val="Compact"/>
              <w:jc w:val="left"/>
            </w:pPr>
            <w:r>
              <w:t xml:space="preserve">Phase 2 : −12,3 à −16,2 % contre −2,5 % après 52 semaines (PMID 40549887)</w:t>
            </w:r>
          </w:p>
        </w:tc>
        <w:tc>
          <w:tcPr/>
          <w:p>
            <w:pPr>
              <w:pStyle w:val="Compact"/>
              <w:jc w:val="left"/>
            </w:pPr>
            <w:r>
              <w:t xml:space="preserve">Troubles digestifs ; durée d’action très longue</w:t>
            </w:r>
          </w:p>
        </w:tc>
      </w:tr>
      <w:tr>
        <w:tc>
          <w:tcPr/>
          <w:p>
            <w:pPr>
              <w:pStyle w:val="Compact"/>
              <w:jc w:val="left"/>
            </w:pPr>
            <w:r>
              <w:t xml:space="preserve">Pramlintide</w:t>
            </w:r>
          </w:p>
        </w:tc>
        <w:tc>
          <w:tcPr/>
          <w:p>
            <w:pPr>
              <w:pStyle w:val="Compact"/>
              <w:jc w:val="left"/>
            </w:pPr>
            <w:r>
              <w:t xml:space="preserve">HbA1c −0,62 point de pourcentage, poids −1,4 kg (PMID 12610038)</w:t>
            </w:r>
          </w:p>
        </w:tc>
        <w:tc>
          <w:tcPr/>
          <w:p>
            <w:pPr>
              <w:pStyle w:val="Compact"/>
              <w:jc w:val="left"/>
            </w:pPr>
            <w:r>
              <w:t xml:space="preserve">Hypoglycémie sévère avec l’insuline, nausées</w:t>
            </w:r>
          </w:p>
        </w:tc>
      </w:tr>
      <w:tr>
        <w:tc>
          <w:tcPr/>
          <w:p>
            <w:pPr>
              <w:pStyle w:val="Compact"/>
              <w:jc w:val="left"/>
            </w:pPr>
            <w:r>
              <w:t xml:space="preserve">Setmélanotide</w:t>
            </w:r>
          </w:p>
        </w:tc>
        <w:tc>
          <w:tcPr/>
          <w:p>
            <w:pPr>
              <w:pStyle w:val="Compact"/>
              <w:jc w:val="left"/>
            </w:pPr>
            <w:r>
              <w:t xml:space="preserve">TRANSCEND : IMC −16,5 % contre +3,3 % dans l’obésité hypothalamique (PMID 42418774)</w:t>
            </w:r>
          </w:p>
        </w:tc>
        <w:tc>
          <w:tcPr/>
          <w:p>
            <w:pPr>
              <w:pStyle w:val="Compact"/>
              <w:jc w:val="left"/>
            </w:pPr>
            <w:r>
              <w:t xml:space="preserve">Points d’injection, assombrissement de la peau, nausées</w:t>
            </w:r>
          </w:p>
        </w:tc>
      </w:tr>
      <w:tr>
        <w:tc>
          <w:tcPr/>
          <w:p>
            <w:pPr>
              <w:pStyle w:val="Compact"/>
              <w:jc w:val="left"/>
            </w:pPr>
            <w:r>
              <w:t xml:space="preserve">AOD-9604</w:t>
            </w:r>
          </w:p>
        </w:tc>
        <w:tc>
          <w:tcPr/>
          <w:p>
            <w:pPr>
              <w:pStyle w:val="Compact"/>
              <w:jc w:val="left"/>
            </w:pPr>
            <w:r>
              <w:t xml:space="preserve">Données animales uniquement : moins de prise de poids chez la souris (PMID 11673763)</w:t>
            </w:r>
          </w:p>
        </w:tc>
        <w:tc>
          <w:tcPr/>
          <w:p>
            <w:pPr>
              <w:pStyle w:val="Compact"/>
              <w:jc w:val="left"/>
            </w:pPr>
            <w:r>
              <w:t xml:space="preserve">Effet chez l’humain inconnu</w:t>
            </w:r>
          </w:p>
        </w:tc>
      </w:tr>
      <w:tr>
        <w:tc>
          <w:tcPr/>
          <w:p>
            <w:pPr>
              <w:pStyle w:val="Compact"/>
              <w:jc w:val="left"/>
            </w:pPr>
            <w:r>
              <w:t xml:space="preserve">Orforglipron</w:t>
            </w:r>
          </w:p>
        </w:tc>
        <w:tc>
          <w:tcPr/>
          <w:p>
            <w:pPr>
              <w:pStyle w:val="Compact"/>
              <w:jc w:val="left"/>
            </w:pPr>
            <w:r>
              <w:t xml:space="preserve">ATTAIN-1 : jusqu’à −11,2 % contre −2,1 % en comprimé (PMID 40960239)</w:t>
            </w:r>
          </w:p>
        </w:tc>
        <w:tc>
          <w:tcPr/>
          <w:p>
            <w:pPr>
              <w:pStyle w:val="Compact"/>
              <w:jc w:val="left"/>
            </w:pPr>
            <w:r>
              <w:t xml:space="preserve">Troubles digestifs, un peu plus d’abandons qu’avec le sémaglutide en comprimé</w:t>
            </w:r>
          </w:p>
        </w:tc>
      </w:tr>
    </w:tbl>
    <w:bookmarkEnd w:id="2527"/>
    <w:bookmarkStart w:id="2528" w:name="X014961a156fe25f6d2665c8d52b06f9161d24af"/>
    <w:p>
      <w:pPr>
        <w:pStyle w:val="Heading3"/>
      </w:pPr>
      <w:r>
        <w:t xml:space="preserve">B. Cicatrisation, régénération et système immunitaire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0 / 4 (rem.)</w:t>
            </w:r>
          </w:p>
        </w:tc>
      </w:tr>
      <w:tr>
        <w:tc>
          <w:tcPr/>
          <w:p>
            <w:pPr>
              <w:pStyle w:val="Compact"/>
              <w:jc w:val="left"/>
            </w:pPr>
            <w:r>
              <w:t xml:space="preserve">TB-500 / thymosine bêta-4</w:t>
            </w:r>
          </w:p>
        </w:tc>
        <w:tc>
          <w:tcPr/>
          <w:p>
            <w:pPr>
              <w:pStyle w:val="Compact"/>
              <w:jc w:val="left"/>
            </w:pPr>
            <w:r>
              <w:t xml:space="preserve">B (Tβ4) / D (TB-500)</w:t>
            </w:r>
          </w:p>
        </w:tc>
        <w:tc>
          <w:tcPr/>
          <w:p>
            <w:pPr>
              <w:pStyle w:val="Compact"/>
              <w:jc w:val="left"/>
            </w:pPr>
            <w:r>
              <w:t xml:space="preserve">non / non</w:t>
            </w:r>
          </w:p>
        </w:tc>
        <w:tc>
          <w:tcPr/>
          <w:p>
            <w:pPr>
              <w:pStyle w:val="Compact"/>
              <w:jc w:val="left"/>
            </w:pPr>
            <w:r>
              <w:t xml:space="preserve">9 / 18 (rem.)</w:t>
            </w:r>
          </w:p>
        </w:tc>
      </w:tr>
      <w:tr>
        <w:tc>
          <w:tcPr/>
          <w:p>
            <w:pPr>
              <w:pStyle w:val="Compact"/>
              <w:jc w:val="left"/>
            </w:pPr>
            <w:r>
              <w:t xml:space="preserve">Thymosine alpha-1</w:t>
            </w:r>
          </w:p>
        </w:tc>
        <w:tc>
          <w:tcPr/>
          <w:p>
            <w:pPr>
              <w:pStyle w:val="Compact"/>
              <w:jc w:val="left"/>
            </w:pPr>
            <w:r>
              <w:t xml:space="preserve">B</w:t>
            </w:r>
          </w:p>
        </w:tc>
        <w:tc>
          <w:tcPr/>
          <w:p>
            <w:pPr>
              <w:pStyle w:val="Compact"/>
              <w:jc w:val="left"/>
            </w:pPr>
            <w:r>
              <w:t xml:space="preserve">non / non (autorisée notamment en Chine)</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91 / 20 (rem.)</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5 / 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4 / 10 (rem.)</w:t>
            </w:r>
          </w:p>
        </w:tc>
      </w:tr>
      <w:tr>
        <w:tc>
          <w:tcPr/>
          <w:p>
            <w:pPr>
              <w:pStyle w:val="Compact"/>
              <w:jc w:val="left"/>
            </w:pPr>
            <w:r>
              <w:t xml:space="preserve">Thymaline</w:t>
            </w:r>
          </w:p>
        </w:tc>
        <w:tc>
          <w:tcPr/>
          <w:p>
            <w:pPr>
              <w:pStyle w:val="Compact"/>
              <w:jc w:val="left"/>
            </w:pPr>
            <w:r>
              <w:t xml:space="preserve">C</w:t>
            </w:r>
          </w:p>
        </w:tc>
        <w:tc>
          <w:tcPr/>
          <w:p>
            <w:pPr>
              <w:pStyle w:val="Compact"/>
              <w:jc w:val="left"/>
            </w:pPr>
            <w:r>
              <w:t xml:space="preserve">non / non (autorisée en Russie)</w:t>
            </w:r>
          </w:p>
        </w:tc>
        <w:tc>
          <w:tcPr/>
          <w:p>
            <w:pPr>
              <w:pStyle w:val="Compact"/>
              <w:jc w:val="left"/>
            </w:pPr>
            <w:r>
              <w:t xml:space="preserve">17 / 0</w:t>
            </w:r>
          </w:p>
        </w:tc>
      </w:tr>
    </w:tbl>
    <w:p>
      <w:pPr>
        <w:pStyle w:val="BodyText"/>
      </w:pPr>
      <w:r>
        <w:t xml:space="preserve">Remarques sur le tableau : pour le</w:t>
      </w:r>
      <w:r>
        <w:t xml:space="preserve"> </w:t>
      </w:r>
      <w:r>
        <w:rPr>
          <w:bCs/>
          <w:b/>
        </w:rPr>
        <w:t xml:space="preserve">BPC-157</w:t>
      </w:r>
      <w:r>
        <w:t xml:space="preserve">, aucune publication ne remplissait les critères de filtrage de la recherche automatique ; il existe en réalité trois petites études non contrôlées portant au total sur une trentaine de personnes. Pour le</w:t>
      </w:r>
      <w:r>
        <w:t xml:space="preserve"> </w:t>
      </w:r>
      <w:r>
        <w:rPr>
          <w:bCs/>
          <w:b/>
        </w:rPr>
        <w:t xml:space="preserve">TB-500</w:t>
      </w:r>
      <w:r>
        <w:t xml:space="preserve">, les résultats concernent la protéine entière thymosine bêta-4 (seuls six l’utilisent comme principe actif) ; aucun n’étudie le TB-500. Pour le</w:t>
      </w:r>
      <w:r>
        <w:t xml:space="preserve"> </w:t>
      </w:r>
      <w:r>
        <w:rPr>
          <w:bCs/>
          <w:b/>
        </w:rPr>
        <w:t xml:space="preserve">LL-37</w:t>
      </w:r>
      <w:r>
        <w:t xml:space="preserve">, la plupart des résultats ne mesurent le LL-37 que comme valeur de laboratoire, par exemple dans des études sur la vitamine D ; les études dans lesquelles le LL-37 lui-même a été administré ne sont que cinq dans PubMed et deux dans le registre. Pour le</w:t>
      </w:r>
      <w:r>
        <w:t xml:space="preserve"> </w:t>
      </w:r>
      <w:r>
        <w:rPr>
          <w:bCs/>
          <w:b/>
        </w:rPr>
        <w:t xml:space="preserve">larazotide</w:t>
      </w:r>
      <w:r>
        <w:t xml:space="preserve">, la recherche a trouvé 29 entrées de registre, dont 19 concernent un autre médicament portant le même ancien code de développement ; le tableau indique le chiffre corrigé.</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BPC-157</w:t>
            </w:r>
          </w:p>
        </w:tc>
        <w:tc>
          <w:tcPr/>
          <w:p>
            <w:pPr>
              <w:pStyle w:val="Compact"/>
              <w:jc w:val="left"/>
            </w:pPr>
            <w:r>
              <w:t xml:space="preserve">Trois études pilotes non contrôlées, preuves très faibles selon une revue (PMID 42885452)</w:t>
            </w:r>
          </w:p>
        </w:tc>
        <w:tc>
          <w:tcPr/>
          <w:p>
            <w:pPr>
              <w:pStyle w:val="Compact"/>
              <w:jc w:val="left"/>
            </w:pPr>
            <w:r>
              <w:t xml:space="preserve">Sécurité à long terme inconnue, qualité du marché gris</w:t>
            </w:r>
          </w:p>
        </w:tc>
      </w:tr>
      <w:tr>
        <w:tc>
          <w:tcPr/>
          <w:p>
            <w:pPr>
              <w:pStyle w:val="Compact"/>
              <w:jc w:val="left"/>
            </w:pPr>
            <w:r>
              <w:t xml:space="preserve">TB-500 / thymosine bêta-4</w:t>
            </w:r>
          </w:p>
        </w:tc>
        <w:tc>
          <w:tcPr/>
          <w:p>
            <w:pPr>
              <w:pStyle w:val="Compact"/>
              <w:jc w:val="left"/>
            </w:pPr>
            <w:r>
              <w:t xml:space="preserve">Tβ4 après infarctus : taille de l’infarctus pas significativement réduite (PMID 41229390) ; TB-500 non évalué</w:t>
            </w:r>
          </w:p>
        </w:tc>
        <w:tc>
          <w:tcPr/>
          <w:p>
            <w:pPr>
              <w:pStyle w:val="Compact"/>
              <w:jc w:val="left"/>
            </w:pPr>
            <w:r>
              <w:t xml:space="preserve">Contenu incertain, promotion tumorale théorique</w:t>
            </w:r>
          </w:p>
        </w:tc>
      </w:tr>
      <w:tr>
        <w:tc>
          <w:tcPr/>
          <w:p>
            <w:pPr>
              <w:pStyle w:val="Compact"/>
              <w:jc w:val="left"/>
            </w:pPr>
            <w:r>
              <w:t xml:space="preserve">Thymosine alpha-1</w:t>
            </w:r>
          </w:p>
        </w:tc>
        <w:tc>
          <w:tcPr/>
          <w:p>
            <w:pPr>
              <w:pStyle w:val="Compact"/>
              <w:jc w:val="left"/>
            </w:pPr>
            <w:r>
              <w:t xml:space="preserve">TESTS dans le sepsis : mortalité à 28 jours 23,4 % contre 24,1 %, aucune différence (PMID 39814420)</w:t>
            </w:r>
          </w:p>
        </w:tc>
        <w:tc>
          <w:tcPr/>
          <w:p>
            <w:pPr>
              <w:pStyle w:val="Compact"/>
              <w:jc w:val="left"/>
            </w:pPr>
            <w:r>
              <w:t xml:space="preserve">Désavantages possibles dans des sous-groupes ; marché gris</w:t>
            </w:r>
          </w:p>
        </w:tc>
      </w:tr>
      <w:tr>
        <w:tc>
          <w:tcPr/>
          <w:p>
            <w:pPr>
              <w:pStyle w:val="Compact"/>
              <w:jc w:val="left"/>
            </w:pPr>
            <w:r>
              <w:t xml:space="preserve">KPV</w:t>
            </w:r>
          </w:p>
        </w:tc>
        <w:tc>
          <w:tcPr/>
          <w:p>
            <w:pPr>
              <w:pStyle w:val="Compact"/>
              <w:jc w:val="left"/>
            </w:pPr>
            <w:r>
              <w:t xml:space="preserve">Données animales uniquement : moins d’inflammation intestinale chez la souris (PMID 18061177)</w:t>
            </w:r>
          </w:p>
        </w:tc>
        <w:tc>
          <w:tcPr/>
          <w:p>
            <w:pPr>
              <w:pStyle w:val="Compact"/>
              <w:jc w:val="left"/>
            </w:pPr>
            <w:r>
              <w:t xml:space="preserve">Profil chez l’humain totalement inconnu</w:t>
            </w:r>
          </w:p>
        </w:tc>
      </w:tr>
      <w:tr>
        <w:tc>
          <w:tcPr/>
          <w:p>
            <w:pPr>
              <w:pStyle w:val="Compact"/>
              <w:jc w:val="left"/>
            </w:pPr>
            <w:r>
              <w:t xml:space="preserve">LL-37</w:t>
            </w:r>
          </w:p>
        </w:tc>
        <w:tc>
          <w:tcPr/>
          <w:p>
            <w:pPr>
              <w:pStyle w:val="Compact"/>
              <w:jc w:val="left"/>
            </w:pPr>
            <w:r>
              <w:t xml:space="preserve">HEAL LL-37 : les ulcères de jambe n’ont pas mieux cicatrisé que sous placebo (PMID 34687253)</w:t>
            </w:r>
          </w:p>
        </w:tc>
        <w:tc>
          <w:tcPr/>
          <w:p>
            <w:pPr>
              <w:pStyle w:val="Compact"/>
              <w:jc w:val="left"/>
            </w:pPr>
            <w:r>
              <w:t xml:space="preserve">Réactions inflammatoires et auto-immunes</w:t>
            </w:r>
          </w:p>
        </w:tc>
      </w:tr>
      <w:tr>
        <w:tc>
          <w:tcPr/>
          <w:p>
            <w:pPr>
              <w:pStyle w:val="Compact"/>
              <w:jc w:val="left"/>
            </w:pPr>
            <w:r>
              <w:t xml:space="preserve">ARA-290</w:t>
            </w:r>
          </w:p>
        </w:tc>
        <w:tc>
          <w:tcPr/>
          <w:p>
            <w:pPr>
              <w:pStyle w:val="Compact"/>
              <w:jc w:val="left"/>
            </w:pPr>
            <w:r>
              <w:t xml:space="preserve">Phase 2b : fibres nerveuses augmentées avec une seule dose sur trois (PMID 28475703)</w:t>
            </w:r>
          </w:p>
        </w:tc>
        <w:tc>
          <w:tcPr/>
          <w:p>
            <w:pPr>
              <w:pStyle w:val="Compact"/>
              <w:jc w:val="left"/>
            </w:pPr>
            <w:r>
              <w:t xml:space="preserve">Très peu de données au-delà de douze semaines</w:t>
            </w:r>
          </w:p>
        </w:tc>
      </w:tr>
      <w:tr>
        <w:tc>
          <w:tcPr/>
          <w:p>
            <w:pPr>
              <w:pStyle w:val="Compact"/>
              <w:jc w:val="left"/>
            </w:pPr>
            <w:r>
              <w:t xml:space="preserve">Larazotide</w:t>
            </w:r>
          </w:p>
        </w:tc>
        <w:tc>
          <w:tcPr/>
          <w:p>
            <w:pPr>
              <w:pStyle w:val="Compact"/>
              <w:jc w:val="left"/>
            </w:pPr>
            <w:r>
              <w:t xml:space="preserve">Seule la plus faible des trois doses meilleure que le placebo (PMID 25683116) ; phase 3 interrompue</w:t>
            </w:r>
          </w:p>
        </w:tc>
        <w:tc>
          <w:tcPr/>
          <w:p>
            <w:pPr>
              <w:pStyle w:val="Compact"/>
              <w:jc w:val="left"/>
            </w:pPr>
            <w:r>
              <w:t xml:space="preserve">Relâchement du régime sans gluten</w:t>
            </w:r>
          </w:p>
        </w:tc>
      </w:tr>
      <w:tr>
        <w:tc>
          <w:tcPr/>
          <w:p>
            <w:pPr>
              <w:pStyle w:val="Compact"/>
              <w:jc w:val="left"/>
            </w:pPr>
            <w:r>
              <w:t xml:space="preserve">Thymaline</w:t>
            </w:r>
          </w:p>
        </w:tc>
        <w:tc>
          <w:tcPr/>
          <w:p>
            <w:pPr>
              <w:pStyle w:val="Compact"/>
              <w:jc w:val="left"/>
            </w:pPr>
            <w:r>
              <w:t xml:space="preserve">Observation russo-ukrainienne : mortalité plus faible, répartition des groupes incertaine (PMID 14523363)</w:t>
            </w:r>
          </w:p>
        </w:tc>
        <w:tc>
          <w:tcPr/>
          <w:p>
            <w:pPr>
              <w:pStyle w:val="Compact"/>
              <w:jc w:val="left"/>
            </w:pPr>
            <w:r>
              <w:t xml:space="preserve">Extrait animal, risques liés aux lots</w:t>
            </w:r>
          </w:p>
        </w:tc>
      </w:tr>
    </w:tbl>
    <w:bookmarkEnd w:id="2528"/>
    <w:bookmarkStart w:id="2529" w:name="c.-axe-de-lhormone-de-croissance"/>
    <w:p>
      <w:pPr>
        <w:pStyle w:val="Heading3"/>
      </w:pPr>
      <w:r>
        <w:t xml:space="preserve">C. Axe de l’hormone de croissance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Sermoréline</w:t>
            </w:r>
          </w:p>
        </w:tc>
        <w:tc>
          <w:tcPr/>
          <w:p>
            <w:pPr>
              <w:pStyle w:val="Compact"/>
              <w:jc w:val="left"/>
            </w:pPr>
            <w:r>
              <w:t xml:space="preserve">B</w:t>
            </w:r>
          </w:p>
        </w:tc>
        <w:tc>
          <w:tcPr/>
          <w:p>
            <w:pPr>
              <w:pStyle w:val="Compact"/>
              <w:jc w:val="left"/>
            </w:pPr>
            <w:r>
              <w:t xml:space="preserve">non / autrefois oui, retirée du marché</w:t>
            </w:r>
          </w:p>
        </w:tc>
        <w:tc>
          <w:tcPr/>
          <w:p>
            <w:pPr>
              <w:pStyle w:val="Compact"/>
              <w:jc w:val="left"/>
            </w:pPr>
            <w:r>
              <w:t xml:space="preserve">0 / 27 (rem.)</w:t>
            </w:r>
          </w:p>
        </w:tc>
      </w:tr>
      <w:tr>
        <w:tc>
          <w:tcPr/>
          <w:p>
            <w:pPr>
              <w:pStyle w:val="Compact"/>
              <w:jc w:val="left"/>
            </w:pPr>
            <w:r>
              <w:t xml:space="preserve">Tésamoréline</w:t>
            </w:r>
          </w:p>
        </w:tc>
        <w:tc>
          <w:tcPr/>
          <w:p>
            <w:pPr>
              <w:pStyle w:val="Compact"/>
              <w:jc w:val="left"/>
            </w:pPr>
            <w:r>
              <w:t xml:space="preserve">A</w:t>
            </w:r>
          </w:p>
        </w:tc>
        <w:tc>
          <w:tcPr/>
          <w:p>
            <w:pPr>
              <w:pStyle w:val="Compact"/>
              <w:jc w:val="left"/>
            </w:pPr>
            <w:r>
              <w:t xml:space="preserve">non / oui (lipodystrophie liée au VIH)</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2 / 1</w:t>
            </w:r>
          </w:p>
        </w:tc>
      </w:tr>
      <w:tr>
        <w:tc>
          <w:tcPr/>
          <w:p>
            <w:pPr>
              <w:pStyle w:val="Compact"/>
              <w:jc w:val="left"/>
            </w:pPr>
            <w:r>
              <w:t xml:space="preserve">Ipamoréline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non / non (Japon : produit diagnostique)</w:t>
            </w:r>
          </w:p>
        </w:tc>
        <w:tc>
          <w:tcPr/>
          <w:p>
            <w:pPr>
              <w:pStyle w:val="Compact"/>
              <w:jc w:val="left"/>
            </w:pPr>
            <w:r>
              <w:t xml:space="preserve">55 / 0 (rem.)</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40 / 0 (rem.)</w:t>
            </w:r>
          </w:p>
        </w:tc>
      </w:tr>
      <w:tr>
        <w:tc>
          <w:tcPr/>
          <w:p>
            <w:pPr>
              <w:pStyle w:val="Compact"/>
              <w:jc w:val="left"/>
            </w:pPr>
            <w:r>
              <w:t xml:space="preserve">Hexaréline</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58 / 0 (rem.)</w:t>
            </w:r>
          </w:p>
        </w:tc>
      </w:tr>
      <w:tr>
        <w:tc>
          <w:tcPr/>
          <w:p>
            <w:pPr>
              <w:pStyle w:val="Compact"/>
              <w:jc w:val="left"/>
            </w:pPr>
            <w:r>
              <w:t xml:space="preserve">Macimoréline</w:t>
            </w:r>
          </w:p>
        </w:tc>
        <w:tc>
          <w:tcPr/>
          <w:p>
            <w:pPr>
              <w:pStyle w:val="Compact"/>
              <w:jc w:val="left"/>
            </w:pPr>
            <w:r>
              <w:t xml:space="preserve">A</w:t>
            </w:r>
          </w:p>
        </w:tc>
        <w:tc>
          <w:tcPr/>
          <w:p>
            <w:pPr>
              <w:pStyle w:val="Compact"/>
              <w:jc w:val="left"/>
            </w:pPr>
            <w:r>
              <w:t xml:space="preserve">oui / oui (diagnostic uniquement)</w:t>
            </w:r>
          </w:p>
        </w:tc>
        <w:tc>
          <w:tcPr/>
          <w:p>
            <w:pPr>
              <w:pStyle w:val="Compact"/>
              <w:jc w:val="left"/>
            </w:pPr>
            <w:r>
              <w:t xml:space="preserve">4 / 6</w:t>
            </w:r>
          </w:p>
        </w:tc>
      </w:tr>
      <w:tr>
        <w:tc>
          <w:tcPr/>
          <w:p>
            <w:pPr>
              <w:pStyle w:val="Compact"/>
              <w:jc w:val="left"/>
            </w:pPr>
            <w:r>
              <w:t xml:space="preserve">Mécasermine (IGF-1)</w:t>
            </w:r>
          </w:p>
        </w:tc>
        <w:tc>
          <w:tcPr/>
          <w:p>
            <w:pPr>
              <w:pStyle w:val="Compact"/>
              <w:jc w:val="left"/>
            </w:pPr>
            <w:r>
              <w:t xml:space="preserve">A</w:t>
            </w:r>
          </w:p>
        </w:tc>
        <w:tc>
          <w:tcPr/>
          <w:p>
            <w:pPr>
              <w:pStyle w:val="Compact"/>
              <w:jc w:val="left"/>
            </w:pPr>
            <w:r>
              <w:t xml:space="preserve">oui / oui</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Ibutamorène (pas un peptide)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19 / 8</w:t>
            </w:r>
          </w:p>
        </w:tc>
      </w:tr>
    </w:tbl>
    <w:p>
      <w:pPr>
        <w:pStyle w:val="BodyText"/>
      </w:pPr>
      <w:r>
        <w:t xml:space="preserve">Remarques sur le tableau : pour la</w:t>
      </w:r>
      <w:r>
        <w:t xml:space="preserve"> </w:t>
      </w:r>
      <w:r>
        <w:rPr>
          <w:bCs/>
          <w:b/>
        </w:rPr>
        <w:t xml:space="preserve">sermoréline</w:t>
      </w:r>
      <w:r>
        <w:t xml:space="preserve">, la recherche par nom ne trouve aucune étude chez l’humain, car la plupart des travaux ont été publiés sous « GHRH(1-29) » ou « GRF 1-29 » ; une recherche ciblée en trouve plusieurs dizaines de petites études, pour la plupart antérieures à 2000. Beaucoup des 27 résultats du registre concernent en revanche la tésamoréline ou les tests à la GHRH en général. Pour le</w:t>
      </w:r>
      <w:r>
        <w:t xml:space="preserve"> </w:t>
      </w:r>
      <w:r>
        <w:rPr>
          <w:bCs/>
          <w:b/>
        </w:rPr>
        <w:t xml:space="preserve">GHRP-2, le GHRP-6 et l’hexaréline</w:t>
      </w:r>
      <w:r>
        <w:t xml:space="preserve">, presque tous les travaux n’utilisent la substance que comme substance de test administrée une seule fois pour étudier la régulation hormonale ; ils ne disent rien d’un éventuel bénéfice.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Sermoréline</w:t>
            </w:r>
          </w:p>
        </w:tc>
        <w:tc>
          <w:tcPr/>
          <w:p>
            <w:pPr>
              <w:pStyle w:val="Compact"/>
              <w:jc w:val="left"/>
            </w:pPr>
            <w:r>
              <w:t xml:space="preserve">110 enfants avec déficit en GH : croissance de 4,1 à 7,2 cm/an (PMID 8772599)</w:t>
            </w:r>
          </w:p>
        </w:tc>
        <w:tc>
          <w:tcPr/>
          <w:p>
            <w:pPr>
              <w:pStyle w:val="Compact"/>
              <w:jc w:val="left"/>
            </w:pPr>
            <w:r>
              <w:t xml:space="preserve">Bouffées vasomotrices ; conséquences à long terme chez l’adulte inconnues</w:t>
            </w:r>
          </w:p>
        </w:tc>
      </w:tr>
      <w:tr>
        <w:tc>
          <w:tcPr/>
          <w:p>
            <w:pPr>
              <w:pStyle w:val="Compact"/>
              <w:jc w:val="left"/>
            </w:pPr>
            <w:r>
              <w:t xml:space="preserve">Tésamoréline</w:t>
            </w:r>
          </w:p>
        </w:tc>
        <w:tc>
          <w:tcPr/>
          <w:p>
            <w:pPr>
              <w:pStyle w:val="Compact"/>
              <w:jc w:val="left"/>
            </w:pPr>
            <w:r>
              <w:t xml:space="preserve">Deux études de phase 3 portant sur 806 personnes : graisse abdominale viscérale −15,4 % par rapport au placebo (PMID 20554713)</w:t>
            </w:r>
          </w:p>
        </w:tc>
        <w:tc>
          <w:tcPr/>
          <w:p>
            <w:pPr>
              <w:pStyle w:val="Compact"/>
              <w:jc w:val="left"/>
            </w:pPr>
            <w:r>
              <w:t xml:space="preserve">Douleurs articulaires, rétention d’eau, glycémie</w:t>
            </w:r>
          </w:p>
        </w:tc>
      </w:tr>
      <w:tr>
        <w:tc>
          <w:tcPr/>
          <w:p>
            <w:pPr>
              <w:pStyle w:val="Compact"/>
              <w:jc w:val="left"/>
            </w:pPr>
            <w:r>
              <w:t xml:space="preserve">CJC-1295</w:t>
            </w:r>
          </w:p>
        </w:tc>
        <w:tc>
          <w:tcPr/>
          <w:p>
            <w:pPr>
              <w:pStyle w:val="Compact"/>
              <w:jc w:val="left"/>
            </w:pPr>
            <w:r>
              <w:t xml:space="preserve">Injection unique : GH multipliée par 2 à 10, IGF-1 par 1,5 à 3 (PMID 16352683)</w:t>
            </w:r>
          </w:p>
        </w:tc>
        <w:tc>
          <w:tcPr/>
          <w:p>
            <w:pPr>
              <w:pStyle w:val="Compact"/>
              <w:jc w:val="left"/>
            </w:pPr>
            <w:r>
              <w:t xml:space="preserve">Stimulation continue inexplorée, contenu incertain</w:t>
            </w:r>
          </w:p>
        </w:tc>
      </w:tr>
      <w:tr>
        <w:tc>
          <w:tcPr/>
          <w:p>
            <w:pPr>
              <w:pStyle w:val="Compact"/>
              <w:jc w:val="left"/>
            </w:pPr>
            <w:r>
              <w:t xml:space="preserve">Ipamoréline</w:t>
            </w:r>
          </w:p>
        </w:tc>
        <w:tc>
          <w:tcPr/>
          <w:p>
            <w:pPr>
              <w:pStyle w:val="Compact"/>
              <w:jc w:val="left"/>
            </w:pPr>
            <w:r>
              <w:t xml:space="preserve">Phase 2 après chirurgie intestinale : aucun bénéfice significatif (PMID 25331030)</w:t>
            </w:r>
          </w:p>
        </w:tc>
        <w:tc>
          <w:tcPr/>
          <w:p>
            <w:pPr>
              <w:pStyle w:val="Compact"/>
              <w:jc w:val="left"/>
            </w:pPr>
            <w:r>
              <w:t xml:space="preserve">Aucune donnée sur l’utilisation prolongée ; molécules modifiées</w:t>
            </w:r>
          </w:p>
        </w:tc>
      </w:tr>
      <w:tr>
        <w:tc>
          <w:tcPr/>
          <w:p>
            <w:pPr>
              <w:pStyle w:val="Compact"/>
              <w:jc w:val="left"/>
            </w:pPr>
            <w:r>
              <w:t xml:space="preserve">GHRP-2</w:t>
            </w:r>
          </w:p>
        </w:tc>
        <w:tc>
          <w:tcPr/>
          <w:p>
            <w:pPr>
              <w:pStyle w:val="Compact"/>
              <w:jc w:val="left"/>
            </w:pPr>
            <w:r>
              <w:t xml:space="preserve">Comme test, il distinguait de façon fiable le déficit en GH des personnes en bonne santé (PMID 17609397)</w:t>
            </w:r>
          </w:p>
        </w:tc>
        <w:tc>
          <w:tcPr/>
          <w:p>
            <w:pPr>
              <w:pStyle w:val="Compact"/>
              <w:jc w:val="left"/>
            </w:pPr>
            <w:r>
              <w:t xml:space="preserve">Fringales, hausse des hormones du stress</w:t>
            </w:r>
          </w:p>
        </w:tc>
      </w:tr>
      <w:tr>
        <w:tc>
          <w:tcPr/>
          <w:p>
            <w:pPr>
              <w:pStyle w:val="Compact"/>
              <w:jc w:val="left"/>
            </w:pPr>
            <w:r>
              <w:t xml:space="preserve">GHRP-6</w:t>
            </w:r>
          </w:p>
        </w:tc>
        <w:tc>
          <w:tcPr/>
          <w:p>
            <w:pPr>
              <w:pStyle w:val="Compact"/>
              <w:jc w:val="left"/>
            </w:pPr>
            <w:r>
              <w:t xml:space="preserve">Un test combiné détectait de façon fiable le déficit en GH (PMID 11030292)</w:t>
            </w:r>
          </w:p>
        </w:tc>
        <w:tc>
          <w:tcPr/>
          <w:p>
            <w:pPr>
              <w:pStyle w:val="Compact"/>
              <w:jc w:val="left"/>
            </w:pPr>
            <w:r>
              <w:t xml:space="preserve">Bouffées vasomotrices, hausses hormonales, faim</w:t>
            </w:r>
          </w:p>
        </w:tc>
      </w:tr>
      <w:tr>
        <w:tc>
          <w:tcPr/>
          <w:p>
            <w:pPr>
              <w:pStyle w:val="Compact"/>
              <w:jc w:val="left"/>
            </w:pPr>
            <w:r>
              <w:t xml:space="preserve">Hexaréline</w:t>
            </w:r>
          </w:p>
        </w:tc>
        <w:tc>
          <w:tcPr/>
          <w:p>
            <w:pPr>
              <w:pStyle w:val="Compact"/>
              <w:jc w:val="left"/>
            </w:pPr>
            <w:r>
              <w:t xml:space="preserve">Perte d’effet sur 16 semaines, composition corporelle inchangée (PMID 9589671)</w:t>
            </w:r>
          </w:p>
        </w:tc>
        <w:tc>
          <w:tcPr/>
          <w:p>
            <w:pPr>
              <w:pStyle w:val="Compact"/>
              <w:jc w:val="left"/>
            </w:pPr>
            <w:r>
              <w:t xml:space="preserve">Hormones du stress, prolactine, perte d’effet</w:t>
            </w:r>
          </w:p>
        </w:tc>
      </w:tr>
      <w:tr>
        <w:tc>
          <w:tcPr/>
          <w:p>
            <w:pPr>
              <w:pStyle w:val="Compact"/>
              <w:jc w:val="left"/>
            </w:pPr>
            <w:r>
              <w:t xml:space="preserve">Macimoréline</w:t>
            </w:r>
          </w:p>
        </w:tc>
        <w:tc>
          <w:tcPr/>
          <w:p>
            <w:pPr>
              <w:pStyle w:val="Compact"/>
              <w:jc w:val="left"/>
            </w:pPr>
            <w:r>
              <w:t xml:space="preserve">Test avec 87 % de sensibilité et 96 % de spécificité par rapport au test à l’insuline (PMID 29860473)</w:t>
            </w:r>
          </w:p>
        </w:tc>
        <w:tc>
          <w:tcPr/>
          <w:p>
            <w:pPr>
              <w:pStyle w:val="Compact"/>
              <w:jc w:val="left"/>
            </w:pPr>
            <w:r>
              <w:t xml:space="preserve">Allongement du QT en cas de surdosage</w:t>
            </w:r>
          </w:p>
        </w:tc>
      </w:tr>
      <w:tr>
        <w:tc>
          <w:tcPr/>
          <w:p>
            <w:pPr>
              <w:pStyle w:val="Compact"/>
              <w:jc w:val="left"/>
            </w:pPr>
            <w:r>
              <w:t xml:space="preserve">Mécasermine (IGF-1)</w:t>
            </w:r>
          </w:p>
        </w:tc>
        <w:tc>
          <w:tcPr/>
          <w:p>
            <w:pPr>
              <w:pStyle w:val="Compact"/>
              <w:jc w:val="left"/>
            </w:pPr>
            <w:r>
              <w:t xml:space="preserve">76 enfants avec résistance à la GH : croissance de 2,8 à 8,0 cm/an (PMID 17192294)</w:t>
            </w:r>
          </w:p>
        </w:tc>
        <w:tc>
          <w:tcPr/>
          <w:p>
            <w:pPr>
              <w:pStyle w:val="Compact"/>
              <w:jc w:val="left"/>
            </w:pPr>
            <w:r>
              <w:t xml:space="preserve">Hypoglycémie ; mise en garde sur les néoplasies</w:t>
            </w:r>
          </w:p>
        </w:tc>
      </w:tr>
      <w:tr>
        <w:tc>
          <w:tcPr/>
          <w:p>
            <w:pPr>
              <w:pStyle w:val="Compact"/>
              <w:jc w:val="left"/>
            </w:pPr>
            <w:r>
              <w:t xml:space="preserve">IGF-1 LR3</w:t>
            </w:r>
          </w:p>
        </w:tc>
        <w:tc>
          <w:tcPr/>
          <w:p>
            <w:pPr>
              <w:pStyle w:val="Compact"/>
              <w:jc w:val="left"/>
            </w:pPr>
            <w:r>
              <w:t xml:space="preserve">Aucune étude chez l’humain ; dans un flacon du marché noir, une variante de laboratoire (PMID 20675162)</w:t>
            </w:r>
          </w:p>
        </w:tc>
        <w:tc>
          <w:tcPr/>
          <w:p>
            <w:pPr>
              <w:pStyle w:val="Compact"/>
              <w:jc w:val="left"/>
            </w:pPr>
            <w:r>
              <w:t xml:space="preserve">Hypoglycémie, signaux de croissance (théoriques)</w:t>
            </w:r>
          </w:p>
        </w:tc>
      </w:tr>
      <w:tr>
        <w:tc>
          <w:tcPr/>
          <w:p>
            <w:pPr>
              <w:pStyle w:val="Compact"/>
              <w:jc w:val="left"/>
            </w:pPr>
            <w:r>
              <w:t xml:space="preserve">Ibutamorène</w:t>
            </w:r>
          </w:p>
        </w:tc>
        <w:tc>
          <w:tcPr/>
          <w:p>
            <w:pPr>
              <w:pStyle w:val="Compact"/>
              <w:jc w:val="left"/>
            </w:pPr>
            <w:r>
              <w:t xml:space="preserve">65 personnes âgées : masse maigre +1,1 kg, force et fonction inchangées (PMID 18981485)</w:t>
            </w:r>
          </w:p>
        </w:tc>
        <w:tc>
          <w:tcPr/>
          <w:p>
            <w:pPr>
              <w:pStyle w:val="Compact"/>
              <w:jc w:val="left"/>
            </w:pPr>
            <w:r>
              <w:t xml:space="preserve">Signal d’insuffisance cardiaque, glycémie plus élevée</w:t>
            </w:r>
          </w:p>
        </w:tc>
      </w:tr>
    </w:tbl>
    <w:bookmarkEnd w:id="2529"/>
    <w:bookmarkStart w:id="2530" w:name="d.-cerveau-sommeil-et-longévité"/>
    <w:p>
      <w:pPr>
        <w:pStyle w:val="Heading3"/>
      </w:pPr>
      <w:r>
        <w:t xml:space="preserve">D. Cerveau, sommeil et longévité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non / non (enregistré en Russie)</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non / non (enregistré en Russie)</w:t>
            </w:r>
          </w:p>
        </w:tc>
        <w:tc>
          <w:tcPr/>
          <w:p>
            <w:pPr>
              <w:pStyle w:val="Compact"/>
              <w:jc w:val="left"/>
            </w:pPr>
            <w:r>
              <w:t xml:space="preserve">3 / 2 (rem.)</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nationale (notamment en Autriche) / non</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18 / 1 (rem.)</w:t>
            </w:r>
          </w:p>
        </w:tc>
      </w:tr>
      <w:tr>
        <w:tc>
          <w:tcPr/>
          <w:p>
            <w:pPr>
              <w:pStyle w:val="Compact"/>
              <w:jc w:val="left"/>
            </w:pPr>
            <w:r>
              <w:t xml:space="preserve">Épitalon</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1 / 1 (rem.)</w:t>
            </w:r>
          </w:p>
        </w:tc>
      </w:tr>
      <w:tr>
        <w:tc>
          <w:tcPr/>
          <w:p>
            <w:pPr>
              <w:pStyle w:val="Compact"/>
              <w:jc w:val="left"/>
            </w:pPr>
            <w:r>
              <w:t xml:space="preserve">Pinéalon</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5 / 4 (rem.)</w:t>
            </w:r>
          </w:p>
        </w:tc>
      </w:tr>
      <w:tr>
        <w:tc>
          <w:tcPr/>
          <w:p>
            <w:pPr>
              <w:pStyle w:val="Compact"/>
              <w:jc w:val="left"/>
            </w:pPr>
            <w:r>
              <w:t xml:space="preserve">Humanine</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8 / 3 (rem.)</w:t>
            </w:r>
          </w:p>
        </w:tc>
      </w:tr>
      <w:tr>
        <w:tc>
          <w:tcPr/>
          <w:p>
            <w:pPr>
              <w:pStyle w:val="Compact"/>
              <w:jc w:val="left"/>
            </w:pPr>
            <w:r>
              <w:t xml:space="preserve">SS-31 (élamiprétide)</w:t>
            </w:r>
          </w:p>
        </w:tc>
        <w:tc>
          <w:tcPr/>
          <w:p>
            <w:pPr>
              <w:pStyle w:val="Compact"/>
              <w:jc w:val="left"/>
            </w:pPr>
            <w:r>
              <w:t xml:space="preserve">B</w:t>
            </w:r>
          </w:p>
        </w:tc>
        <w:tc>
          <w:tcPr/>
          <w:p>
            <w:pPr>
              <w:pStyle w:val="Compact"/>
              <w:jc w:val="left"/>
            </w:pPr>
            <w:r>
              <w:t xml:space="preserve">non / oui, accélérée (syndrome de Barth uniquement)</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non / non</w:t>
            </w:r>
          </w:p>
        </w:tc>
        <w:tc>
          <w:tcPr/>
          <w:p>
            <w:pPr>
              <w:pStyle w:val="Compact"/>
              <w:jc w:val="left"/>
            </w:pPr>
            <w:r>
              <w:t xml:space="preserve">0 / 0</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complément alimentaire / complément alimentaire</w:t>
            </w:r>
          </w:p>
        </w:tc>
        <w:tc>
          <w:tcPr/>
          <w:p>
            <w:pPr>
              <w:pStyle w:val="Compact"/>
              <w:jc w:val="left"/>
            </w:pPr>
            <w:r>
              <w:t xml:space="preserve">161 / 273 (rem.)</w:t>
            </w:r>
          </w:p>
        </w:tc>
      </w:tr>
    </w:tbl>
    <w:p>
      <w:pPr>
        <w:pStyle w:val="BodyText"/>
      </w:pPr>
      <w:r>
        <w:t xml:space="preserve">Remarques sur le tableau : pour le</w:t>
      </w:r>
      <w:r>
        <w:t xml:space="preserve"> </w:t>
      </w:r>
      <w:r>
        <w:rPr>
          <w:bCs/>
          <w:b/>
        </w:rPr>
        <w:t xml:space="preserve">Selank</w:t>
      </w:r>
      <w:r>
        <w:t xml:space="preserve"> </w:t>
      </w:r>
      <w:r>
        <w:t xml:space="preserve">et le</w:t>
      </w:r>
      <w:r>
        <w:t xml:space="preserve"> </w:t>
      </w:r>
      <w:r>
        <w:rPr>
          <w:bCs/>
          <w:b/>
        </w:rPr>
        <w:t xml:space="preserve">DSIP</w:t>
      </w:r>
      <w:r>
        <w:t xml:space="preserve">, les résultats du registre concernent d’autres procédés ou sujets ; il n’existe aucune étude enregistrée avec le peptide. La seule entrée de registre sur l’</w:t>
      </w:r>
      <w:r>
        <w:rPr>
          <w:bCs/>
          <w:b/>
        </w:rPr>
        <w:t xml:space="preserve">épitalon</w:t>
      </w:r>
      <w:r>
        <w:t xml:space="preserve"> </w:t>
      </w:r>
      <w:r>
        <w:t xml:space="preserve">est une étude non contrôlée portant sur un sérum cutané dont l’épitalon est l’un des cinq composants. Pour le</w:t>
      </w:r>
      <w:r>
        <w:t xml:space="preserve"> </w:t>
      </w:r>
      <w:r>
        <w:rPr>
          <w:bCs/>
          <w:b/>
        </w:rPr>
        <w:t xml:space="preserve">MOTS-c</w:t>
      </w:r>
      <w:r>
        <w:t xml:space="preserve"> </w:t>
      </w:r>
      <w:r>
        <w:t xml:space="preserve">et l’</w:t>
      </w:r>
      <w:r>
        <w:rPr>
          <w:bCs/>
          <w:b/>
        </w:rPr>
        <w:t xml:space="preserve">humanine</w:t>
      </w:r>
      <w:r>
        <w:t xml:space="preserve">, le peptide n’a été administré dans aucune des publications ; elles mesurent les taux endogènes. Pour le</w:t>
      </w:r>
      <w:r>
        <w:t xml:space="preserve"> </w:t>
      </w:r>
      <w:r>
        <w:rPr>
          <w:bCs/>
          <w:b/>
        </w:rPr>
        <w:t xml:space="preserve">glutathion</w:t>
      </w:r>
      <w:r>
        <w:t xml:space="preserve">, beaucoup de résultats ne mesurent le glutathion que comme valeur de laboratoire ou concernent l’enzyme glutathion S-transférase ; les études avec administration de glutathion sont une minorité de quelques dizaines.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Semax</w:t>
            </w:r>
          </w:p>
        </w:tc>
        <w:tc>
          <w:tcPr/>
          <w:p>
            <w:pPr>
              <w:pStyle w:val="Compact"/>
              <w:jc w:val="left"/>
            </w:pPr>
            <w:r>
              <w:t xml:space="preserve">Étude ouverte après AVC : BDNF plus élevé, amélioration plus rapide (PMID 29798983)</w:t>
            </w:r>
          </w:p>
        </w:tc>
        <w:tc>
          <w:tcPr/>
          <w:p>
            <w:pPr>
              <w:pStyle w:val="Compact"/>
              <w:jc w:val="left"/>
            </w:pPr>
            <w:r>
              <w:t xml:space="preserve">Aucune donnée de sécurité systématique</w:t>
            </w:r>
          </w:p>
        </w:tc>
      </w:tr>
      <w:tr>
        <w:tc>
          <w:tcPr/>
          <w:p>
            <w:pPr>
              <w:pStyle w:val="Compact"/>
              <w:jc w:val="left"/>
            </w:pPr>
            <w:r>
              <w:t xml:space="preserve">Selank</w:t>
            </w:r>
          </w:p>
        </w:tc>
        <w:tc>
          <w:tcPr/>
          <w:p>
            <w:pPr>
              <w:pStyle w:val="Compact"/>
              <w:jc w:val="left"/>
            </w:pPr>
            <w:r>
              <w:t xml:space="preserve">Effet anxiolytique semblable au médazépam, sans groupe placebo (PMID 18454096)</w:t>
            </w:r>
          </w:p>
        </w:tc>
        <w:tc>
          <w:tcPr/>
          <w:p>
            <w:pPr>
              <w:pStyle w:val="Compact"/>
              <w:jc w:val="left"/>
            </w:pPr>
            <w:r>
              <w:t xml:space="preserve">Aucune donnée à long terme ; marché gris</w:t>
            </w:r>
          </w:p>
        </w:tc>
      </w:tr>
      <w:tr>
        <w:tc>
          <w:tcPr/>
          <w:p>
            <w:pPr>
              <w:pStyle w:val="Compact"/>
              <w:jc w:val="left"/>
            </w:pPr>
            <w:r>
              <w:t xml:space="preserve">Cerebrolysin</w:t>
            </w:r>
          </w:p>
        </w:tc>
        <w:tc>
          <w:tcPr/>
          <w:p>
            <w:pPr>
              <w:pStyle w:val="Compact"/>
              <w:jc w:val="left"/>
            </w:pPr>
            <w:r>
              <w:t xml:space="preserve">CASTA avec 1 070 personnes : critère principal non atteint (PMID 22282884)</w:t>
            </w:r>
          </w:p>
        </w:tc>
        <w:tc>
          <w:tcPr/>
          <w:p>
            <w:pPr>
              <w:pStyle w:val="Compact"/>
              <w:jc w:val="left"/>
            </w:pPr>
            <w:r>
              <w:t xml:space="preserve">Signal possible d’effets indésirables graves (Cochrane)</w:t>
            </w:r>
          </w:p>
        </w:tc>
      </w:tr>
      <w:tr>
        <w:tc>
          <w:tcPr/>
          <w:p>
            <w:pPr>
              <w:pStyle w:val="Compact"/>
              <w:jc w:val="left"/>
            </w:pPr>
            <w:r>
              <w:t xml:space="preserve">Dihexa</w:t>
            </w:r>
          </w:p>
        </w:tc>
        <w:tc>
          <w:tcPr/>
          <w:p>
            <w:pPr>
              <w:pStyle w:val="Compact"/>
              <w:jc w:val="left"/>
            </w:pPr>
            <w:r>
              <w:t xml:space="preserve">Données animales uniquement ; une étude centrale chez le rat a été rétractée en 2025 (PMID 25187433, rétractation PMID 40312093)</w:t>
            </w:r>
          </w:p>
        </w:tc>
        <w:tc>
          <w:tcPr/>
          <w:p>
            <w:pPr>
              <w:pStyle w:val="Compact"/>
              <w:jc w:val="left"/>
            </w:pPr>
            <w:r>
              <w:t xml:space="preserve">Aucune donnée chez l’humain ; risque théorique de cancer</w:t>
            </w:r>
          </w:p>
        </w:tc>
      </w:tr>
      <w:tr>
        <w:tc>
          <w:tcPr/>
          <w:p>
            <w:pPr>
              <w:pStyle w:val="Compact"/>
              <w:jc w:val="left"/>
            </w:pPr>
            <w:r>
              <w:t xml:space="preserve">DSIP</w:t>
            </w:r>
          </w:p>
        </w:tc>
        <w:tc>
          <w:tcPr/>
          <w:p>
            <w:pPr>
              <w:pStyle w:val="Compact"/>
              <w:jc w:val="left"/>
            </w:pPr>
            <w:r>
              <w:t xml:space="preserve">16 personnes souffrant d’insomnie : effets seulement faibles (PMID 1299794)</w:t>
            </w:r>
          </w:p>
        </w:tc>
        <w:tc>
          <w:tcPr/>
          <w:p>
            <w:pPr>
              <w:pStyle w:val="Compact"/>
              <w:jc w:val="left"/>
            </w:pPr>
            <w:r>
              <w:t xml:space="preserve">Aucune donnée de sécurité systématique</w:t>
            </w:r>
          </w:p>
        </w:tc>
      </w:tr>
      <w:tr>
        <w:tc>
          <w:tcPr/>
          <w:p>
            <w:pPr>
              <w:pStyle w:val="Compact"/>
              <w:jc w:val="left"/>
            </w:pPr>
            <w:r>
              <w:t xml:space="preserve">Épitalon</w:t>
            </w:r>
          </w:p>
        </w:tc>
        <w:tc>
          <w:tcPr/>
          <w:p>
            <w:pPr>
              <w:pStyle w:val="Compact"/>
              <w:jc w:val="left"/>
            </w:pPr>
            <w:r>
              <w:t xml:space="preserve">Chez la souris, pas de durée de vie moyenne plus longue (PMID 14501183)</w:t>
            </w:r>
          </w:p>
        </w:tc>
        <w:tc>
          <w:tcPr/>
          <w:p>
            <w:pPr>
              <w:pStyle w:val="Compact"/>
              <w:jc w:val="left"/>
            </w:pPr>
            <w:r>
              <w:t xml:space="preserve">Aucune donnée chez l’humain ; question de la télomérase</w:t>
            </w:r>
          </w:p>
        </w:tc>
      </w:tr>
      <w:tr>
        <w:tc>
          <w:tcPr/>
          <w:p>
            <w:pPr>
              <w:pStyle w:val="Compact"/>
              <w:jc w:val="left"/>
            </w:pPr>
            <w:r>
              <w:t xml:space="preserve">Pinéalon</w:t>
            </w:r>
          </w:p>
        </w:tc>
        <w:tc>
          <w:tcPr/>
          <w:p>
            <w:pPr>
              <w:pStyle w:val="Compact"/>
              <w:jc w:val="left"/>
            </w:pPr>
            <w:r>
              <w:t xml:space="preserve">32 personnes âgées, sans contrôle ; aussi inhibition de l’hématopoïèse (PMID 26390612)</w:t>
            </w:r>
          </w:p>
        </w:tc>
        <w:tc>
          <w:tcPr/>
          <w:p>
            <w:pPr>
              <w:pStyle w:val="Compact"/>
              <w:jc w:val="left"/>
            </w:pPr>
            <w:r>
              <w:t xml:space="preserve">Aucune donnée de sécurité systématique</w:t>
            </w:r>
          </w:p>
        </w:tc>
      </w:tr>
      <w:tr>
        <w:tc>
          <w:tcPr/>
          <w:p>
            <w:pPr>
              <w:pStyle w:val="Compact"/>
              <w:jc w:val="left"/>
            </w:pPr>
            <w:r>
              <w:t xml:space="preserve">MOTS-c</w:t>
            </w:r>
          </w:p>
        </w:tc>
        <w:tc>
          <w:tcPr/>
          <w:p>
            <w:pPr>
              <w:pStyle w:val="Compact"/>
              <w:jc w:val="left"/>
            </w:pPr>
            <w:r>
              <w:t xml:space="preserve">Données animales uniquement sur l’administration : moins de surpoids chez la souris (PMID 25738459)</w:t>
            </w:r>
          </w:p>
        </w:tc>
        <w:tc>
          <w:tcPr/>
          <w:p>
            <w:pPr>
              <w:pStyle w:val="Compact"/>
              <w:jc w:val="left"/>
            </w:pPr>
            <w:r>
              <w:t xml:space="preserve">Aucune donnée sur l’administration chez l’humain</w:t>
            </w:r>
          </w:p>
        </w:tc>
      </w:tr>
      <w:tr>
        <w:tc>
          <w:tcPr/>
          <w:p>
            <w:pPr>
              <w:pStyle w:val="Compact"/>
              <w:jc w:val="left"/>
            </w:pPr>
            <w:r>
              <w:t xml:space="preserve">Humanine</w:t>
            </w:r>
          </w:p>
        </w:tc>
        <w:tc>
          <w:tcPr/>
          <w:p>
            <w:pPr>
              <w:pStyle w:val="Compact"/>
              <w:jc w:val="left"/>
            </w:pPr>
            <w:r>
              <w:t xml:space="preserve">Uniquement des mesures de taux chez l’humain (PMID 32575074)</w:t>
            </w:r>
          </w:p>
        </w:tc>
        <w:tc>
          <w:tcPr/>
          <w:p>
            <w:pPr>
              <w:pStyle w:val="Compact"/>
              <w:jc w:val="left"/>
            </w:pPr>
            <w:r>
              <w:t xml:space="preserve">Chez la souris, croissance accrue du cancer du sein (PMID 32444831)</w:t>
            </w:r>
          </w:p>
        </w:tc>
      </w:tr>
      <w:tr>
        <w:tc>
          <w:tcPr/>
          <w:p>
            <w:pPr>
              <w:pStyle w:val="Compact"/>
              <w:jc w:val="left"/>
            </w:pPr>
            <w:r>
              <w:t xml:space="preserve">SS-31 (élamiprétide)</w:t>
            </w:r>
          </w:p>
        </w:tc>
        <w:tc>
          <w:tcPr/>
          <w:p>
            <w:pPr>
              <w:pStyle w:val="Compact"/>
              <w:jc w:val="left"/>
            </w:pPr>
            <w:r>
              <w:t xml:space="preserve">MMPOWER-3 avec 218 personnes : aucun bénéfice dans la myopathie (PMID 37268435)</w:t>
            </w:r>
          </w:p>
        </w:tc>
        <w:tc>
          <w:tcPr/>
          <w:p>
            <w:pPr>
              <w:pStyle w:val="Compact"/>
              <w:jc w:val="left"/>
            </w:pPr>
            <w:r>
              <w:t xml:space="preserve">Points d’injection ; produits du marché gris non identiques</w:t>
            </w:r>
          </w:p>
        </w:tc>
      </w:tr>
      <w:tr>
        <w:tc>
          <w:tcPr/>
          <w:p>
            <w:pPr>
              <w:pStyle w:val="Compact"/>
              <w:jc w:val="left"/>
            </w:pPr>
            <w:r>
              <w:t xml:space="preserve">FOXO4-DRI</w:t>
            </w:r>
          </w:p>
        </w:tc>
        <w:tc>
          <w:tcPr/>
          <w:p>
            <w:pPr>
              <w:pStyle w:val="Compact"/>
              <w:jc w:val="left"/>
            </w:pPr>
            <w:r>
              <w:t xml:space="preserve">Données animales uniquement : meilleure condition physique chez des souris âgées (PMID 28340339)</w:t>
            </w:r>
          </w:p>
        </w:tc>
        <w:tc>
          <w:tcPr/>
          <w:p>
            <w:pPr>
              <w:pStyle w:val="Compact"/>
              <w:jc w:val="left"/>
            </w:pPr>
            <w:r>
              <w:t xml:space="preserve">Aucune donnée chez l’humain ; intervention sur p53</w:t>
            </w:r>
          </w:p>
        </w:tc>
      </w:tr>
      <w:tr>
        <w:tc>
          <w:tcPr/>
          <w:p>
            <w:pPr>
              <w:pStyle w:val="Compact"/>
              <w:jc w:val="left"/>
            </w:pPr>
            <w:r>
              <w:t xml:space="preserve">Glutathion</w:t>
            </w:r>
          </w:p>
        </w:tc>
        <w:tc>
          <w:tcPr/>
          <w:p>
            <w:pPr>
              <w:pStyle w:val="Compact"/>
              <w:jc w:val="left"/>
            </w:pPr>
            <w:r>
              <w:t xml:space="preserve">Phase 3 avec 185 personnes : aucune protection contre les neuropathies dues à la chimiothérapie (PMID 24619793)</w:t>
            </w:r>
          </w:p>
        </w:tc>
        <w:tc>
          <w:tcPr/>
          <w:p>
            <w:pPr>
              <w:pStyle w:val="Compact"/>
              <w:jc w:val="left"/>
            </w:pPr>
            <w:r>
              <w:t xml:space="preserve">Perfusions pour éclaircir la peau : mises en garde des autorités</w:t>
            </w:r>
          </w:p>
        </w:tc>
      </w:tr>
    </w:tbl>
    <w:bookmarkEnd w:id="2530"/>
    <w:bookmarkStart w:id="2531" w:name="e.-hormones-sexualité-et-pigmentation"/>
    <w:p>
      <w:pPr>
        <w:pStyle w:val="Heading3"/>
      </w:pPr>
      <w:r>
        <w:t xml:space="preserve">E. Hormones, sexualité et pigmentation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Brémélanotide (PT-141)</w:t>
            </w:r>
          </w:p>
        </w:tc>
        <w:tc>
          <w:tcPr/>
          <w:p>
            <w:pPr>
              <w:pStyle w:val="Compact"/>
              <w:jc w:val="left"/>
            </w:pPr>
            <w:r>
              <w:t xml:space="preserve">A</w:t>
            </w:r>
          </w:p>
        </w:tc>
        <w:tc>
          <w:tcPr/>
          <w:p>
            <w:pPr>
              <w:pStyle w:val="Compact"/>
              <w:jc w:val="left"/>
            </w:pPr>
            <w:r>
              <w:t xml:space="preserve">non / oui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non / non</w:t>
            </w:r>
          </w:p>
        </w:tc>
        <w:tc>
          <w:tcPr/>
          <w:p>
            <w:pPr>
              <w:pStyle w:val="Compact"/>
              <w:jc w:val="left"/>
            </w:pPr>
            <w:r>
              <w:t xml:space="preserve">8 / 0 (rem.)</w:t>
            </w:r>
          </w:p>
        </w:tc>
      </w:tr>
      <w:tr>
        <w:tc>
          <w:tcPr/>
          <w:p>
            <w:pPr>
              <w:pStyle w:val="Compact"/>
              <w:jc w:val="left"/>
            </w:pPr>
            <w:r>
              <w:t xml:space="preserve">Afamélanotide</w:t>
            </w:r>
          </w:p>
        </w:tc>
        <w:tc>
          <w:tcPr/>
          <w:p>
            <w:pPr>
              <w:pStyle w:val="Compact"/>
              <w:jc w:val="left"/>
            </w:pPr>
            <w:r>
              <w:t xml:space="preserve">A</w:t>
            </w:r>
          </w:p>
        </w:tc>
        <w:tc>
          <w:tcPr/>
          <w:p>
            <w:pPr>
              <w:pStyle w:val="Compact"/>
              <w:jc w:val="left"/>
            </w:pPr>
            <w:r>
              <w:t xml:space="preserve">oui / oui (Scenesse, PPE uniquement)</w:t>
            </w:r>
          </w:p>
        </w:tc>
        <w:tc>
          <w:tcPr/>
          <w:p>
            <w:pPr>
              <w:pStyle w:val="Compact"/>
              <w:jc w:val="left"/>
            </w:pPr>
            <w:r>
              <w:t xml:space="preserve">10 / 23 (rem.)</w:t>
            </w:r>
          </w:p>
        </w:tc>
      </w:tr>
      <w:tr>
        <w:tc>
          <w:tcPr/>
          <w:p>
            <w:pPr>
              <w:pStyle w:val="Compact"/>
              <w:jc w:val="left"/>
            </w:pPr>
            <w:r>
              <w:t xml:space="preserve">Kisspeptine</w:t>
            </w:r>
          </w:p>
        </w:tc>
        <w:tc>
          <w:tcPr/>
          <w:p>
            <w:pPr>
              <w:pStyle w:val="Compact"/>
              <w:jc w:val="left"/>
            </w:pPr>
            <w:r>
              <w:t xml:space="preserve">B</w:t>
            </w:r>
          </w:p>
        </w:tc>
        <w:tc>
          <w:tcPr/>
          <w:p>
            <w:pPr>
              <w:pStyle w:val="Compact"/>
              <w:jc w:val="left"/>
            </w:pPr>
            <w:r>
              <w:t xml:space="preserve">non / non</w:t>
            </w:r>
          </w:p>
        </w:tc>
        <w:tc>
          <w:tcPr/>
          <w:p>
            <w:pPr>
              <w:pStyle w:val="Compact"/>
              <w:jc w:val="left"/>
            </w:pPr>
            <w:r>
              <w:t xml:space="preserve">37 / 36</w:t>
            </w:r>
          </w:p>
        </w:tc>
      </w:tr>
      <w:tr>
        <w:tc>
          <w:tcPr/>
          <w:p>
            <w:pPr>
              <w:pStyle w:val="Compact"/>
              <w:jc w:val="left"/>
            </w:pPr>
            <w:r>
              <w:t xml:space="preserve">Ocytocine (spray nasal)</w:t>
            </w:r>
          </w:p>
        </w:tc>
        <w:tc>
          <w:tcPr/>
          <w:p>
            <w:pPr>
              <w:pStyle w:val="Compact"/>
              <w:jc w:val="left"/>
            </w:pPr>
            <w:r>
              <w:t xml:space="preserve">B</w:t>
            </w:r>
          </w:p>
        </w:tc>
        <w:tc>
          <w:tcPr/>
          <w:p>
            <w:pPr>
              <w:pStyle w:val="Compact"/>
              <w:jc w:val="left"/>
            </w:pPr>
            <w:r>
              <w:t xml:space="preserve">obstétrique uniquement / obstétrique uniquement</w:t>
            </w:r>
          </w:p>
        </w:tc>
        <w:tc>
          <w:tcPr/>
          <w:p>
            <w:pPr>
              <w:pStyle w:val="Compact"/>
              <w:jc w:val="left"/>
            </w:pPr>
            <w:r>
              <w:t xml:space="preserve">349 / 263</w:t>
            </w:r>
          </w:p>
        </w:tc>
      </w:tr>
      <w:tr>
        <w:tc>
          <w:tcPr/>
          <w:p>
            <w:pPr>
              <w:pStyle w:val="Compact"/>
              <w:jc w:val="left"/>
            </w:pPr>
            <w:r>
              <w:t xml:space="preserve">Gonadoréline</w:t>
            </w:r>
          </w:p>
        </w:tc>
        <w:tc>
          <w:tcPr/>
          <w:p>
            <w:pPr>
              <w:pStyle w:val="Compact"/>
              <w:jc w:val="left"/>
            </w:pPr>
            <w:r>
              <w:t xml:space="preserve">B</w:t>
            </w:r>
          </w:p>
        </w:tc>
        <w:tc>
          <w:tcPr/>
          <w:p>
            <w:pPr>
              <w:pStyle w:val="Compact"/>
              <w:jc w:val="left"/>
            </w:pPr>
            <w:r>
              <w:t xml:space="preserve">nationale dans certains États / non</w:t>
            </w:r>
          </w:p>
        </w:tc>
        <w:tc>
          <w:tcPr/>
          <w:p>
            <w:pPr>
              <w:pStyle w:val="Compact"/>
              <w:jc w:val="left"/>
            </w:pPr>
            <w:r>
              <w:t xml:space="preserve">9 / 1 000 (rem.)</w:t>
            </w:r>
          </w:p>
        </w:tc>
      </w:tr>
    </w:tbl>
    <w:p>
      <w:pPr>
        <w:pStyle w:val="BodyText"/>
      </w:pPr>
      <w:r>
        <w:t xml:space="preserve">Remarques sur le tableau : pour le</w:t>
      </w:r>
      <w:r>
        <w:t xml:space="preserve"> </w:t>
      </w:r>
      <w:r>
        <w:rPr>
          <w:bCs/>
          <w:b/>
        </w:rPr>
        <w:t xml:space="preserve">Melanotan II</w:t>
      </w:r>
      <w:r>
        <w:t xml:space="preserve">, quatre des huit résultats PubMed concernent le Melanotan I (le futur afamélanotide) ; la seule entrée de registre s’est révélée peu fiable. Pour l’</w:t>
      </w:r>
      <w:r>
        <w:rPr>
          <w:bCs/>
          <w:b/>
        </w:rPr>
        <w:t xml:space="preserve">afamélanotide</w:t>
      </w:r>
      <w:r>
        <w:t xml:space="preserve">, le décompte omet les études plus anciennes publiées sous les noms Melanotan I ou NDP-MSH. Pour l’</w:t>
      </w:r>
      <w:r>
        <w:rPr>
          <w:bCs/>
          <w:b/>
        </w:rPr>
        <w:t xml:space="preserve">ocytocine</w:t>
      </w:r>
      <w:r>
        <w:t xml:space="preserve">, seule l’utilisation en perfusion ou en injection en obstétrique est autorisée, pas le spray nasal. Les chiffres pour la</w:t>
      </w:r>
      <w:r>
        <w:t xml:space="preserve"> </w:t>
      </w:r>
      <w:r>
        <w:rPr>
          <w:bCs/>
          <w:b/>
        </w:rPr>
        <w:t xml:space="preserve">gonadoréline</w:t>
      </w:r>
      <w:r>
        <w:t xml:space="preserve"> </w:t>
      </w:r>
      <w:r>
        <w:t xml:space="preserve">sont inutilisables : la recherche dans le registre a atteint sa limite de 1 000 résultats, car le registre inclut le terme générique « Gonadotropin-Releasing Hormone » ; presque tous les résultats concernent des analogues de la GnRH, par exemple dans le cancer de la prostate, et seulement une dizaine l’hormone identique à l’hormone naturelle. Le chiffre de PubMed est trop bas, car la plupart des études écrivent « GnRH » ou « LHRH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Brémélanotide (PT-141)</w:t>
            </w:r>
          </w:p>
        </w:tc>
        <w:tc>
          <w:tcPr/>
          <w:p>
            <w:pPr>
              <w:pStyle w:val="Compact"/>
              <w:jc w:val="left"/>
            </w:pPr>
            <w:r>
              <w:t xml:space="preserve">RECONNECT, 1 267 femmes : avantage seulement faible par rapport au placebo (PMID 31599840)</w:t>
            </w:r>
          </w:p>
        </w:tc>
        <w:tc>
          <w:tcPr/>
          <w:p>
            <w:pPr>
              <w:pStyle w:val="Compact"/>
              <w:jc w:val="left"/>
            </w:pPr>
            <w:r>
              <w:t xml:space="preserve">Nausées chez environ 40 %, brève hausse de la pression artérielle</w:t>
            </w:r>
          </w:p>
        </w:tc>
      </w:tr>
      <w:tr>
        <w:tc>
          <w:tcPr/>
          <w:p>
            <w:pPr>
              <w:pStyle w:val="Compact"/>
              <w:jc w:val="left"/>
            </w:pPr>
            <w:r>
              <w:t xml:space="preserve">Melanotan II</w:t>
            </w:r>
          </w:p>
        </w:tc>
        <w:tc>
          <w:tcPr/>
          <w:p>
            <w:pPr>
              <w:pStyle w:val="Compact"/>
              <w:jc w:val="left"/>
            </w:pPr>
            <w:r>
              <w:t xml:space="preserve">Petites études croisées : érections chez 17 hommes sur 20, nausées fréquentes (PMID 11035391)</w:t>
            </w:r>
          </w:p>
        </w:tc>
        <w:tc>
          <w:tcPr/>
          <w:p>
            <w:pPr>
              <w:pStyle w:val="Compact"/>
              <w:jc w:val="left"/>
            </w:pPr>
            <w:r>
              <w:t xml:space="preserve">Modifications des grains de beauté, cas rapportés de mélanome, priapisme</w:t>
            </w:r>
          </w:p>
        </w:tc>
      </w:tr>
      <w:tr>
        <w:tc>
          <w:tcPr/>
          <w:p>
            <w:pPr>
              <w:pStyle w:val="Compact"/>
              <w:jc w:val="left"/>
            </w:pPr>
            <w:r>
              <w:t xml:space="preserve">Afamélanotide</w:t>
            </w:r>
          </w:p>
        </w:tc>
        <w:tc>
          <w:tcPr/>
          <w:p>
            <w:pPr>
              <w:pStyle w:val="Compact"/>
              <w:jc w:val="left"/>
            </w:pPr>
            <w:r>
              <w:t xml:space="preserve">Deux ECR : temps sans douleur au soleil allongé dans la PPE (PMID 26132941)</w:t>
            </w:r>
          </w:p>
        </w:tc>
        <w:tc>
          <w:tcPr/>
          <w:p>
            <w:pPr>
              <w:pStyle w:val="Compact"/>
              <w:jc w:val="left"/>
            </w:pPr>
            <w:r>
              <w:t xml:space="preserve">Nausées, maux de tête ; contrôles cutanés nécessaires</w:t>
            </w:r>
          </w:p>
        </w:tc>
      </w:tr>
      <w:tr>
        <w:tc>
          <w:tcPr/>
          <w:p>
            <w:pPr>
              <w:pStyle w:val="Compact"/>
              <w:jc w:val="left"/>
            </w:pPr>
            <w:r>
              <w:t xml:space="preserve">Kisspeptine</w:t>
            </w:r>
          </w:p>
        </w:tc>
        <w:tc>
          <w:tcPr/>
          <w:p>
            <w:pPr>
              <w:pStyle w:val="Compact"/>
              <w:jc w:val="left"/>
            </w:pPr>
            <w:r>
              <w:t xml:space="preserve">60 femmes à risque de SHO : maturation ovocytaire chez 95 %, aucun SHO sévère (PMID 26192876)</w:t>
            </w:r>
          </w:p>
        </w:tc>
        <w:tc>
          <w:tcPr/>
          <w:p>
            <w:pPr>
              <w:pStyle w:val="Compact"/>
              <w:jc w:val="left"/>
            </w:pPr>
            <w:r>
              <w:t xml:space="preserve">Accoutumance jusqu’à la suppression de l’axe hormonal</w:t>
            </w:r>
          </w:p>
        </w:tc>
      </w:tr>
      <w:tr>
        <w:tc>
          <w:tcPr/>
          <w:p>
            <w:pPr>
              <w:pStyle w:val="Compact"/>
              <w:jc w:val="left"/>
            </w:pPr>
            <w:r>
              <w:t xml:space="preserve">Ocytocine (spray nasal)</w:t>
            </w:r>
          </w:p>
        </w:tc>
        <w:tc>
          <w:tcPr/>
          <w:p>
            <w:pPr>
              <w:pStyle w:val="Compact"/>
              <w:jc w:val="left"/>
            </w:pPr>
            <w:r>
              <w:t xml:space="preserve">SOARS-B, 290 enfants autistes : aucune différence avec le placebo (PMID 34644471)</w:t>
            </w:r>
          </w:p>
        </w:tc>
        <w:tc>
          <w:tcPr/>
          <w:p>
            <w:pPr>
              <w:pStyle w:val="Compact"/>
              <w:jc w:val="left"/>
            </w:pPr>
            <w:r>
              <w:t xml:space="preserve">Rétention d’eau à fortes doses, déclenchement des contractions</w:t>
            </w:r>
          </w:p>
        </w:tc>
      </w:tr>
      <w:tr>
        <w:tc>
          <w:tcPr/>
          <w:p>
            <w:pPr>
              <w:pStyle w:val="Compact"/>
              <w:jc w:val="left"/>
            </w:pPr>
            <w:r>
              <w:t xml:space="preserve">Gonadoréline</w:t>
            </w:r>
          </w:p>
        </w:tc>
        <w:tc>
          <w:tcPr/>
          <w:p>
            <w:pPr>
              <w:pStyle w:val="Compact"/>
              <w:jc w:val="left"/>
            </w:pPr>
            <w:r>
              <w:t xml:space="preserve">Administration pulsatile : ovulation chez 91 % et 96 % de 109 femmes (PMID 2122733)</w:t>
            </w:r>
          </w:p>
        </w:tc>
        <w:tc>
          <w:tcPr/>
          <w:p>
            <w:pPr>
              <w:pStyle w:val="Compact"/>
              <w:jc w:val="left"/>
            </w:pPr>
            <w:r>
              <w:t xml:space="preserve">En cas de mauvais rythme, suppression de l’axe hormonal</w:t>
            </w:r>
          </w:p>
        </w:tc>
      </w:tr>
    </w:tbl>
    <w:bookmarkEnd w:id="2531"/>
    <w:bookmarkStart w:id="2532" w:name="f.-collagène-alimentation-et-cosmétique"/>
    <w:p>
      <w:pPr>
        <w:pStyle w:val="Heading3"/>
      </w:pPr>
      <w:r>
        <w:t xml:space="preserve">F. Collagène, alimentation et cosmétique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Preuve</w:t>
            </w:r>
          </w:p>
        </w:tc>
        <w:tc>
          <w:tcPr/>
          <w:p>
            <w:pPr>
              <w:pStyle w:val="Compact"/>
              <w:jc w:val="left"/>
            </w:pPr>
            <w:r>
              <w:t xml:space="preserve">Autorisation UE / États-Unis</w:t>
            </w:r>
          </w:p>
        </w:tc>
        <w:tc>
          <w:tcPr/>
          <w:p>
            <w:pPr>
              <w:pStyle w:val="Compact"/>
              <w:jc w:val="left"/>
            </w:pPr>
            <w:r>
              <w:t xml:space="preserve">Études chez l’humain / registre</w:t>
            </w:r>
          </w:p>
        </w:tc>
      </w:tr>
      <w:tr>
        <w:tc>
          <w:tcPr/>
          <w:p>
            <w:pPr>
              <w:pStyle w:val="Compact"/>
              <w:jc w:val="left"/>
            </w:pPr>
            <w:r>
              <w:t xml:space="preserve">Peptides de collagène</w:t>
            </w:r>
          </w:p>
        </w:tc>
        <w:tc>
          <w:tcPr/>
          <w:p>
            <w:pPr>
              <w:pStyle w:val="Compact"/>
              <w:jc w:val="left"/>
            </w:pPr>
            <w:r>
              <w:t xml:space="preserve">B</w:t>
            </w:r>
          </w:p>
        </w:tc>
        <w:tc>
          <w:tcPr/>
          <w:p>
            <w:pPr>
              <w:pStyle w:val="Compact"/>
              <w:jc w:val="left"/>
            </w:pPr>
            <w:r>
              <w:t xml:space="preserve">aliment / complément alimentaire</w:t>
            </w:r>
          </w:p>
        </w:tc>
        <w:tc>
          <w:tcPr/>
          <w:p>
            <w:pPr>
              <w:pStyle w:val="Compact"/>
              <w:jc w:val="left"/>
            </w:pPr>
            <w:r>
              <w:t xml:space="preserve">101 / 237 (rem.)</w:t>
            </w:r>
          </w:p>
        </w:tc>
      </w:tr>
      <w:tr>
        <w:tc>
          <w:tcPr/>
          <w:p>
            <w:pPr>
              <w:pStyle w:val="Compact"/>
              <w:jc w:val="left"/>
            </w:pPr>
            <w:r>
              <w:t xml:space="preserve">Lactotripeptides</w:t>
            </w:r>
          </w:p>
        </w:tc>
        <w:tc>
          <w:tcPr/>
          <w:p>
            <w:pPr>
              <w:pStyle w:val="Compact"/>
              <w:jc w:val="left"/>
            </w:pPr>
            <w:r>
              <w:t xml:space="preserve">B</w:t>
            </w:r>
          </w:p>
        </w:tc>
        <w:tc>
          <w:tcPr/>
          <w:p>
            <w:pPr>
              <w:pStyle w:val="Compact"/>
              <w:jc w:val="left"/>
            </w:pPr>
            <w:r>
              <w:t xml:space="preserve">aliment / complément alimentaire</w:t>
            </w:r>
          </w:p>
        </w:tc>
        <w:tc>
          <w:tcPr/>
          <w:p>
            <w:pPr>
              <w:pStyle w:val="Compact"/>
              <w:jc w:val="left"/>
            </w:pPr>
            <w:r>
              <w:t xml:space="preserve">21 / 0</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complément alimentaire / complément alimentaire</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cosmétique / cosmétique</w:t>
            </w:r>
          </w:p>
        </w:tc>
        <w:tc>
          <w:tcPr/>
          <w:p>
            <w:pPr>
              <w:pStyle w:val="Compact"/>
              <w:jc w:val="left"/>
            </w:pPr>
            <w:r>
              <w:t xml:space="preserve">1 / 24 (rem.)</w:t>
            </w:r>
          </w:p>
        </w:tc>
      </w:tr>
      <w:tr>
        <w:tc>
          <w:tcPr/>
          <w:p>
            <w:pPr>
              <w:pStyle w:val="Compact"/>
              <w:jc w:val="left"/>
            </w:pPr>
            <w:r>
              <w:t xml:space="preserve">Palmitoyl pentapeptide-4</w:t>
            </w:r>
          </w:p>
        </w:tc>
        <w:tc>
          <w:tcPr/>
          <w:p>
            <w:pPr>
              <w:pStyle w:val="Compact"/>
              <w:jc w:val="left"/>
            </w:pPr>
            <w:r>
              <w:t xml:space="preserve">B (faible)</w:t>
            </w:r>
          </w:p>
        </w:tc>
        <w:tc>
          <w:tcPr/>
          <w:p>
            <w:pPr>
              <w:pStyle w:val="Compact"/>
              <w:jc w:val="left"/>
            </w:pPr>
            <w:r>
              <w:t xml:space="preserve">cosmétique / cosmétique</w:t>
            </w:r>
          </w:p>
        </w:tc>
        <w:tc>
          <w:tcPr/>
          <w:p>
            <w:pPr>
              <w:pStyle w:val="Compact"/>
              <w:jc w:val="left"/>
            </w:pPr>
            <w:r>
              <w:t xml:space="preserve">1 / 0</w:t>
            </w:r>
          </w:p>
        </w:tc>
      </w:tr>
      <w:tr>
        <w:tc>
          <w:tcPr/>
          <w:p>
            <w:pPr>
              <w:pStyle w:val="Compact"/>
              <w:jc w:val="left"/>
            </w:pPr>
            <w:r>
              <w:t xml:space="preserve">Acétyl hexapeptide-8</w:t>
            </w:r>
          </w:p>
        </w:tc>
        <w:tc>
          <w:tcPr/>
          <w:p>
            <w:pPr>
              <w:pStyle w:val="Compact"/>
              <w:jc w:val="left"/>
            </w:pPr>
            <w:r>
              <w:t xml:space="preserve">B (faible)</w:t>
            </w:r>
          </w:p>
        </w:tc>
        <w:tc>
          <w:tcPr/>
          <w:p>
            <w:pPr>
              <w:pStyle w:val="Compact"/>
              <w:jc w:val="left"/>
            </w:pPr>
            <w:r>
              <w:t xml:space="preserve">cosmétique / cosmétique</w:t>
            </w:r>
          </w:p>
        </w:tc>
        <w:tc>
          <w:tcPr/>
          <w:p>
            <w:pPr>
              <w:pStyle w:val="Compact"/>
              <w:jc w:val="left"/>
            </w:pPr>
            <w:r>
              <w:t xml:space="preserve">3 / 7</w:t>
            </w:r>
          </w:p>
        </w:tc>
      </w:tr>
    </w:tbl>
    <w:p>
      <w:pPr>
        <w:pStyle w:val="BodyText"/>
      </w:pPr>
      <w:r>
        <w:t xml:space="preserve">Remarques sur le tableau : pour les</w:t>
      </w:r>
      <w:r>
        <w:t xml:space="preserve"> </w:t>
      </w:r>
      <w:r>
        <w:rPr>
          <w:bCs/>
          <w:b/>
        </w:rPr>
        <w:t xml:space="preserve">peptides de collagène</w:t>
      </w:r>
      <w:r>
        <w:t xml:space="preserve">, une part considérable des résultats du registre concerne d’autres sujets, par exemple les implants de collagène en médecine dentaire ou le médicament anticancéreux endostatine. Pour le</w:t>
      </w:r>
      <w:r>
        <w:t xml:space="preserve"> </w:t>
      </w:r>
      <w:r>
        <w:rPr>
          <w:bCs/>
          <w:b/>
        </w:rPr>
        <w:t xml:space="preserve">GHK-Cu</w:t>
      </w:r>
      <w:r>
        <w:t xml:space="preserve">, presque tous les résultats du registre concernent d’autres composés du cuivre, par exemple le cuivre 64 radioactif pour l’imagerie ; une seule entrée crédible étudie réellement le GHK. Pour aucune substance de ce groupe une allégation publicitaire de santé n’est autorisée dans l’UE ; pour les lactotripeptides, l’Autorité européenne de sécurité des aliments (EFSA) a rejeté l’allégation demandée sur la pression artérielle.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Résultat clé</w:t>
            </w:r>
          </w:p>
        </w:tc>
        <w:tc>
          <w:tcPr/>
          <w:p>
            <w:pPr>
              <w:pStyle w:val="Compact"/>
              <w:jc w:val="left"/>
            </w:pPr>
            <w:r>
              <w:t xml:space="preserve">Risque principal</w:t>
            </w:r>
          </w:p>
        </w:tc>
      </w:tr>
      <w:tr>
        <w:tc>
          <w:tcPr/>
          <w:p>
            <w:pPr>
              <w:pStyle w:val="Compact"/>
              <w:jc w:val="left"/>
            </w:pPr>
            <w:r>
              <w:t xml:space="preserve">Peptides de collagène</w:t>
            </w:r>
          </w:p>
        </w:tc>
        <w:tc>
          <w:tcPr/>
          <w:p>
            <w:pPr>
              <w:pStyle w:val="Compact"/>
              <w:jc w:val="left"/>
            </w:pPr>
            <w:r>
              <w:t xml:space="preserve">Arthrose : effets faibles à modérés (PMID 38218227) ; bénéfice cutané absent dans les études indépendantes (PMID 40324552)</w:t>
            </w:r>
          </w:p>
        </w:tc>
        <w:tc>
          <w:tcPr/>
          <w:p>
            <w:pPr>
              <w:pStyle w:val="Compact"/>
              <w:jc w:val="left"/>
            </w:pPr>
            <w:r>
              <w:t xml:space="preserve">Remplacement de mesures efficaces ; oxalate en cas de tendance aux calculs rénaux</w:t>
            </w:r>
          </w:p>
        </w:tc>
      </w:tr>
      <w:tr>
        <w:tc>
          <w:tcPr/>
          <w:p>
            <w:pPr>
              <w:pStyle w:val="Compact"/>
              <w:jc w:val="left"/>
            </w:pPr>
            <w:r>
              <w:t xml:space="preserve">Lactotripeptides</w:t>
            </w:r>
          </w:p>
        </w:tc>
        <w:tc>
          <w:tcPr/>
          <w:p>
            <w:pPr>
              <w:pStyle w:val="Compact"/>
              <w:jc w:val="left"/>
            </w:pPr>
            <w:r>
              <w:t xml:space="preserve">Méta-analyse, 30 ECR : systolique −2,95 mmHg, avec biais de publication (PMID 25608938)</w:t>
            </w:r>
          </w:p>
        </w:tc>
        <w:tc>
          <w:tcPr/>
          <w:p>
            <w:pPr>
              <w:pStyle w:val="Compact"/>
              <w:jc w:val="left"/>
            </w:pPr>
            <w:r>
              <w:t xml:space="preserve">Remplacement d’un traitement antihypertenseur efficace</w:t>
            </w:r>
          </w:p>
        </w:tc>
      </w:tr>
      <w:tr>
        <w:tc>
          <w:tcPr/>
          <w:p>
            <w:pPr>
              <w:pStyle w:val="Compact"/>
              <w:jc w:val="left"/>
            </w:pPr>
            <w:r>
              <w:t xml:space="preserve">Carnosine</w:t>
            </w:r>
          </w:p>
        </w:tc>
        <w:tc>
          <w:tcPr/>
          <w:p>
            <w:pPr>
              <w:pStyle w:val="Compact"/>
              <w:jc w:val="left"/>
            </w:pPr>
            <w:r>
              <w:t xml:space="preserve">Méta-analyse, 8 ECR : valeurs de glycémie et d’HbA1c un peu plus basses (PMID 40999397)</w:t>
            </w:r>
          </w:p>
        </w:tc>
        <w:tc>
          <w:tcPr/>
          <w:p>
            <w:pPr>
              <w:pStyle w:val="Compact"/>
              <w:jc w:val="left"/>
            </w:pPr>
            <w:r>
              <w:t xml:space="preserve">Aucun risque significatif ; données à long terme manquantes</w:t>
            </w:r>
          </w:p>
        </w:tc>
      </w:tr>
      <w:tr>
        <w:tc>
          <w:tcPr/>
          <w:p>
            <w:pPr>
              <w:pStyle w:val="Compact"/>
              <w:jc w:val="left"/>
            </w:pPr>
            <w:r>
              <w:t xml:space="preserve">GHK-Cu</w:t>
            </w:r>
          </w:p>
        </w:tc>
        <w:tc>
          <w:tcPr/>
          <w:p>
            <w:pPr>
              <w:pStyle w:val="Compact"/>
              <w:jc w:val="left"/>
            </w:pPr>
            <w:r>
              <w:t xml:space="preserve">Ulcères du pied : surface de la plaie, médiane −98,5 % contre −60,8 % (PMID 17147644)</w:t>
            </w:r>
          </w:p>
        </w:tc>
        <w:tc>
          <w:tcPr/>
          <w:p>
            <w:pPr>
              <w:pStyle w:val="Compact"/>
              <w:jc w:val="left"/>
            </w:pPr>
            <w:r>
              <w:t xml:space="preserve">Injections de produits du marché gris non évaluées</w:t>
            </w:r>
          </w:p>
        </w:tc>
      </w:tr>
      <w:tr>
        <w:tc>
          <w:tcPr/>
          <w:p>
            <w:pPr>
              <w:pStyle w:val="Compact"/>
              <w:jc w:val="left"/>
            </w:pPr>
            <w:r>
              <w:t xml:space="preserve">Palmitoyl pentapeptide-4</w:t>
            </w:r>
          </w:p>
        </w:tc>
        <w:tc>
          <w:tcPr/>
          <w:p>
            <w:pPr>
              <w:pStyle w:val="Compact"/>
              <w:jc w:val="left"/>
            </w:pPr>
            <w:r>
              <w:t xml:space="preserve">93 femmes, étude en hémivisage : moins de rides après 12 semaines (PMID 18492182)</w:t>
            </w:r>
          </w:p>
        </w:tc>
        <w:tc>
          <w:tcPr/>
          <w:p>
            <w:pPr>
              <w:pStyle w:val="Compact"/>
              <w:jc w:val="left"/>
            </w:pPr>
            <w:r>
              <w:t xml:space="preserve">Rarement irritation cutanée</w:t>
            </w:r>
          </w:p>
        </w:tc>
      </w:tr>
      <w:tr>
        <w:tc>
          <w:tcPr/>
          <w:p>
            <w:pPr>
              <w:pStyle w:val="Compact"/>
              <w:jc w:val="left"/>
            </w:pPr>
            <w:r>
              <w:t xml:space="preserve">Acétyl hexapeptide-8</w:t>
            </w:r>
          </w:p>
        </w:tc>
        <w:tc>
          <w:tcPr/>
          <w:p>
            <w:pPr>
              <w:pStyle w:val="Compact"/>
              <w:jc w:val="left"/>
            </w:pPr>
            <w:r>
              <w:t xml:space="preserve">19 femmes, étude en hémivisage : aucune différence après 4 semaines (PMID 38024099)</w:t>
            </w:r>
          </w:p>
        </w:tc>
        <w:tc>
          <w:tcPr/>
          <w:p>
            <w:pPr>
              <w:pStyle w:val="Compact"/>
              <w:jc w:val="left"/>
            </w:pPr>
            <w:r>
              <w:t xml:space="preserve">Injections non autorisées, cas rapporté d’infection</w:t>
            </w:r>
          </w:p>
        </w:tc>
      </w:tr>
    </w:tbl>
    <w:bookmarkEnd w:id="2532"/>
    <w:bookmarkStart w:id="2536" w:name="X24de40cc0222e47cec0ec1c6fc66febf224b687"/>
    <w:p>
      <w:pPr>
        <w:pStyle w:val="Heading3"/>
      </w:pPr>
      <w:r>
        <w:t xml:space="preserve">Analyse : dans quelle mesure les peptides sont-ils étudiés dans leur ensemble ?</w:t>
      </w:r>
    </w:p>
    <w:bookmarkStart w:id="2533" w:name="répartition-des-niveaux-de-preuve"/>
    <w:p>
      <w:pPr>
        <w:pStyle w:val="Heading4"/>
      </w:pPr>
      <w:r>
        <w:t xml:space="preserve">Répartition des niveaux de preuve</w:t>
      </w:r>
    </w:p>
    <w:p>
      <w:pPr>
        <w:pStyle w:val="FirstParagraph"/>
      </w:pPr>
      <w:r>
        <w:t xml:space="preserve">Les 58 entrées de ce livre – 56 peptides et deux substances de comparaison qui ne sont pas des peptides (orforglipron et ibutamorène) – se répartissent comme suit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Niveau de preuve</w:t>
            </w:r>
          </w:p>
        </w:tc>
        <w:tc>
          <w:tcPr/>
          <w:p>
            <w:pPr>
              <w:pStyle w:val="Compact"/>
              <w:jc w:val="left"/>
            </w:pPr>
            <w:r>
              <w:t xml:space="preserve">Nombre</w:t>
            </w:r>
          </w:p>
        </w:tc>
        <w:tc>
          <w:tcPr/>
          <w:p>
            <w:pPr>
              <w:pStyle w:val="Compact"/>
              <w:jc w:val="left"/>
            </w:pPr>
            <w:r>
              <w:t xml:space="preserve">Part</w:t>
            </w:r>
          </w:p>
        </w:tc>
        <w:tc>
          <w:tcPr/>
          <w:p>
            <w:pPr>
              <w:pStyle w:val="Compact"/>
              <w:jc w:val="left"/>
            </w:pPr>
            <w:r>
              <w:t xml:space="preserve">Exemples</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24 %</w:t>
            </w:r>
          </w:p>
        </w:tc>
        <w:tc>
          <w:tcPr/>
          <w:p>
            <w:pPr>
              <w:pStyle w:val="Compact"/>
              <w:jc w:val="left"/>
            </w:pPr>
            <w:r>
              <w:t xml:space="preserve">Sémaglutide, tirzépatide, tésamoréline, afamélanotide</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43 %</w:t>
            </w:r>
          </w:p>
        </w:tc>
        <w:tc>
          <w:tcPr/>
          <w:p>
            <w:pPr>
              <w:pStyle w:val="Compact"/>
              <w:jc w:val="left"/>
            </w:pPr>
            <w:r>
              <w:t xml:space="preserve">Rétatrutide, thymosine alpha-1, glutathion, peptides de collagène</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21 %</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12 %</w:t>
            </w:r>
          </w:p>
        </w:tc>
        <w:tc>
          <w:tcPr/>
          <w:p>
            <w:pPr>
              <w:pStyle w:val="Compact"/>
              <w:jc w:val="left"/>
            </w:pPr>
            <w:r>
              <w:t xml:space="preserve">AOD-9604, KPV, Dihexa, MOTS-c, IGF-1 LR3</w:t>
            </w:r>
          </w:p>
        </w:tc>
      </w:tr>
    </w:tbl>
    <w:p>
      <w:pPr>
        <w:pStyle w:val="BodyText"/>
      </w:pPr>
      <w:r>
        <w:t xml:space="preserve">Remarque : le TB-500 est compté avec le niveau B de la thymosine bêta-4 ; pour le fragment TB-500 seul, c’est le niveau D qui s’applique.</w:t>
      </w:r>
    </w:p>
    <w:p>
      <w:pPr>
        <w:pStyle w:val="BodyText"/>
      </w:pPr>
      <w:r>
        <w:t xml:space="preserve">Trois schémas :</w:t>
      </w:r>
    </w:p>
    <w:p>
      <w:pPr>
        <w:numPr>
          <w:ilvl w:val="0"/>
          <w:numId w:val="1321"/>
        </w:numPr>
        <w:pStyle w:val="Compact"/>
      </w:pPr>
      <w:r>
        <w:rPr>
          <w:bCs/>
          <w:b/>
        </w:rPr>
        <w:t xml:space="preserve">Le niveau A n’est presque atteint que par des principes actifs qui ont suivi un programme d’autorisation régulier d’un fabricant pharmaceutique.</w:t>
      </w:r>
      <w:r>
        <w:t xml:space="preserve"> </w:t>
      </w:r>
      <w:r>
        <w:t xml:space="preserve">Neuf des 14 entrées de niveau A proviennent du groupe A (métabolisme et poids). Les autres sont la tésamoréline, la macimoréline et la mécasermine pour l’axe de l’hormone de croissance, ainsi que le brémélanotide et l’afamélanotide. Aucune des substances décrites dans le groupe B (cicatrisation) et le groupe D (cerveau et longévité) n’atteint le niveau A.</w:t>
      </w:r>
    </w:p>
    <w:p>
      <w:pPr>
        <w:numPr>
          <w:ilvl w:val="0"/>
          <w:numId w:val="1321"/>
        </w:numPr>
        <w:pStyle w:val="Compact"/>
      </w:pPr>
      <w:r>
        <w:rPr>
          <w:bCs/>
          <w:b/>
        </w:rPr>
        <w:t xml:space="preserve">Le niveau B signifie souvent « évalué et non confirmé ».</w:t>
      </w:r>
      <w:r>
        <w:t xml:space="preserve"> </w:t>
      </w:r>
      <w:r>
        <w:t xml:space="preserve">Pour beaucoup des 25 entrées, la plus grande étude randomisée a manqué son objectif principal : thymosine alpha-1 dans le sepsis, LL-37 dans les ulcères de jambe, ipamoréline après chirurgie intestinale, élamiprétide dans la myopathie, ocytocine dans l’autisme, glutathion contre les neuropathies dues à la chimiothérapie.</w:t>
      </w:r>
    </w:p>
    <w:p>
      <w:pPr>
        <w:numPr>
          <w:ilvl w:val="0"/>
          <w:numId w:val="1321"/>
        </w:numPr>
        <w:pStyle w:val="Compact"/>
      </w:pPr>
      <w:r>
        <w:rPr>
          <w:bCs/>
          <w:b/>
        </w:rPr>
        <w:t xml:space="preserve">Un tiers est au niveau C ou D.</w:t>
      </w:r>
      <w:r>
        <w:t xml:space="preserve"> </w:t>
      </w:r>
      <w:r>
        <w:t xml:space="preserve">19 des 58 entrées reposent sur de petites études chez l’humain non contrôlées ou uniquement sur des expériences animales et de laboratoire – dont beaucoup des substances les plus promues sur Internet.</w:t>
      </w:r>
    </w:p>
    <w:p>
      <w:pPr>
        <w:pStyle w:val="FirstParagraph"/>
      </w:pPr>
      <w:r>
        <w:t xml:space="preserve">Par groupe :</w:t>
      </w:r>
    </w:p>
    <w:p>
      <w:pPr>
        <w:numPr>
          <w:ilvl w:val="0"/>
          <w:numId w:val="1322"/>
        </w:numPr>
        <w:pStyle w:val="Compact"/>
      </w:pPr>
      <w:r>
        <w:t xml:space="preserve">A. Métabolisme et poids (15 entrées) : 9 × A, 5 × B, 1 × D</w:t>
      </w:r>
    </w:p>
    <w:p>
      <w:pPr>
        <w:numPr>
          <w:ilvl w:val="0"/>
          <w:numId w:val="1322"/>
        </w:numPr>
        <w:pStyle w:val="Compact"/>
      </w:pPr>
      <w:r>
        <w:t xml:space="preserve">B. Cicatrisation et système immunitaire (8) : 5 × B, 2 × C, 1 × D</w:t>
      </w:r>
    </w:p>
    <w:p>
      <w:pPr>
        <w:numPr>
          <w:ilvl w:val="0"/>
          <w:numId w:val="1322"/>
        </w:numPr>
        <w:pStyle w:val="Compact"/>
      </w:pPr>
      <w:r>
        <w:t xml:space="preserve">C. Axe de l’hormone de croissance (11) : 3 × A, 4 × B, 3 × C, 1 × D</w:t>
      </w:r>
    </w:p>
    <w:p>
      <w:pPr>
        <w:numPr>
          <w:ilvl w:val="0"/>
          <w:numId w:val="1322"/>
        </w:numPr>
        <w:pStyle w:val="Compact"/>
      </w:pPr>
      <w:r>
        <w:t xml:space="preserve">D. Cerveau et longévité (12) : 3 × B, 5 × C, 4 × D</w:t>
      </w:r>
    </w:p>
    <w:p>
      <w:pPr>
        <w:numPr>
          <w:ilvl w:val="0"/>
          <w:numId w:val="1322"/>
        </w:numPr>
        <w:pStyle w:val="Compact"/>
      </w:pPr>
      <w:r>
        <w:t xml:space="preserve">E. Hormones et pigmentation (6) : 2 × A, 3 × B, 1 × C</w:t>
      </w:r>
    </w:p>
    <w:p>
      <w:pPr>
        <w:numPr>
          <w:ilvl w:val="0"/>
          <w:numId w:val="1322"/>
        </w:numPr>
        <w:pStyle w:val="Compact"/>
      </w:pPr>
      <w:r>
        <w:t xml:space="preserve">F. Collagène et cosmétique (6) : 5 × B, 1 × C</w:t>
      </w:r>
    </w:p>
    <w:p>
      <w:pPr>
        <w:pStyle w:val="FirstParagraph"/>
      </w:pPr>
      <w:r>
        <w:t xml:space="preserve">Le groupe D a les données les plus faibles : quatre de ses douze peptides n’ont jamais été administrés dans une étude publiée chez l’humain, cinq autres seulement dans de petites études, le plus souvent non randomisées.</w:t>
      </w:r>
    </w:p>
    <w:bookmarkEnd w:id="2533"/>
    <w:bookmarkStart w:id="2534" w:name="autorisé-ou-non"/>
    <w:p>
      <w:pPr>
        <w:pStyle w:val="Heading4"/>
      </w:pPr>
      <w:r>
        <w:t xml:space="preserve">Autorisé ou non ?</w:t>
      </w:r>
    </w:p>
    <w:p>
      <w:pPr>
        <w:pStyle w:val="FirstParagraph"/>
      </w:pPr>
      <w:r>
        <w:t xml:space="preserve">Dans ce livre, « autorisé » signifie : une autorité du médicament a évalué l’efficacité, la sécurité et la qualité de fabrication pour un usage déterminé. Les 58 entrées peuvent ainsi être réparties en cinq groupes (état octobre 2026, à vérifier)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Statut</w:t>
            </w:r>
          </w:p>
        </w:tc>
        <w:tc>
          <w:tcPr/>
          <w:p>
            <w:pPr>
              <w:pStyle w:val="Compact"/>
              <w:jc w:val="left"/>
            </w:pPr>
            <w:r>
              <w:t xml:space="preserve">Nombre</w:t>
            </w:r>
          </w:p>
        </w:tc>
        <w:tc>
          <w:tcPr/>
          <w:p>
            <w:pPr>
              <w:pStyle w:val="Compact"/>
              <w:jc w:val="left"/>
            </w:pPr>
            <w:r>
              <w:t xml:space="preserve">Peptides</w:t>
            </w:r>
          </w:p>
        </w:tc>
      </w:tr>
      <w:tr>
        <w:tc>
          <w:tcPr/>
          <w:p>
            <w:pPr>
              <w:pStyle w:val="Compact"/>
              <w:jc w:val="left"/>
            </w:pPr>
            <w:r>
              <w:t xml:space="preserve">Autorisé comme médicament dans l’UE et/ou aux États-Unis</w:t>
            </w:r>
          </w:p>
        </w:tc>
        <w:tc>
          <w:tcPr/>
          <w:p>
            <w:pPr>
              <w:pStyle w:val="Compact"/>
              <w:jc w:val="left"/>
            </w:pPr>
            <w:r>
              <w:t xml:space="preserve">14</w:t>
            </w:r>
          </w:p>
        </w:tc>
        <w:tc>
          <w:tcPr/>
          <w:p>
            <w:pPr>
              <w:pStyle w:val="Compact"/>
              <w:jc w:val="left"/>
            </w:pPr>
            <w:r>
              <w:t xml:space="preserve">Exénatide, liraglutide, dulaglutide, sémaglutide, tirzépatide, setmélanotide, pramlintide, tésamoréline, macimoréline, mécasermine, afamélanotide, brémélanotide, SS-31, ocytocine (obstétrique uniquement)</w:t>
            </w:r>
          </w:p>
        </w:tc>
      </w:tr>
      <w:tr>
        <w:tc>
          <w:tcPr/>
          <w:p>
            <w:pPr>
              <w:pStyle w:val="Compact"/>
              <w:jc w:val="left"/>
            </w:pPr>
            <w:r>
              <w:t xml:space="preserve">Autorisé seulement au niveau national dans certains États de l’UE ou seulement hors UE et États-Unis</w:t>
            </w:r>
          </w:p>
        </w:tc>
        <w:tc>
          <w:tcPr/>
          <w:p>
            <w:pPr>
              <w:pStyle w:val="Compact"/>
              <w:jc w:val="left"/>
            </w:pPr>
            <w:r>
              <w:t xml:space="preserve">8</w:t>
            </w:r>
          </w:p>
        </w:tc>
        <w:tc>
          <w:tcPr/>
          <w:p>
            <w:pPr>
              <w:pStyle w:val="Compact"/>
              <w:jc w:val="left"/>
            </w:pPr>
            <w:r>
              <w:t xml:space="preserve">Cerebrolysin, gonadoréline, mazdutide (Chine), thymosine alpha-1 (notamment Chine), thymaline, Semax, Selank (Russie), GHRP-2 (Japon, produit diagnostique)</w:t>
            </w:r>
          </w:p>
        </w:tc>
      </w:tr>
      <w:tr>
        <w:tc>
          <w:tcPr/>
          <w:p>
            <w:pPr>
              <w:pStyle w:val="Compact"/>
              <w:jc w:val="left"/>
            </w:pPr>
            <w:r>
              <w:t xml:space="preserve">Autrefois autorisé aux États-Unis, plus commercialisé aujourd’hui</w:t>
            </w:r>
          </w:p>
        </w:tc>
        <w:tc>
          <w:tcPr/>
          <w:p>
            <w:pPr>
              <w:pStyle w:val="Compact"/>
              <w:jc w:val="left"/>
            </w:pPr>
            <w:r>
              <w:t xml:space="preserve">1</w:t>
            </w:r>
          </w:p>
        </w:tc>
        <w:tc>
          <w:tcPr/>
          <w:p>
            <w:pPr>
              <w:pStyle w:val="Compact"/>
              <w:jc w:val="left"/>
            </w:pPr>
            <w:r>
              <w:t xml:space="preserve">Sermoréline</w:t>
            </w:r>
          </w:p>
        </w:tc>
      </w:tr>
      <w:tr>
        <w:tc>
          <w:tcPr/>
          <w:p>
            <w:pPr>
              <w:pStyle w:val="Compact"/>
              <w:jc w:val="left"/>
            </w:pPr>
            <w:r>
              <w:t xml:space="preserve">Admis comme aliment, complément alimentaire ou cosmétique, sans autorisation comme médicament</w:t>
            </w:r>
          </w:p>
        </w:tc>
        <w:tc>
          <w:tcPr/>
          <w:p>
            <w:pPr>
              <w:pStyle w:val="Compact"/>
              <w:jc w:val="left"/>
            </w:pPr>
            <w:r>
              <w:t xml:space="preserve">7</w:t>
            </w:r>
          </w:p>
        </w:tc>
        <w:tc>
          <w:tcPr/>
          <w:p>
            <w:pPr>
              <w:pStyle w:val="Compact"/>
              <w:jc w:val="left"/>
            </w:pPr>
            <w:r>
              <w:t xml:space="preserve">Peptides de collagène, lactotripeptides, carnosine, glutathion, GHK-Cu, palmitoyl pentapeptide-4, acétyl hexapeptide-8</w:t>
            </w:r>
          </w:p>
        </w:tc>
      </w:tr>
      <w:tr>
        <w:tc>
          <w:tcPr/>
          <w:p>
            <w:pPr>
              <w:pStyle w:val="Compact"/>
              <w:jc w:val="left"/>
            </w:pPr>
            <w:r>
              <w:t xml:space="preserve">Autorisé nulle part</w:t>
            </w:r>
          </w:p>
        </w:tc>
        <w:tc>
          <w:tcPr/>
          <w:p>
            <w:pPr>
              <w:pStyle w:val="Compact"/>
              <w:jc w:val="left"/>
            </w:pPr>
            <w:r>
              <w:t xml:space="preserve">28</w:t>
            </w:r>
          </w:p>
        </w:tc>
        <w:tc>
          <w:tcPr/>
          <w:p>
            <w:pPr>
              <w:pStyle w:val="Compact"/>
              <w:jc w:val="left"/>
            </w:pPr>
            <w:r>
              <w:t xml:space="preserve">dont rétatrutide, CagriSema, BPC-157, TB-500, CJC-1295, ipamoréline, épitalon, MOTS-c, Melanotan II, IGF-1 LR3, orforglipron (demande déposée) et ibutamorène</w:t>
            </w:r>
          </w:p>
        </w:tc>
      </w:tr>
    </w:tbl>
    <w:p>
      <w:pPr>
        <w:pStyle w:val="BodyText"/>
      </w:pPr>
      <w:r>
        <w:t xml:space="preserve">Seul un quart environ des entrées est autorisé comme médicament dans l’UE ou aux États-Unis – le plus souvent pour des usages étroitement délimités : l’afamélanotide pour une intolérance rare à la lumière (protoporphyrie érythropoïétique, PPE), pas pour bronzer ; l’élamiprétide uniquement pour le syndrome de Barth ; l’ocytocine uniquement en obstétrique, pas en spray nasal ; la tésamoréline uniquement pour un trouble de la répartition des graisses lié au VIH. Face à la mention « autorisé », il vaut donc toujours la peine de se demander : où, pour quoi et sous quelle forme ?</w:t>
      </w:r>
    </w:p>
    <w:p>
      <w:pPr>
        <w:pStyle w:val="BodyText"/>
      </w:pPr>
      <w:r>
        <w:t xml:space="preserve">Les 28 entrées autorisées nulle part se divisent en deux groupes. Le rétatrutide, le survodutide, le CagriSema, l’amycrétine, le maridebart cafraglutide et l’orforglipron suivent un développement régulier avec des études de phase 3 ; une autorisation est probable pour eux, mais pas certaine (appréciation). Des substances comme le BPC-157, le TB-500, le CJC-1295, l’AOD-9604, l’épitalon, le MOTS-c, le Dihexa ou l’IGF-1 LR3 n’ont en revanche aucune voie d’autorisation visible et sont surtout vendues comme « research peptides ». Les offres du marché gris concernant le premier groupe ne doivent pas être assimilées aux médicaments évalués.</w:t>
      </w:r>
    </w:p>
    <w:bookmarkEnd w:id="2534"/>
    <w:bookmarkStart w:id="2535" w:name="statut-antidopage-selon-la-wada"/>
    <w:p>
      <w:pPr>
        <w:pStyle w:val="Heading4"/>
      </w:pPr>
      <w:r>
        <w:t xml:space="preserve">Statut antidopage selon la WADA</w:t>
      </w:r>
    </w:p>
    <w:p>
      <w:pPr>
        <w:pStyle w:val="FirstParagraph"/>
      </w:pPr>
      <w:r>
        <w:t xml:space="preserve">Pour le sport de compétition, c’est la liste des interdictions de l’Agence mondiale antidopage (WADA) qui compte. Les principales classes :</w:t>
      </w:r>
    </w:p>
    <w:p>
      <w:pPr>
        <w:numPr>
          <w:ilvl w:val="0"/>
          <w:numId w:val="1323"/>
        </w:numPr>
        <w:pStyle w:val="Compact"/>
      </w:pPr>
      <w:r>
        <w:rPr>
          <w:bCs/>
          <w:b/>
        </w:rPr>
        <w:t xml:space="preserve">S0</w:t>
      </w:r>
      <w:r>
        <w:t xml:space="preserve"> </w:t>
      </w:r>
      <w:r>
        <w:t xml:space="preserve">– substances non approuvées : toutes les substances sans autorisation de médicament à usage humain, même sans mention nominative.</w:t>
      </w:r>
    </w:p>
    <w:p>
      <w:pPr>
        <w:numPr>
          <w:ilvl w:val="0"/>
          <w:numId w:val="1323"/>
        </w:numPr>
        <w:pStyle w:val="Compact"/>
      </w:pPr>
      <w:r>
        <w:rPr>
          <w:bCs/>
          <w:b/>
        </w:rPr>
        <w:t xml:space="preserve">S2</w:t>
      </w:r>
      <w:r>
        <w:t xml:space="preserve"> </w:t>
      </w:r>
      <w:r>
        <w:t xml:space="preserve">– hormones peptidiques, facteurs de croissance et substances apparentées, dont l’hormone de croissance, ses facteurs de libération et ses fragments, l’IGF-1, la thymosine bêta-4 et, chez les hommes, les facteurs de libération de l’hormone lutéinisante (LH).</w:t>
      </w:r>
    </w:p>
    <w:p>
      <w:pPr>
        <w:numPr>
          <w:ilvl w:val="0"/>
          <w:numId w:val="1323"/>
        </w:numPr>
        <w:pStyle w:val="Compact"/>
      </w:pPr>
      <w:r>
        <w:rPr>
          <w:bCs/>
          <w:b/>
        </w:rPr>
        <w:t xml:space="preserve">S4</w:t>
      </w:r>
      <w:r>
        <w:t xml:space="preserve"> </w:t>
      </w:r>
      <w:r>
        <w:t xml:space="preserve">– modulateurs hormonaux et métaboliques, dont les activateurs de l’enzyme AMPK.</w:t>
      </w:r>
    </w:p>
    <w:p>
      <w:pPr>
        <w:numPr>
          <w:ilvl w:val="0"/>
          <w:numId w:val="1323"/>
        </w:numPr>
        <w:pStyle w:val="Compact"/>
      </w:pPr>
      <w:r>
        <w:rPr>
          <w:bCs/>
          <w:b/>
        </w:rPr>
        <w:t xml:space="preserve">M2</w:t>
      </w:r>
      <w:r>
        <w:t xml:space="preserve"> </w:t>
      </w:r>
      <w:r>
        <w:t xml:space="preserve">– méthodes interdites, dont les perfusions de plus de 100 ml en douze heures.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Peptides</w:t>
            </w:r>
          </w:p>
        </w:tc>
        <w:tc>
          <w:tcPr/>
          <w:p>
            <w:pPr>
              <w:pStyle w:val="Compact"/>
              <w:jc w:val="left"/>
            </w:pPr>
            <w:r>
              <w:t xml:space="preserve">Statut WADA</w:t>
            </w:r>
          </w:p>
        </w:tc>
      </w:tr>
      <w:tr>
        <w:tc>
          <w:tcPr/>
          <w:p>
            <w:pPr>
              <w:pStyle w:val="Compact"/>
              <w:jc w:val="left"/>
            </w:pPr>
            <w:r>
              <w:t xml:space="preserve">AOD-9604, TB-500 / thymosine bêta-4, ARA-290, sermoréline, tésamoréline, CJC-1295, ipamoréline, GHRP-2, GHRP-6, hexaréline, macimoréline, mécasermine, IGF-1 LR3, ibutamorène</w:t>
            </w:r>
          </w:p>
        </w:tc>
        <w:tc>
          <w:tcPr/>
          <w:p>
            <w:pPr>
              <w:pStyle w:val="Compact"/>
              <w:jc w:val="left"/>
            </w:pPr>
            <w:r>
              <w:t xml:space="preserve">interdits, S2</w:t>
            </w:r>
          </w:p>
        </w:tc>
      </w:tr>
      <w:tr>
        <w:tc>
          <w:tcPr/>
          <w:p>
            <w:pPr>
              <w:pStyle w:val="Compact"/>
              <w:jc w:val="left"/>
            </w:pPr>
            <w:r>
              <w:t xml:space="preserve">Gonadoréline ; kisspeptine</w:t>
            </w:r>
          </w:p>
        </w:tc>
        <w:tc>
          <w:tcPr/>
          <w:p>
            <w:pPr>
              <w:pStyle w:val="Compact"/>
              <w:jc w:val="left"/>
            </w:pPr>
            <w:r>
              <w:t xml:space="preserve">interdites pour les hommes, S2 ; la kisspeptine, en tant que principe actif non autorisé, relève en outre de S0</w:t>
            </w:r>
          </w:p>
        </w:tc>
      </w:tr>
      <w:tr>
        <w:tc>
          <w:tcPr/>
          <w:p>
            <w:pPr>
              <w:pStyle w:val="Compact"/>
              <w:jc w:val="left"/>
            </w:pPr>
            <w:r>
              <w:t xml:space="preserve">MOTS-c</w:t>
            </w:r>
          </w:p>
        </w:tc>
        <w:tc>
          <w:tcPr/>
          <w:p>
            <w:pPr>
              <w:pStyle w:val="Compact"/>
              <w:jc w:val="left"/>
            </w:pPr>
            <w:r>
              <w:t xml:space="preserve">interdit, S4 (activateur de l’AMPK)</w:t>
            </w:r>
          </w:p>
        </w:tc>
      </w:tr>
      <w:tr>
        <w:tc>
          <w:tcPr/>
          <w:p>
            <w:pPr>
              <w:pStyle w:val="Compact"/>
              <w:jc w:val="left"/>
            </w:pPr>
            <w:r>
              <w:t xml:space="preserve">Rétatrutide, survodutide, CagriSema, amycrétine, maridebart cafraglutide, BPC-157, Melanotan II</w:t>
            </w:r>
          </w:p>
        </w:tc>
        <w:tc>
          <w:tcPr/>
          <w:p>
            <w:pPr>
              <w:pStyle w:val="Compact"/>
              <w:jc w:val="left"/>
            </w:pPr>
            <w:r>
              <w:t xml:space="preserve">interdits, S0</w:t>
            </w:r>
          </w:p>
        </w:tc>
      </w:tr>
      <w:tr>
        <w:tc>
          <w:tcPr/>
          <w:p>
            <w:pPr>
              <w:pStyle w:val="Compact"/>
              <w:jc w:val="left"/>
            </w:pPr>
            <w:r>
              <w:t xml:space="preserve">KPV, LL-37, Dihexa, épitalon, pinéalon, humanine, FOXO4-DRI, orforglipron (jusqu’à l’autorisation)</w:t>
            </w:r>
          </w:p>
        </w:tc>
        <w:tc>
          <w:tcPr/>
          <w:p>
            <w:pPr>
              <w:pStyle w:val="Compact"/>
              <w:jc w:val="left"/>
            </w:pPr>
            <w:r>
              <w:t xml:space="preserve">pas mentionnés nommément ; en tant que substances non approuvées, probablement S0</w:t>
            </w:r>
          </w:p>
        </w:tc>
      </w:tr>
      <w:tr>
        <w:tc>
          <w:tcPr/>
          <w:p>
            <w:pPr>
              <w:pStyle w:val="Compact"/>
              <w:jc w:val="left"/>
            </w:pPr>
            <w:r>
              <w:t xml:space="preserve">Mazdutide</w:t>
            </w:r>
          </w:p>
        </w:tc>
        <w:tc>
          <w:tcPr/>
          <w:p>
            <w:pPr>
              <w:pStyle w:val="Compact"/>
              <w:jc w:val="left"/>
            </w:pPr>
            <w:r>
              <w:t xml:space="preserve">pas mentionné nommément ; statut S0 incertain en raison de l’autorisation en Chine</w:t>
            </w:r>
          </w:p>
        </w:tc>
      </w:tr>
      <w:tr>
        <w:tc>
          <w:tcPr/>
          <w:p>
            <w:pPr>
              <w:pStyle w:val="Compact"/>
              <w:jc w:val="left"/>
            </w:pPr>
            <w:r>
              <w:t xml:space="preserve">GHK-Cu</w:t>
            </w:r>
          </w:p>
        </w:tc>
        <w:tc>
          <w:tcPr/>
          <w:p>
            <w:pPr>
              <w:pStyle w:val="Compact"/>
              <w:jc w:val="left"/>
            </w:pPr>
            <w:r>
              <w:t xml:space="preserve">non interdit comme cosmétique ; injection éventuellement S0</w:t>
            </w:r>
          </w:p>
        </w:tc>
      </w:tr>
      <w:tr>
        <w:tc>
          <w:tcPr/>
          <w:p>
            <w:pPr>
              <w:pStyle w:val="Compact"/>
              <w:jc w:val="left"/>
            </w:pPr>
            <w:r>
              <w:t xml:space="preserve">Glutathion</w:t>
            </w:r>
          </w:p>
        </w:tc>
        <w:tc>
          <w:tcPr/>
          <w:p>
            <w:pPr>
              <w:pStyle w:val="Compact"/>
              <w:jc w:val="left"/>
            </w:pPr>
            <w:r>
              <w:t xml:space="preserve">substance non interdite ; perfusions de plus de 100 ml en douze heures interdites (M2)</w:t>
            </w:r>
          </w:p>
        </w:tc>
      </w:tr>
      <w:tr>
        <w:tc>
          <w:tcPr/>
          <w:p>
            <w:pPr>
              <w:pStyle w:val="Compact"/>
              <w:jc w:val="left"/>
            </w:pPr>
            <w:r>
              <w:t xml:space="preserve">Semax, Selank, DSIP, SS-31, brémélanotide</w:t>
            </w:r>
          </w:p>
        </w:tc>
        <w:tc>
          <w:tcPr/>
          <w:p>
            <w:pPr>
              <w:pStyle w:val="Compact"/>
              <w:jc w:val="left"/>
            </w:pPr>
            <w:r>
              <w:t xml:space="preserve">pas mentionnés nommément ; classement incertain</w:t>
            </w:r>
          </w:p>
        </w:tc>
      </w:tr>
      <w:tr>
        <w:tc>
          <w:tcPr/>
          <w:p>
            <w:pPr>
              <w:pStyle w:val="Compact"/>
              <w:jc w:val="left"/>
            </w:pPr>
            <w:r>
              <w:t xml:space="preserve">Exénatide, liraglutide, dulaglutide, sémaglutide, tirzépatide, pramlintide, setmélanotide, thymosine alpha-1, larazotide, thymaline, Cerebrolysin, afamélanotide, ocytocine, peptides de collagène, lactotripeptides, carnosine, palmitoyl pentapeptide-4, acétyl hexapeptide-8</w:t>
            </w:r>
          </w:p>
        </w:tc>
        <w:tc>
          <w:tcPr/>
          <w:p>
            <w:pPr>
              <w:pStyle w:val="Compact"/>
              <w:jc w:val="left"/>
            </w:pPr>
            <w:r>
              <w:t xml:space="preserve">pas listés</w:t>
            </w:r>
          </w:p>
        </w:tc>
      </w:tr>
    </w:tbl>
    <w:p>
      <w:pPr>
        <w:pStyle w:val="BodyText"/>
      </w:pPr>
      <w:r>
        <w:t xml:space="preserve">La liste n’est pas exhaustive : S0 couvre toute substance sans autorisation, S2 aussi les « substances apparentées » à effet similaire. Ne pas être mentionné nommément ne signifie donc pas être autorisé. Ce sont justement les substances de l’axe de l’hormone de croissance, populaires dans les sports de force, ainsi que le BPC-157 et le TB-500 qui sont expressément interdites. En cas de doute, les agences nationales antidopage fournissent des renseignements.</w:t>
      </w:r>
    </w:p>
    <w:bookmarkEnd w:id="2535"/>
    <w:bookmarkEnd w:id="2536"/>
    <w:bookmarkStart w:id="2537" w:name="ce-que-montre-cette-vue-densemble"/>
    <w:p>
      <w:pPr>
        <w:pStyle w:val="Heading3"/>
      </w:pPr>
      <w:r>
        <w:t xml:space="preserve">Ce que montre cette vue d’ensemble</w:t>
      </w:r>
    </w:p>
    <w:p>
      <w:pPr>
        <w:pStyle w:val="FirstParagraph"/>
      </w:pPr>
      <w:r>
        <w:t xml:space="preserve">Les peptides bien étudiés sont presque exclusivement des médicaments autorisés, issus de grandes études enregistrées à l’avance. La plupart des peptides populaires sur Internet ont un niveau de preuve C ou D, ne sont autorisés nulle part et sont souvent interdits dans le sport. Entre les deux se trouvent des substances qui ont été sérieusement étudiées chez l’humain, mais dont les études n’ont pas confirmé le bénéfice espéré. Les deux chapitres suivants approfondissent ce point pour les médicaments GLP-1 et pour les peptides d’Internet les plus populaires.</w:t>
      </w:r>
    </w:p>
    <w:bookmarkEnd w:id="2537"/>
    <w:bookmarkEnd w:id="2538"/>
    <w:bookmarkStart w:id="2580" w:name="glp-1-cie-comparaison-directe"/>
    <w:p>
      <w:pPr>
        <w:pStyle w:val="Heading2"/>
      </w:pPr>
      <w:r>
        <w:t xml:space="preserve">GLP-1 &amp; Cie : comparaison directe</w:t>
      </w:r>
    </w:p>
    <w:p>
      <w:pPr>
        <w:pStyle w:val="FirstParagraph"/>
      </w:pPr>
      <w:r>
        <w:t xml:space="preserve">Aucun autre groupe de ce livre n’est aussi bien étudié que les médicaments incrétiniques : les agonistes du récepteur du GLP-1 comme le liraglutide et le sémaglutide, le double agoniste tirzépatide et toute une série de successeurs qui agissent en plus sur le récepteur du glucagon ou de l’amyline. Pour eux, on dispose de programmes d’autorisation comptant des dizaines de milliers de participants, de grandes études cardiovasculaires et, de plus en plus, d’études de comparaison directe. Ce chapitre met côte à côte les principaux résultats. Tous les chiffres proviennent des chapitres de la partie II, groupe A, et des études qui y sont citées ; tu y trouveras aussi les limites de chaque étude.</w:t>
      </w:r>
    </w:p>
    <w:p>
      <w:pPr>
        <w:pStyle w:val="BodyText"/>
      </w:pPr>
      <w:r>
        <w:t xml:space="preserve">Ce chapitre n’est pas une aide à la décision thérapeutique. Le choix du médicament qui convient dans un cas particulier dépend des maladies associées, de la tolérance, de l’autorisation, de la prise en charge des coûts et de la disponibilité, et relève du médecin. Ce qui fait foi, ce sont le résumé des caractéristiques du produit (RCP) et l’accompagnement médical.</w:t>
      </w:r>
    </w:p>
    <w:bookmarkStart w:id="2539" w:name="Xd6a2d8b384244393a225cc9284fd0d26561c6c0"/>
    <w:p>
      <w:pPr>
        <w:pStyle w:val="Heading3"/>
      </w:pPr>
      <w:r>
        <w:t xml:space="preserve">En préambule : pourquoi on ne peut pas simplement juxtaposer des études</w:t>
      </w:r>
    </w:p>
    <w:p>
      <w:pPr>
        <w:pStyle w:val="FirstParagraph"/>
      </w:pPr>
      <w:r>
        <w:t xml:space="preserve">Les tableaux de ce chapitre incitent à comparer des chiffres issus d’études différentes – par exemple 20,9 % de perte de poids sous tirzépatide contre 14,9 % sous sémaglutide. De telles comparaisons croisées (« cross-trial comparisons ») ne sont admissibles que dans une mesure limitée. Les raisons :</w:t>
      </w:r>
    </w:p>
    <w:p>
      <w:pPr>
        <w:numPr>
          <w:ilvl w:val="0"/>
          <w:numId w:val="1324"/>
        </w:numPr>
        <w:pStyle w:val="Compact"/>
      </w:pPr>
      <w:r>
        <w:rPr>
          <w:bCs/>
          <w:b/>
        </w:rPr>
        <w:t xml:space="preserve">Participants différents :</w:t>
      </w:r>
      <w:r>
        <w:t xml:space="preserve"> </w:t>
      </w:r>
      <w:r>
        <w:t xml:space="preserve">les personnes atteintes de diabète de type 2 perdent nettement moins de poids sous tous les médicaments incrétiniques que les personnes sans diabète. Les études menées en Chine ou au Japon incluent des personnes de poids initial plus faible que les études menées en Amérique du Nord et en Europe.</w:t>
      </w:r>
    </w:p>
    <w:p>
      <w:pPr>
        <w:numPr>
          <w:ilvl w:val="0"/>
          <w:numId w:val="1324"/>
        </w:numPr>
        <w:pStyle w:val="Compact"/>
      </w:pPr>
      <w:r>
        <w:rPr>
          <w:bCs/>
          <w:b/>
        </w:rPr>
        <w:t xml:space="preserve">Durée différente :</w:t>
      </w:r>
      <w:r>
        <w:t xml:space="preserve"> </w:t>
      </w:r>
      <w:r>
        <w:t xml:space="preserve">une perte de poids après 48 semaines n’est pas la même chose qu’après 80 semaines ; de nombreuses courbes ne s’aplatissent que tardivement.</w:t>
      </w:r>
    </w:p>
    <w:p>
      <w:pPr>
        <w:numPr>
          <w:ilvl w:val="0"/>
          <w:numId w:val="1324"/>
        </w:numPr>
        <w:pStyle w:val="Compact"/>
      </w:pPr>
      <w:r>
        <w:rPr>
          <w:bCs/>
          <w:b/>
        </w:rPr>
        <w:t xml:space="preserve">Analyse différente :</w:t>
      </w:r>
      <w:r>
        <w:t xml:space="preserve"> </w:t>
      </w:r>
      <w:r>
        <w:t xml:space="preserve">certaines études analysent tous les participants, même ceux qui ont arrêté le traitement (l’estimateur dit de stratégie thérapeutique ou « treatment policy »). D’autres calculent comme si tous avaient pris le médicament comme prévu. La seconde variante fournit des chiffres plus favorables.</w:t>
      </w:r>
    </w:p>
    <w:p>
      <w:pPr>
        <w:numPr>
          <w:ilvl w:val="0"/>
          <w:numId w:val="1324"/>
        </w:numPr>
        <w:pStyle w:val="Compact"/>
      </w:pPr>
      <w:r>
        <w:rPr>
          <w:bCs/>
          <w:b/>
        </w:rPr>
        <w:t xml:space="preserve">Groupes placebo différents :</w:t>
      </w:r>
      <w:r>
        <w:t xml:space="preserve"> </w:t>
      </w:r>
      <w:r>
        <w:t xml:space="preserve">sous placebo, les participants ont perdu selon l’étude entre rien et plus de 5 % de leur poids, selon l’intensité des conseils nutritionnels et d’activité physique qui accompagnaient le traitement.</w:t>
      </w:r>
    </w:p>
    <w:p>
      <w:pPr>
        <w:numPr>
          <w:ilvl w:val="0"/>
          <w:numId w:val="1324"/>
        </w:numPr>
        <w:pStyle w:val="Compact"/>
      </w:pPr>
      <w:r>
        <w:rPr>
          <w:bCs/>
          <w:b/>
        </w:rPr>
        <w:t xml:space="preserve">Phases différentes :</w:t>
      </w:r>
      <w:r>
        <w:t xml:space="preserve"> </w:t>
      </w:r>
      <w:r>
        <w:t xml:space="preserve">les résultats des petites études de phase 2 sont souvent plus favorables que ceux des grandes études de phase 3 ultérieures.</w:t>
      </w:r>
    </w:p>
    <w:p>
      <w:pPr>
        <w:pStyle w:val="FirstParagraph"/>
      </w:pPr>
      <w:r>
        <w:t xml:space="preserve">Une comparaison n’est solide que si deux substances actives ont été attribuées par tirage au sort dans</w:t>
      </w:r>
      <w:r>
        <w:t xml:space="preserve"> </w:t>
      </w:r>
      <w:r>
        <w:rPr>
          <w:iCs/>
          <w:i/>
        </w:rPr>
        <w:t xml:space="preserve">la même</w:t>
      </w:r>
      <w:r>
        <w:t xml:space="preserve"> </w:t>
      </w:r>
      <w:r>
        <w:t xml:space="preserve">étude. Ces comparaisons directes sont rassemblées à la fin de ce chapitre. Les autres tableaux montrent des ordres de grandeur, pas un classement.</w:t>
      </w:r>
    </w:p>
    <w:bookmarkEnd w:id="2539"/>
    <w:bookmarkStart w:id="2546" w:name="X20fffd2e23abd1ff8bd1fe230df1e9a965a0d86"/>
    <w:p>
      <w:pPr>
        <w:pStyle w:val="Heading3"/>
      </w:pPr>
      <w:r>
        <w:t xml:space="preserve">Perte de poids dans les études d’autorisation</w:t>
      </w:r>
    </w:p>
    <w:p>
      <w:pPr>
        <w:pStyle w:val="FirstParagraph"/>
      </w:pPr>
      <w:r>
        <w:t xml:space="preserve">Le tableau suivant présente, pour chaque substance, la principale étude contrôlée contre placebo chez des adultes en surpoids ou obèses</w:t>
      </w:r>
      <w:r>
        <w:t xml:space="preserve"> </w:t>
      </w:r>
      <w:r>
        <w:rPr>
          <w:iCs/>
          <w:i/>
        </w:rPr>
        <w:t xml:space="preserve">sans</w:t>
      </w:r>
      <w:r>
        <w:t xml:space="preserve"> </w:t>
      </w:r>
      <w:r>
        <w:t xml:space="preserve">diabète. Il indique la variation moyenne du poids corporel à la dose la plus élevée testée par rapport au placebo. L’exénatide, le dulaglutide et le pramlintide ne sont pas autorisés pour la réduction du poids et ne figurent donc pas dans le tableau.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Durée</w:t>
            </w:r>
          </w:p>
        </w:tc>
        <w:tc>
          <w:tcPr/>
          <w:p>
            <w:pPr>
              <w:pStyle w:val="Compact"/>
              <w:jc w:val="left"/>
            </w:pPr>
            <w:r>
              <w:t xml:space="preserve">Perte de poids vs placebo</w:t>
            </w:r>
          </w:p>
        </w:tc>
      </w:tr>
      <w:tr>
        <w:tc>
          <w:tcPr/>
          <w:p>
            <w:pPr>
              <w:pStyle w:val="Compact"/>
              <w:jc w:val="left"/>
            </w:pPr>
            <w:r>
              <w:t xml:space="preserve">Liraglutide 3,0 mg</w:t>
            </w:r>
          </w:p>
        </w:tc>
        <w:tc>
          <w:tcPr/>
          <w:p>
            <w:pPr>
              <w:pStyle w:val="Compact"/>
              <w:jc w:val="left"/>
            </w:pPr>
            <w:r>
              <w:t xml:space="preserve">SCALE (Pi-Sunyer 2015), PMID 26132939</w:t>
            </w:r>
          </w:p>
        </w:tc>
        <w:tc>
          <w:tcPr/>
          <w:p>
            <w:pPr>
              <w:pStyle w:val="Compact"/>
              <w:jc w:val="left"/>
            </w:pPr>
            <w:r>
              <w:t xml:space="preserve">56 semaines</w:t>
            </w:r>
          </w:p>
        </w:tc>
        <w:tc>
          <w:tcPr/>
          <w:p>
            <w:pPr>
              <w:pStyle w:val="Compact"/>
              <w:jc w:val="left"/>
            </w:pPr>
            <w:r>
              <w:t xml:space="preserve">−8,4 kg vs −2,8 kg</w:t>
            </w:r>
          </w:p>
        </w:tc>
      </w:tr>
      <w:tr>
        <w:tc>
          <w:tcPr/>
          <w:p>
            <w:pPr>
              <w:pStyle w:val="Compact"/>
              <w:jc w:val="left"/>
            </w:pPr>
            <w:r>
              <w:t xml:space="preserve">Sémaglutide 2,4 mg</w:t>
            </w:r>
          </w:p>
        </w:tc>
        <w:tc>
          <w:tcPr/>
          <w:p>
            <w:pPr>
              <w:pStyle w:val="Compact"/>
              <w:jc w:val="left"/>
            </w:pPr>
            <w:r>
              <w:t xml:space="preserve">STEP 1 (Wilding 2021), PMID 33567185</w:t>
            </w:r>
          </w:p>
        </w:tc>
        <w:tc>
          <w:tcPr/>
          <w:p>
            <w:pPr>
              <w:pStyle w:val="Compact"/>
              <w:jc w:val="left"/>
            </w:pPr>
            <w:r>
              <w:t xml:space="preserve">68 semaines</w:t>
            </w:r>
          </w:p>
        </w:tc>
        <w:tc>
          <w:tcPr/>
          <w:p>
            <w:pPr>
              <w:pStyle w:val="Compact"/>
              <w:jc w:val="left"/>
            </w:pPr>
            <w:r>
              <w:t xml:space="preserve">−14,9 % vs −2,4 %</w:t>
            </w:r>
          </w:p>
        </w:tc>
      </w:tr>
      <w:tr>
        <w:tc>
          <w:tcPr/>
          <w:p>
            <w:pPr>
              <w:pStyle w:val="Compact"/>
              <w:jc w:val="left"/>
            </w:pPr>
            <w:r>
              <w:t xml:space="preserve">Sémaglutide 7,2 mg</w:t>
            </w:r>
          </w:p>
        </w:tc>
        <w:tc>
          <w:tcPr/>
          <w:p>
            <w:pPr>
              <w:pStyle w:val="Compact"/>
              <w:jc w:val="left"/>
            </w:pPr>
            <w:r>
              <w:t xml:space="preserve">STEP UP (Wharton 2025), PMID 40961952</w:t>
            </w:r>
          </w:p>
        </w:tc>
        <w:tc>
          <w:tcPr/>
          <w:p>
            <w:pPr>
              <w:pStyle w:val="Compact"/>
              <w:jc w:val="left"/>
            </w:pPr>
            <w:r>
              <w:t xml:space="preserve">72 semaines</w:t>
            </w:r>
          </w:p>
        </w:tc>
        <w:tc>
          <w:tcPr/>
          <w:p>
            <w:pPr>
              <w:pStyle w:val="Compact"/>
              <w:jc w:val="left"/>
            </w:pPr>
            <w:r>
              <w:t xml:space="preserve">−18,7 % vs −3,9 %</w:t>
            </w:r>
          </w:p>
        </w:tc>
      </w:tr>
      <w:tr>
        <w:tc>
          <w:tcPr/>
          <w:p>
            <w:pPr>
              <w:pStyle w:val="Compact"/>
              <w:jc w:val="left"/>
            </w:pPr>
            <w:r>
              <w:t xml:space="preserve">Sémaglutide en comprimé 50 mg</w:t>
            </w:r>
          </w:p>
        </w:tc>
        <w:tc>
          <w:tcPr/>
          <w:p>
            <w:pPr>
              <w:pStyle w:val="Compact"/>
              <w:jc w:val="left"/>
            </w:pPr>
            <w:r>
              <w:t xml:space="preserve">OASIS 1 (Knop 2023), PMID 37385278</w:t>
            </w:r>
          </w:p>
        </w:tc>
        <w:tc>
          <w:tcPr/>
          <w:p>
            <w:pPr>
              <w:pStyle w:val="Compact"/>
              <w:jc w:val="left"/>
            </w:pPr>
            <w:r>
              <w:t xml:space="preserve">68 semaines</w:t>
            </w:r>
          </w:p>
        </w:tc>
        <w:tc>
          <w:tcPr/>
          <w:p>
            <w:pPr>
              <w:pStyle w:val="Compact"/>
              <w:jc w:val="left"/>
            </w:pPr>
            <w:r>
              <w:t xml:space="preserve">−15,1 % vs −2,4 %</w:t>
            </w:r>
          </w:p>
        </w:tc>
      </w:tr>
      <w:tr>
        <w:tc>
          <w:tcPr/>
          <w:p>
            <w:pPr>
              <w:pStyle w:val="Compact"/>
              <w:jc w:val="left"/>
            </w:pPr>
            <w:r>
              <w:t xml:space="preserve">Tirzépatide 15 mg</w:t>
            </w:r>
          </w:p>
        </w:tc>
        <w:tc>
          <w:tcPr/>
          <w:p>
            <w:pPr>
              <w:pStyle w:val="Compact"/>
              <w:jc w:val="left"/>
            </w:pPr>
            <w:r>
              <w:t xml:space="preserve">SURMOUNT-1 (Jastreboff 2022), PMID 35658024</w:t>
            </w:r>
          </w:p>
        </w:tc>
        <w:tc>
          <w:tcPr/>
          <w:p>
            <w:pPr>
              <w:pStyle w:val="Compact"/>
              <w:jc w:val="left"/>
            </w:pPr>
            <w:r>
              <w:t xml:space="preserve">72 semaines</w:t>
            </w:r>
          </w:p>
        </w:tc>
        <w:tc>
          <w:tcPr/>
          <w:p>
            <w:pPr>
              <w:pStyle w:val="Compact"/>
              <w:jc w:val="left"/>
            </w:pPr>
            <w:r>
              <w:t xml:space="preserve">−20,9 % vs −3,1 %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semaines</w:t>
            </w:r>
          </w:p>
        </w:tc>
        <w:tc>
          <w:tcPr/>
          <w:p>
            <w:pPr>
              <w:pStyle w:val="Compact"/>
              <w:jc w:val="left"/>
            </w:pPr>
            <w:r>
              <w:t xml:space="preserve">−20,4 % vs −3,0 %</w:t>
            </w:r>
          </w:p>
        </w:tc>
      </w:tr>
      <w:tr>
        <w:tc>
          <w:tcPr/>
          <w:p>
            <w:pPr>
              <w:pStyle w:val="Compact"/>
              <w:jc w:val="left"/>
            </w:pPr>
            <w:r>
              <w:t xml:space="preserve">Rétatrutide 12 mg</w:t>
            </w:r>
          </w:p>
        </w:tc>
        <w:tc>
          <w:tcPr/>
          <w:p>
            <w:pPr>
              <w:pStyle w:val="Compact"/>
              <w:jc w:val="left"/>
            </w:pPr>
            <w:r>
              <w:t xml:space="preserve">TRIUMPH-1 (Jastreboff 2026), PMID 42814954</w:t>
            </w:r>
          </w:p>
        </w:tc>
        <w:tc>
          <w:tcPr/>
          <w:p>
            <w:pPr>
              <w:pStyle w:val="Compact"/>
              <w:jc w:val="left"/>
            </w:pPr>
            <w:r>
              <w:t xml:space="preserve">80 semaines</w:t>
            </w:r>
          </w:p>
        </w:tc>
        <w:tc>
          <w:tcPr/>
          <w:p>
            <w:pPr>
              <w:pStyle w:val="Compact"/>
              <w:jc w:val="left"/>
            </w:pPr>
            <w:r>
              <w:t xml:space="preserve">−25,0 % vs −3,9 %</w:t>
            </w:r>
          </w:p>
        </w:tc>
      </w:tr>
      <w:tr>
        <w:tc>
          <w:tcPr/>
          <w:p>
            <w:pPr>
              <w:pStyle w:val="Compact"/>
              <w:jc w:val="left"/>
            </w:pPr>
            <w:r>
              <w:t xml:space="preserve">Survodutide 6,0 mg</w:t>
            </w:r>
          </w:p>
        </w:tc>
        <w:tc>
          <w:tcPr/>
          <w:p>
            <w:pPr>
              <w:pStyle w:val="Compact"/>
              <w:jc w:val="left"/>
            </w:pPr>
            <w:r>
              <w:t xml:space="preserve">SYNCHRONIZE-1 (le Roux 2026), PMID 42253238</w:t>
            </w:r>
          </w:p>
        </w:tc>
        <w:tc>
          <w:tcPr/>
          <w:p>
            <w:pPr>
              <w:pStyle w:val="Compact"/>
              <w:jc w:val="left"/>
            </w:pPr>
            <w:r>
              <w:t xml:space="preserve">76 semaines</w:t>
            </w:r>
          </w:p>
        </w:tc>
        <w:tc>
          <w:tcPr/>
          <w:p>
            <w:pPr>
              <w:pStyle w:val="Compact"/>
              <w:jc w:val="left"/>
            </w:pPr>
            <w:r>
              <w:t xml:space="preserve">−13,0 % vs −5,4 %</w:t>
            </w:r>
          </w:p>
        </w:tc>
      </w:tr>
      <w:tr>
        <w:tc>
          <w:tcPr/>
          <w:p>
            <w:pPr>
              <w:pStyle w:val="Compact"/>
              <w:jc w:val="left"/>
            </w:pPr>
            <w:r>
              <w:t xml:space="preserve">Mazdutide 6 mg</w:t>
            </w:r>
          </w:p>
        </w:tc>
        <w:tc>
          <w:tcPr/>
          <w:p>
            <w:pPr>
              <w:pStyle w:val="Compact"/>
              <w:jc w:val="left"/>
            </w:pPr>
            <w:r>
              <w:t xml:space="preserve">GLORY-1 (Ji 2025), PMID 40421736</w:t>
            </w:r>
          </w:p>
        </w:tc>
        <w:tc>
          <w:tcPr/>
          <w:p>
            <w:pPr>
              <w:pStyle w:val="Compact"/>
              <w:jc w:val="left"/>
            </w:pPr>
            <w:r>
              <w:t xml:space="preserve">48 semaines</w:t>
            </w:r>
          </w:p>
        </w:tc>
        <w:tc>
          <w:tcPr/>
          <w:p>
            <w:pPr>
              <w:pStyle w:val="Compact"/>
              <w:jc w:val="left"/>
            </w:pPr>
            <w:r>
              <w:t xml:space="preserve">−14,0 % vs +0,3 %</w:t>
            </w:r>
          </w:p>
        </w:tc>
      </w:tr>
      <w:tr>
        <w:tc>
          <w:tcPr/>
          <w:p>
            <w:pPr>
              <w:pStyle w:val="Compact"/>
              <w:jc w:val="left"/>
            </w:pPr>
            <w:r>
              <w:t xml:space="preserve">Maridebart cafraglutide</w:t>
            </w:r>
          </w:p>
        </w:tc>
        <w:tc>
          <w:tcPr/>
          <w:p>
            <w:pPr>
              <w:pStyle w:val="Compact"/>
              <w:jc w:val="left"/>
            </w:pPr>
            <w:r>
              <w:t xml:space="preserve">Phase 2 (Jastreboff 2025), PMID 40549887</w:t>
            </w:r>
          </w:p>
        </w:tc>
        <w:tc>
          <w:tcPr/>
          <w:p>
            <w:pPr>
              <w:pStyle w:val="Compact"/>
              <w:jc w:val="left"/>
            </w:pPr>
            <w:r>
              <w:t xml:space="preserve">52 semaines</w:t>
            </w:r>
          </w:p>
        </w:tc>
        <w:tc>
          <w:tcPr/>
          <w:p>
            <w:pPr>
              <w:pStyle w:val="Compact"/>
              <w:jc w:val="left"/>
            </w:pPr>
            <w:r>
              <w:t xml:space="preserve">−12,3 à −16,2 % vs −2,5 %</w:t>
            </w:r>
          </w:p>
        </w:tc>
      </w:tr>
      <w:tr>
        <w:tc>
          <w:tcPr/>
          <w:p>
            <w:pPr>
              <w:pStyle w:val="Compact"/>
              <w:jc w:val="left"/>
            </w:pPr>
            <w:r>
              <w:t xml:space="preserve">Amycrétine (injection)</w:t>
            </w:r>
          </w:p>
        </w:tc>
        <w:tc>
          <w:tcPr/>
          <w:p>
            <w:pPr>
              <w:pStyle w:val="Compact"/>
              <w:jc w:val="left"/>
            </w:pPr>
            <w:r>
              <w:t xml:space="preserve">Phase 1b/2a (Dahl 2025), PMID 40550231</w:t>
            </w:r>
          </w:p>
        </w:tc>
        <w:tc>
          <w:tcPr/>
          <w:p>
            <w:pPr>
              <w:pStyle w:val="Compact"/>
              <w:jc w:val="left"/>
            </w:pPr>
            <w:r>
              <w:t xml:space="preserve">36 semaines</w:t>
            </w:r>
          </w:p>
        </w:tc>
        <w:tc>
          <w:tcPr/>
          <w:p>
            <w:pPr>
              <w:pStyle w:val="Compact"/>
              <w:jc w:val="left"/>
            </w:pPr>
            <w:r>
              <w:t xml:space="preserve">jusqu’à −24,3 % vs −1,1 %</w:t>
            </w:r>
          </w:p>
        </w:tc>
      </w:tr>
      <w:tr>
        <w:tc>
          <w:tcPr/>
          <w:p>
            <w:pPr>
              <w:pStyle w:val="Compact"/>
              <w:jc w:val="left"/>
            </w:pPr>
            <w:r>
              <w:t xml:space="preserve">Orforglipron 36 mg (comprimé, pas un peptide)</w:t>
            </w:r>
          </w:p>
        </w:tc>
        <w:tc>
          <w:tcPr/>
          <w:p>
            <w:pPr>
              <w:pStyle w:val="Compact"/>
              <w:jc w:val="left"/>
            </w:pPr>
            <w:r>
              <w:t xml:space="preserve">ATTAIN-1 (Wharton 2025), PMID 40960239</w:t>
            </w:r>
          </w:p>
        </w:tc>
        <w:tc>
          <w:tcPr/>
          <w:p>
            <w:pPr>
              <w:pStyle w:val="Compact"/>
              <w:jc w:val="left"/>
            </w:pPr>
            <w:r>
              <w:t xml:space="preserve">72 semaines</w:t>
            </w:r>
          </w:p>
        </w:tc>
        <w:tc>
          <w:tcPr/>
          <w:p>
            <w:pPr>
              <w:pStyle w:val="Compact"/>
              <w:jc w:val="left"/>
            </w:pPr>
            <w:r>
              <w:t xml:space="preserve">−11,2 % vs −2,1 %</w:t>
            </w:r>
          </w:p>
        </w:tc>
      </w:tr>
    </w:tbl>
    <w:p>
      <w:pPr>
        <w:pStyle w:val="BodyText"/>
      </w:pPr>
      <w:r>
        <w:t xml:space="preserve">Pour situer les différentes lignes :</w:t>
      </w:r>
    </w:p>
    <w:p>
      <w:pPr>
        <w:numPr>
          <w:ilvl w:val="0"/>
          <w:numId w:val="1325"/>
        </w:numPr>
        <w:pStyle w:val="Compact"/>
      </w:pPr>
      <w:r>
        <w:rPr>
          <w:bCs/>
          <w:b/>
        </w:rPr>
        <w:t xml:space="preserve">Le liraglutide</w:t>
      </w:r>
      <w:r>
        <w:t xml:space="preserve"> </w:t>
      </w:r>
      <w:r>
        <w:t xml:space="preserve">est la seule substance pour laquelle l’étude d’autorisation indique la perte en kilogrammes comme résultat principal ; pour un poids initial de 106,2 kg, cela correspond grossièrement à 8 %. Dans l’étude de comparaison directe STEP 8, elle était de −6,4 % (voir plus bas).</w:t>
      </w:r>
    </w:p>
    <w:p>
      <w:pPr>
        <w:numPr>
          <w:ilvl w:val="0"/>
          <w:numId w:val="1325"/>
        </w:numPr>
        <w:pStyle w:val="Compact"/>
      </w:pPr>
      <w:r>
        <w:rPr>
          <w:bCs/>
          <w:b/>
        </w:rPr>
        <w:t xml:space="preserve">Le rétatrutide, CagriSema, le survodutide, le maridebart cafraglutide et l’amycrétine</w:t>
      </w:r>
      <w:r>
        <w:t xml:space="preserve"> </w:t>
      </w:r>
      <w:r>
        <w:t xml:space="preserve">ne sont pas autorisés (état octobre 2026). Pour le maridebart cafraglutide et l’amycrétine, on ne dispose que de données de phase 2 ; l’étude sur l’amycrétine portait sur 125 personnes, et la valeur concerne la dose la plus élevée d’une étude de recherche de dose.</w:t>
      </w:r>
    </w:p>
    <w:p>
      <w:pPr>
        <w:numPr>
          <w:ilvl w:val="0"/>
          <w:numId w:val="1325"/>
        </w:numPr>
        <w:pStyle w:val="Compact"/>
      </w:pPr>
      <w:r>
        <w:rPr>
          <w:bCs/>
          <w:b/>
        </w:rPr>
        <w:t xml:space="preserve">Le mazdutide</w:t>
      </w:r>
      <w:r>
        <w:t xml:space="preserve"> </w:t>
      </w:r>
      <w:r>
        <w:t xml:space="preserve">n’est autorisé qu’en Chine. GLORY-1 incluait, selon les critères chinois, des personnes à partir d’un IMC de 28 (ou de 24 avec une maladie associée) ; le poids initial moyen était de 87,2 kg. Dans GLORY-2, avec une dose plus élevée, la perte était de −16,65 % contre −1,50 % après 60 semaines</w:t>
      </w:r>
      <w:r>
        <w:rPr>
          <w:rStyle w:val="FootnoteReference"/>
        </w:rPr>
        <w:footnoteReference w:id="2540"/>
      </w:r>
      <w:r>
        <w:t xml:space="preserve">.</w:t>
      </w:r>
    </w:p>
    <w:p>
      <w:pPr>
        <w:numPr>
          <w:ilvl w:val="0"/>
          <w:numId w:val="1325"/>
        </w:numPr>
        <w:pStyle w:val="Compact"/>
      </w:pPr>
      <w:r>
        <w:rPr>
          <w:bCs/>
          <w:b/>
        </w:rPr>
        <w:t xml:space="preserve">Le survodutide</w:t>
      </w:r>
      <w:r>
        <w:t xml:space="preserve"> </w:t>
      </w:r>
      <w:r>
        <w:t xml:space="preserve">se distingue par une forte perte de poids sous placebo de 5,4 % ; l’analyse principale prenait expressément en compte les arrêts et les titrations prolongées.</w:t>
      </w:r>
    </w:p>
    <w:p>
      <w:pPr>
        <w:pStyle w:val="FirstParagraph"/>
      </w:pPr>
      <w:r>
        <w:t xml:space="preserve">On remarque une gradation : les agonistes purs du GLP-1 atteignent en moyenne environ 8 à 15 %, la dose plus élevée de sémaglutide près de 19 %, les associations avec le GIP ou l’amyline environ 20 %, le triple agoniste rétatrutide 25 %. Cet ordre est étayé par les comparaisons directes SURMOUNT-5, STEP 8 et REDEFINE 5 ; pour le rétatrutide, la comparaison directe avec le tirzépatide est encore attendue</w:t>
      </w:r>
      <w:r>
        <w:rPr>
          <w:rStyle w:val="FootnoteReference"/>
        </w:rPr>
        <w:footnoteReference w:id="2541"/>
      </w:r>
      <w:r>
        <w:t xml:space="preserve">.</w:t>
      </w:r>
    </w:p>
    <w:bookmarkStart w:id="2542" w:name="Xf80d181d4c1424ae59c0bd563c4a860fda4aacb"/>
    <w:p>
      <w:pPr>
        <w:pStyle w:val="Heading4"/>
      </w:pPr>
      <w:r>
        <w:t xml:space="preserve">Avec un diabète de type 2, la perte de poids est moindre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Durée</w:t>
            </w:r>
          </w:p>
        </w:tc>
        <w:tc>
          <w:tcPr/>
          <w:p>
            <w:pPr>
              <w:pStyle w:val="Compact"/>
              <w:jc w:val="left"/>
            </w:pPr>
            <w:r>
              <w:t xml:space="preserve">Perte de poids vs placebo</w:t>
            </w:r>
          </w:p>
        </w:tc>
      </w:tr>
      <w:tr>
        <w:tc>
          <w:tcPr/>
          <w:p>
            <w:pPr>
              <w:pStyle w:val="Compact"/>
              <w:jc w:val="left"/>
            </w:pPr>
            <w:r>
              <w:t xml:space="preserve">Liraglutide 3,0 mg</w:t>
            </w:r>
          </w:p>
        </w:tc>
        <w:tc>
          <w:tcPr/>
          <w:p>
            <w:pPr>
              <w:pStyle w:val="Compact"/>
              <w:jc w:val="left"/>
            </w:pPr>
            <w:r>
              <w:t xml:space="preserve">SCALE Diabetes (Davies 2015), PMID 26284720</w:t>
            </w:r>
          </w:p>
        </w:tc>
        <w:tc>
          <w:tcPr/>
          <w:p>
            <w:pPr>
              <w:pStyle w:val="Compact"/>
              <w:jc w:val="left"/>
            </w:pPr>
            <w:r>
              <w:t xml:space="preserve">56 semaines</w:t>
            </w:r>
          </w:p>
        </w:tc>
        <w:tc>
          <w:tcPr/>
          <w:p>
            <w:pPr>
              <w:pStyle w:val="Compact"/>
              <w:jc w:val="left"/>
            </w:pPr>
            <w:r>
              <w:t xml:space="preserve">−6,0 % vs −2,0 %</w:t>
            </w:r>
          </w:p>
        </w:tc>
      </w:tr>
      <w:tr>
        <w:tc>
          <w:tcPr/>
          <w:p>
            <w:pPr>
              <w:pStyle w:val="Compact"/>
              <w:jc w:val="left"/>
            </w:pPr>
            <w:r>
              <w:t xml:space="preserve">Sémaglutide 2,4 mg</w:t>
            </w:r>
          </w:p>
        </w:tc>
        <w:tc>
          <w:tcPr/>
          <w:p>
            <w:pPr>
              <w:pStyle w:val="Compact"/>
              <w:jc w:val="left"/>
            </w:pPr>
            <w:r>
              <w:t xml:space="preserve">STEP 2 (Davies 2021), PMID 33667417</w:t>
            </w:r>
          </w:p>
        </w:tc>
        <w:tc>
          <w:tcPr/>
          <w:p>
            <w:pPr>
              <w:pStyle w:val="Compact"/>
              <w:jc w:val="left"/>
            </w:pPr>
            <w:r>
              <w:t xml:space="preserve">68 semaines</w:t>
            </w:r>
          </w:p>
        </w:tc>
        <w:tc>
          <w:tcPr/>
          <w:p>
            <w:pPr>
              <w:pStyle w:val="Compact"/>
              <w:jc w:val="left"/>
            </w:pPr>
            <w:r>
              <w:t xml:space="preserve">−9,6 % vs −3,4 %</w:t>
            </w:r>
          </w:p>
        </w:tc>
      </w:tr>
      <w:tr>
        <w:tc>
          <w:tcPr/>
          <w:p>
            <w:pPr>
              <w:pStyle w:val="Compact"/>
              <w:jc w:val="left"/>
            </w:pPr>
            <w:r>
              <w:t xml:space="preserve">Tirzépatide 10/15 mg</w:t>
            </w:r>
          </w:p>
        </w:tc>
        <w:tc>
          <w:tcPr/>
          <w:p>
            <w:pPr>
              <w:pStyle w:val="Compact"/>
              <w:jc w:val="left"/>
            </w:pPr>
            <w:r>
              <w:t xml:space="preserve">SURMOUNT-2 (Garvey 2023), PMID 37385275</w:t>
            </w:r>
          </w:p>
        </w:tc>
        <w:tc>
          <w:tcPr/>
          <w:p>
            <w:pPr>
              <w:pStyle w:val="Compact"/>
              <w:jc w:val="left"/>
            </w:pPr>
            <w:r>
              <w:t xml:space="preserve">72 semaines</w:t>
            </w:r>
          </w:p>
        </w:tc>
        <w:tc>
          <w:tcPr/>
          <w:p>
            <w:pPr>
              <w:pStyle w:val="Compact"/>
              <w:jc w:val="left"/>
            </w:pPr>
            <w:r>
              <w:t xml:space="preserve">−12,8 / −14,7 % vs −3,2 %</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semaines</w:t>
            </w:r>
          </w:p>
        </w:tc>
        <w:tc>
          <w:tcPr/>
          <w:p>
            <w:pPr>
              <w:pStyle w:val="Compact"/>
              <w:jc w:val="left"/>
            </w:pPr>
            <w:r>
              <w:t xml:space="preserve">−13,7 % vs −3,4 %</w:t>
            </w:r>
          </w:p>
        </w:tc>
      </w:tr>
      <w:tr>
        <w:tc>
          <w:tcPr/>
          <w:p>
            <w:pPr>
              <w:pStyle w:val="Compact"/>
              <w:jc w:val="left"/>
            </w:pPr>
            <w:r>
              <w:t xml:space="preserve">Rétatrutide 12 mg</w:t>
            </w:r>
          </w:p>
        </w:tc>
        <w:tc>
          <w:tcPr/>
          <w:p>
            <w:pPr>
              <w:pStyle w:val="Compact"/>
              <w:jc w:val="left"/>
            </w:pPr>
            <w:r>
              <w:t xml:space="preserve">TRIUMPH-2 (Bellido 2026), PMID 42810372</w:t>
            </w:r>
          </w:p>
        </w:tc>
        <w:tc>
          <w:tcPr/>
          <w:p>
            <w:pPr>
              <w:pStyle w:val="Compact"/>
              <w:jc w:val="left"/>
            </w:pPr>
            <w:r>
              <w:t xml:space="preserve">80 semaines</w:t>
            </w:r>
          </w:p>
        </w:tc>
        <w:tc>
          <w:tcPr/>
          <w:p>
            <w:pPr>
              <w:pStyle w:val="Compact"/>
              <w:jc w:val="left"/>
            </w:pPr>
            <w:r>
              <w:t xml:space="preserve">−18,8 % vs −5,1 %</w:t>
            </w:r>
          </w:p>
        </w:tc>
      </w:tr>
      <w:tr>
        <w:tc>
          <w:tcPr/>
          <w:p>
            <w:pPr>
              <w:pStyle w:val="Compact"/>
              <w:jc w:val="left"/>
            </w:pPr>
            <w:r>
              <w:t xml:space="preserve">Survodutide</w:t>
            </w:r>
          </w:p>
        </w:tc>
        <w:tc>
          <w:tcPr/>
          <w:p>
            <w:pPr>
              <w:pStyle w:val="Compact"/>
              <w:jc w:val="left"/>
            </w:pPr>
            <w:r>
              <w:t xml:space="preserve">SYNCHRONIZE-2 (Wharton 2026), PMID 42820639</w:t>
            </w:r>
          </w:p>
        </w:tc>
        <w:tc>
          <w:tcPr/>
          <w:p>
            <w:pPr>
              <w:pStyle w:val="Compact"/>
              <w:jc w:val="left"/>
            </w:pPr>
            <w:r>
              <w:t xml:space="preserve">76 semaines</w:t>
            </w:r>
          </w:p>
        </w:tc>
        <w:tc>
          <w:tcPr/>
          <w:p>
            <w:pPr>
              <w:pStyle w:val="Compact"/>
              <w:jc w:val="left"/>
            </w:pPr>
            <w:r>
              <w:t xml:space="preserve">−8,2 / −9,8 % vs −3,9 %</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semaines</w:t>
            </w:r>
          </w:p>
        </w:tc>
        <w:tc>
          <w:tcPr/>
          <w:p>
            <w:pPr>
              <w:pStyle w:val="Compact"/>
              <w:jc w:val="left"/>
            </w:pPr>
            <w:r>
              <w:t xml:space="preserve">−5,1 à −9,6 % vs −2,5 %</w:t>
            </w:r>
          </w:p>
        </w:tc>
      </w:tr>
    </w:tbl>
    <w:p>
      <w:pPr>
        <w:pStyle w:val="BodyText"/>
      </w:pPr>
      <w:r>
        <w:t xml:space="preserve">Pour chaque substance, la valeur obtenue avec un diabète est nettement inférieure à celle obtenue sans diabète, généralement d’un quart à un tiers. Ce schéma est si constant que comparer une étude sur le diabète à une étude sur l’obésité sans diabète induit toujours en erreur.</w:t>
      </w:r>
    </w:p>
    <w:bookmarkEnd w:id="2542"/>
    <w:bookmarkStart w:id="2545" w:name="après-larrêt"/>
    <w:p>
      <w:pPr>
        <w:pStyle w:val="Heading4"/>
      </w:pPr>
      <w:r>
        <w:t xml:space="preserve">Après l’arrêt</w:t>
      </w:r>
    </w:p>
    <w:p>
      <w:pPr>
        <w:pStyle w:val="FirstParagraph"/>
      </w:pPr>
      <w:r>
        <w:t xml:space="preserve">Deux études ont examiné de manière ciblée ce qui se passe après l’arrêt. Dans STEP 4, tous les participants ont d’abord reçu du sémaglutide pendant 20 semaines ; ensuite, le groupe passé au placebo a repris 6,9 % de poids en 48 semaines, tandis que le groupe resté sous sémaglutide a perdu 7,9 % supplémentaires</w:t>
      </w:r>
      <w:r>
        <w:rPr>
          <w:rStyle w:val="FootnoteReference"/>
        </w:rPr>
        <w:footnoteReference w:id="2543"/>
      </w:r>
      <w:r>
        <w:t xml:space="preserve">. Dans SURMOUNT-4, après 36 semaines de tirzépatide, le groupe placebo a repris 14,0 % au cours des 52 semaines suivantes</w:t>
      </w:r>
      <w:r>
        <w:rPr>
          <w:rStyle w:val="FootnoteReference"/>
        </w:rPr>
        <w:footnoteReference w:id="2544"/>
      </w:r>
      <w:r>
        <w:t xml:space="preserve">. Pour les deux substances, l’effet ne dure que tant que le traitement est poursuivi. Pour les substances plus récentes, il n’existe pas encore de données publiées à ce sujet.</w:t>
      </w:r>
    </w:p>
    <w:bookmarkEnd w:id="2545"/>
    <w:bookmarkEnd w:id="2546"/>
    <w:bookmarkStart w:id="2548" w:name="glycémie-hba1c"/>
    <w:p>
      <w:pPr>
        <w:pStyle w:val="Heading3"/>
      </w:pPr>
      <w:r>
        <w:t xml:space="preserve">Glycémie : HbA1c</w:t>
      </w:r>
    </w:p>
    <w:p>
      <w:pPr>
        <w:pStyle w:val="FirstParagraph"/>
      </w:pPr>
      <w:r>
        <w:t xml:space="preserve">L’HbA1c (« sucre à long terme ») indique la proportion du pigment rouge du sang chargée de sucre et reflète la glycémie moyenne des deux à trois derniers mois. Une baisse d’un point de pourcentage est considérée comme cliniquement significative. L’ampleur de la baisse dépend fortement de la valeur initiale : qui commence à 9 % peut perdre davantage que qui commence à 7,5 %.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Durée</w:t>
            </w:r>
          </w:p>
        </w:tc>
        <w:tc>
          <w:tcPr/>
          <w:p>
            <w:pPr>
              <w:pStyle w:val="Compact"/>
              <w:jc w:val="left"/>
            </w:pPr>
            <w:r>
              <w:t xml:space="preserve">Variation de l’HbA1c (points de pourcentage)</w:t>
            </w:r>
          </w:p>
        </w:tc>
      </w:tr>
      <w:tr>
        <w:tc>
          <w:tcPr/>
          <w:p>
            <w:pPr>
              <w:pStyle w:val="Compact"/>
              <w:jc w:val="left"/>
            </w:pPr>
            <w:r>
              <w:t xml:space="preserve">Exénatide deux fois par jour</w:t>
            </w:r>
          </w:p>
        </w:tc>
        <w:tc>
          <w:tcPr/>
          <w:p>
            <w:pPr>
              <w:pStyle w:val="Compact"/>
              <w:jc w:val="left"/>
            </w:pPr>
            <w:r>
              <w:t xml:space="preserve">DeFronzo 2005, PMID 15855572</w:t>
            </w:r>
          </w:p>
        </w:tc>
        <w:tc>
          <w:tcPr/>
          <w:p>
            <w:pPr>
              <w:pStyle w:val="Compact"/>
              <w:jc w:val="left"/>
            </w:pPr>
            <w:r>
              <w:t xml:space="preserve">30 semaines</w:t>
            </w:r>
          </w:p>
        </w:tc>
        <w:tc>
          <w:tcPr/>
          <w:p>
            <w:pPr>
              <w:pStyle w:val="Compact"/>
              <w:jc w:val="left"/>
            </w:pPr>
            <w:r>
              <w:t xml:space="preserve">−0,78 vs +0,08 (placebo)</w:t>
            </w:r>
          </w:p>
        </w:tc>
      </w:tr>
      <w:tr>
        <w:tc>
          <w:tcPr/>
          <w:p>
            <w:pPr>
              <w:pStyle w:val="Compact"/>
              <w:jc w:val="left"/>
            </w:pPr>
            <w:r>
              <w:t xml:space="preserve">Pramlintide</w:t>
            </w:r>
          </w:p>
        </w:tc>
        <w:tc>
          <w:tcPr/>
          <w:p>
            <w:pPr>
              <w:pStyle w:val="Compact"/>
              <w:jc w:val="left"/>
            </w:pPr>
            <w:r>
              <w:t xml:space="preserve">Hollander 2003, PMID 12610038</w:t>
            </w:r>
          </w:p>
        </w:tc>
        <w:tc>
          <w:tcPr/>
          <w:p>
            <w:pPr>
              <w:pStyle w:val="Compact"/>
              <w:jc w:val="left"/>
            </w:pPr>
            <w:r>
              <w:t xml:space="preserve">52 semaines</w:t>
            </w:r>
          </w:p>
        </w:tc>
        <w:tc>
          <w:tcPr/>
          <w:p>
            <w:pPr>
              <w:pStyle w:val="Compact"/>
              <w:jc w:val="left"/>
            </w:pPr>
            <w:r>
              <w:t xml:space="preserve">−0,62 (en plus de l’insuline)</w:t>
            </w:r>
          </w:p>
        </w:tc>
      </w:tr>
      <w:tr>
        <w:tc>
          <w:tcPr/>
          <w:p>
            <w:pPr>
              <w:pStyle w:val="Compact"/>
              <w:jc w:val="left"/>
            </w:pPr>
            <w:r>
              <w:t xml:space="preserve">Liraglutide 1,8 mg</w:t>
            </w:r>
          </w:p>
        </w:tc>
        <w:tc>
          <w:tcPr/>
          <w:p>
            <w:pPr>
              <w:pStyle w:val="Compact"/>
              <w:jc w:val="left"/>
            </w:pPr>
            <w:r>
              <w:t xml:space="preserve">LEAD-3 (Garber 2009), PMID 18819705</w:t>
            </w:r>
          </w:p>
        </w:tc>
        <w:tc>
          <w:tcPr/>
          <w:p>
            <w:pPr>
              <w:pStyle w:val="Compact"/>
              <w:jc w:val="left"/>
            </w:pPr>
            <w:r>
              <w:t xml:space="preserve">52 semaines</w:t>
            </w:r>
          </w:p>
        </w:tc>
        <w:tc>
          <w:tcPr/>
          <w:p>
            <w:pPr>
              <w:pStyle w:val="Compact"/>
              <w:jc w:val="left"/>
            </w:pPr>
            <w:r>
              <w:t xml:space="preserve">−1,14 vs −0,51 (glimépiride)</w:t>
            </w:r>
          </w:p>
        </w:tc>
      </w:tr>
      <w:tr>
        <w:tc>
          <w:tcPr/>
          <w:p>
            <w:pPr>
              <w:pStyle w:val="Compact"/>
              <w:jc w:val="left"/>
            </w:pPr>
            <w:r>
              <w:t xml:space="preserve">Dulaglutide 4,5 mg</w:t>
            </w:r>
          </w:p>
        </w:tc>
        <w:tc>
          <w:tcPr/>
          <w:p>
            <w:pPr>
              <w:pStyle w:val="Compact"/>
              <w:jc w:val="left"/>
            </w:pPr>
            <w:r>
              <w:t xml:space="preserve">AWARD-11 (Frias 2021), PMID 33397768</w:t>
            </w:r>
          </w:p>
        </w:tc>
        <w:tc>
          <w:tcPr/>
          <w:p>
            <w:pPr>
              <w:pStyle w:val="Compact"/>
              <w:jc w:val="left"/>
            </w:pPr>
            <w:r>
              <w:t xml:space="preserve">36 semaines</w:t>
            </w:r>
          </w:p>
        </w:tc>
        <w:tc>
          <w:tcPr/>
          <w:p>
            <w:pPr>
              <w:pStyle w:val="Compact"/>
              <w:jc w:val="left"/>
            </w:pPr>
            <w:r>
              <w:t xml:space="preserve">−1,77 vs −1,54 (1,5 mg)</w:t>
            </w:r>
          </w:p>
        </w:tc>
      </w:tr>
      <w:tr>
        <w:tc>
          <w:tcPr/>
          <w:p>
            <w:pPr>
              <w:pStyle w:val="Compact"/>
              <w:jc w:val="left"/>
            </w:pPr>
            <w:r>
              <w:t xml:space="preserve">Sémaglutide 1,0 mg</w:t>
            </w:r>
          </w:p>
        </w:tc>
        <w:tc>
          <w:tcPr/>
          <w:p>
            <w:pPr>
              <w:pStyle w:val="Compact"/>
              <w:jc w:val="left"/>
            </w:pPr>
            <w:r>
              <w:t xml:space="preserve">SUSTAIN 1 (Sorli 2017), PMID 28110911</w:t>
            </w:r>
          </w:p>
        </w:tc>
        <w:tc>
          <w:tcPr/>
          <w:p>
            <w:pPr>
              <w:pStyle w:val="Compact"/>
              <w:jc w:val="left"/>
            </w:pPr>
            <w:r>
              <w:t xml:space="preserve">30 semaines</w:t>
            </w:r>
          </w:p>
        </w:tc>
        <w:tc>
          <w:tcPr/>
          <w:p>
            <w:pPr>
              <w:pStyle w:val="Compact"/>
              <w:jc w:val="left"/>
            </w:pPr>
            <w:r>
              <w:t xml:space="preserve">−1,55 vs −0,02 (placebo)</w:t>
            </w:r>
          </w:p>
        </w:tc>
      </w:tr>
      <w:tr>
        <w:tc>
          <w:tcPr/>
          <w:p>
            <w:pPr>
              <w:pStyle w:val="Compact"/>
              <w:jc w:val="left"/>
            </w:pPr>
            <w:r>
              <w:t xml:space="preserve">Sémaglutide 2,0 mg</w:t>
            </w:r>
          </w:p>
        </w:tc>
        <w:tc>
          <w:tcPr/>
          <w:p>
            <w:pPr>
              <w:pStyle w:val="Compact"/>
              <w:jc w:val="left"/>
            </w:pPr>
            <w:r>
              <w:t xml:space="preserve">SUSTAIN FORTE (Frías 2021), PMID 34293304</w:t>
            </w:r>
          </w:p>
        </w:tc>
        <w:tc>
          <w:tcPr/>
          <w:p>
            <w:pPr>
              <w:pStyle w:val="Compact"/>
              <w:jc w:val="left"/>
            </w:pPr>
            <w:r>
              <w:t xml:space="preserve">40 semaines</w:t>
            </w:r>
          </w:p>
        </w:tc>
        <w:tc>
          <w:tcPr/>
          <w:p>
            <w:pPr>
              <w:pStyle w:val="Compact"/>
              <w:jc w:val="left"/>
            </w:pPr>
            <w:r>
              <w:t xml:space="preserve">−2,2 vs −1,9 (1,0 mg)</w:t>
            </w:r>
          </w:p>
        </w:tc>
      </w:tr>
      <w:tr>
        <w:tc>
          <w:tcPr/>
          <w:p>
            <w:pPr>
              <w:pStyle w:val="Compact"/>
              <w:jc w:val="left"/>
            </w:pPr>
            <w:r>
              <w:t xml:space="preserve">Tirzépatide 5–15 mg</w:t>
            </w:r>
          </w:p>
        </w:tc>
        <w:tc>
          <w:tcPr/>
          <w:p>
            <w:pPr>
              <w:pStyle w:val="Compact"/>
              <w:jc w:val="left"/>
            </w:pPr>
            <w:r>
              <w:t xml:space="preserve">SURPASS-1 (Rosenstock 2021), PMID 34186022</w:t>
            </w:r>
          </w:p>
        </w:tc>
        <w:tc>
          <w:tcPr/>
          <w:p>
            <w:pPr>
              <w:pStyle w:val="Compact"/>
              <w:jc w:val="left"/>
            </w:pPr>
            <w:r>
              <w:t xml:space="preserve">40 semaines</w:t>
            </w:r>
          </w:p>
        </w:tc>
        <w:tc>
          <w:tcPr/>
          <w:p>
            <w:pPr>
              <w:pStyle w:val="Compact"/>
              <w:jc w:val="left"/>
            </w:pPr>
            <w:r>
              <w:t xml:space="preserve">−1,87 à −2,07 vs +0,04 (placebo)</w:t>
            </w:r>
          </w:p>
        </w:tc>
      </w:tr>
      <w:tr>
        <w:tc>
          <w:tcPr/>
          <w:p>
            <w:pPr>
              <w:pStyle w:val="Compact"/>
              <w:jc w:val="left"/>
            </w:pPr>
            <w:r>
              <w:t xml:space="preserve">Rétatrutide</w:t>
            </w:r>
          </w:p>
        </w:tc>
        <w:tc>
          <w:tcPr/>
          <w:p>
            <w:pPr>
              <w:pStyle w:val="Compact"/>
              <w:jc w:val="left"/>
            </w:pPr>
            <w:r>
              <w:t xml:space="preserve">TRANSCEND-T2D-1 (Bajaj 2026), PMID 42250575</w:t>
            </w:r>
          </w:p>
        </w:tc>
        <w:tc>
          <w:tcPr/>
          <w:p>
            <w:pPr>
              <w:pStyle w:val="Compact"/>
              <w:jc w:val="left"/>
            </w:pPr>
            <w:r>
              <w:t xml:space="preserve">40 semaines</w:t>
            </w:r>
          </w:p>
        </w:tc>
        <w:tc>
          <w:tcPr/>
          <w:p>
            <w:pPr>
              <w:pStyle w:val="Compact"/>
              <w:jc w:val="left"/>
            </w:pPr>
            <w:r>
              <w:t xml:space="preserve">−1,69 à −1,94 vs −0,81 (placebo)</w:t>
            </w:r>
          </w:p>
        </w:tc>
      </w:tr>
      <w:tr>
        <w:tc>
          <w:tcPr/>
          <w:p>
            <w:pPr>
              <w:pStyle w:val="Compact"/>
              <w:jc w:val="left"/>
            </w:pPr>
            <w:r>
              <w:t xml:space="preserve">Mazdutide</w:t>
            </w:r>
          </w:p>
        </w:tc>
        <w:tc>
          <w:tcPr/>
          <w:p>
            <w:pPr>
              <w:pStyle w:val="Compact"/>
              <w:jc w:val="left"/>
            </w:pPr>
            <w:r>
              <w:t xml:space="preserve">DREAMS-1 (Zhu 2026), PMID 41407859</w:t>
            </w:r>
          </w:p>
        </w:tc>
        <w:tc>
          <w:tcPr/>
          <w:p>
            <w:pPr>
              <w:pStyle w:val="Compact"/>
              <w:jc w:val="left"/>
            </w:pPr>
            <w:r>
              <w:t xml:space="preserve">24 semaines</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semaines</w:t>
            </w:r>
          </w:p>
        </w:tc>
        <w:tc>
          <w:tcPr/>
          <w:p>
            <w:pPr>
              <w:pStyle w:val="Compact"/>
              <w:jc w:val="left"/>
            </w:pPr>
            <w:r>
              <w:t xml:space="preserve">−1,8 vs −0,1 (placebo)</w:t>
            </w:r>
          </w:p>
        </w:tc>
      </w:tr>
      <w:tr>
        <w:tc>
          <w:tcPr/>
          <w:p>
            <w:pPr>
              <w:pStyle w:val="Compact"/>
              <w:jc w:val="left"/>
            </w:pPr>
            <w:r>
              <w:t xml:space="preserve">Maridebart cafraglutide</w:t>
            </w:r>
          </w:p>
        </w:tc>
        <w:tc>
          <w:tcPr/>
          <w:p>
            <w:pPr>
              <w:pStyle w:val="Compact"/>
              <w:jc w:val="left"/>
            </w:pPr>
            <w:r>
              <w:t xml:space="preserve">Phase 2 (Jastreboff 2025), PMID 40549887</w:t>
            </w:r>
          </w:p>
        </w:tc>
        <w:tc>
          <w:tcPr/>
          <w:p>
            <w:pPr>
              <w:pStyle w:val="Compact"/>
              <w:jc w:val="left"/>
            </w:pPr>
            <w:r>
              <w:t xml:space="preserve">52 semaines</w:t>
            </w:r>
          </w:p>
        </w:tc>
        <w:tc>
          <w:tcPr/>
          <w:p>
            <w:pPr>
              <w:pStyle w:val="Compact"/>
              <w:jc w:val="left"/>
            </w:pPr>
            <w:r>
              <w:t xml:space="preserve">−1,2 à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semaines</w:t>
            </w:r>
          </w:p>
        </w:tc>
        <w:tc>
          <w:tcPr/>
          <w:p>
            <w:pPr>
              <w:pStyle w:val="Compact"/>
              <w:jc w:val="left"/>
            </w:pPr>
            <w:r>
              <w:t xml:space="preserve">−1,24 à −1,48 vs −0,41 (placebo)</w:t>
            </w:r>
          </w:p>
        </w:tc>
      </w:tr>
    </w:tbl>
    <w:p>
      <w:pPr>
        <w:pStyle w:val="BodyText"/>
      </w:pPr>
      <w:r>
        <w:t xml:space="preserve">Les substances plus anciennes, l’exénatide et le pramlintide, abaissent l’HbA1c de moins d’un point de pourcentage, les agonistes hebdomadaires du GLP-1 d’environ 1,5 point, le tirzépatide et les nouveaux agonistes multiples d’environ 2 points. Pour la glycémie, les différences entre les substances récentes sont plus faibles que pour le poids. REIMAGINE 2 le montre particulièrement bien : CagriSema n’y a abaissé l’HbA1c que de 0,16 point de pourcentage de plus que le sémaglutide 2,4 mg seul (−1,91 vs −1,75 ; Buse 2026, PMID 42251859). L’ajout d’amyline agit donc surtout sur le poids.</w:t>
      </w:r>
    </w:p>
    <w:p>
      <w:pPr>
        <w:pStyle w:val="BodyText"/>
      </w:pPr>
      <w:r>
        <w:t xml:space="preserve">Une différence importante concerne l’hypoglycémie. Comme le GLP-1 n’augmente la sécrétion d’insuline qu’en cas de glycémie élevée, les hypoglycémies sont rares sous ces médicaments seuls. Elles deviennent plus fréquentes lorsque de l’insuline ou des sulfamides hypoglycémiants sont pris en même temps. Pour le pramlintide, qui n’est utilisé qu’en complément de l’insuline prandiale, l’hypoglycémie sévère est le principal risque</w:t>
      </w:r>
      <w:r>
        <w:rPr>
          <w:rStyle w:val="FootnoteReference"/>
        </w:rPr>
        <w:footnoteReference w:id="2547"/>
      </w:r>
      <w:r>
        <w:t xml:space="preserve">.</w:t>
      </w:r>
    </w:p>
    <w:bookmarkEnd w:id="2548"/>
    <w:bookmarkStart w:id="2556" w:name="X11b492ac9d396d74d2aeedc1191986a0ad28ffa"/>
    <w:p>
      <w:pPr>
        <w:pStyle w:val="Heading3"/>
      </w:pPr>
      <w:r>
        <w:t xml:space="preserve">Études de morbi-mortalité cardiovasculaire</w:t>
      </w:r>
    </w:p>
    <w:p>
      <w:pPr>
        <w:pStyle w:val="FirstParagraph"/>
      </w:pPr>
      <w:r>
        <w:t xml:space="preserve">Les études de critères cliniques ne mesurent pas des valeurs de laboratoire, mais des événements qui comptent pour les patientes et les patients : décès cardiovasculaire, infarctus du myocarde et accident vasculaire cérébral, regroupés sous le terme « MACE » (major adverse cardiovascular events). Le hazard ratio (HR) indique le niveau du risque par rapport au groupe témoin ; 0,80 signifie un risque relatif inférieur de 20 %.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 (substance)</w:t>
            </w:r>
          </w:p>
        </w:tc>
        <w:tc>
          <w:tcPr/>
          <w:p>
            <w:pPr>
              <w:pStyle w:val="Compact"/>
              <w:jc w:val="left"/>
            </w:pPr>
            <w:r>
              <w:t xml:space="preserve">Participants</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LEADER (liraglutide ; Marso 2016), PMID 27295427</w:t>
            </w:r>
          </w:p>
        </w:tc>
        <w:tc>
          <w:tcPr/>
          <w:p>
            <w:pPr>
              <w:pStyle w:val="Compact"/>
              <w:jc w:val="left"/>
            </w:pPr>
            <w:r>
              <w:t xml:space="preserve">9 340 avec diabète de type 2 et risque élevé</w:t>
            </w:r>
          </w:p>
        </w:tc>
        <w:tc>
          <w:tcPr/>
          <w:p>
            <w:pPr>
              <w:pStyle w:val="Compact"/>
              <w:jc w:val="left"/>
            </w:pPr>
            <w:r>
              <w:t xml:space="preserve">médiane 3,8 ans</w:t>
            </w:r>
          </w:p>
        </w:tc>
        <w:tc>
          <w:tcPr/>
          <w:p>
            <w:pPr>
              <w:pStyle w:val="Compact"/>
              <w:jc w:val="left"/>
            </w:pPr>
            <w:r>
              <w:t xml:space="preserve">13,0 % vs 14,9 % ; HR 0,87</w:t>
            </w:r>
          </w:p>
        </w:tc>
      </w:tr>
      <w:tr>
        <w:tc>
          <w:tcPr/>
          <w:p>
            <w:pPr>
              <w:pStyle w:val="Compact"/>
              <w:jc w:val="left"/>
            </w:pPr>
            <w:r>
              <w:t xml:space="preserve">SUSTAIN 6 (sémaglutide ; Marso 2016), PMID 27633186</w:t>
            </w:r>
          </w:p>
        </w:tc>
        <w:tc>
          <w:tcPr/>
          <w:p>
            <w:pPr>
              <w:pStyle w:val="Compact"/>
              <w:jc w:val="left"/>
            </w:pPr>
            <w:r>
              <w:t xml:space="preserve">3 297 avec diabète de type 2 et risque élevé</w:t>
            </w:r>
          </w:p>
        </w:tc>
        <w:tc>
          <w:tcPr/>
          <w:p>
            <w:pPr>
              <w:pStyle w:val="Compact"/>
              <w:jc w:val="left"/>
            </w:pPr>
            <w:r>
              <w:t xml:space="preserve">104 semaines</w:t>
            </w:r>
          </w:p>
        </w:tc>
        <w:tc>
          <w:tcPr/>
          <w:p>
            <w:pPr>
              <w:pStyle w:val="Compact"/>
              <w:jc w:val="left"/>
            </w:pPr>
            <w:r>
              <w:t xml:space="preserve">6,6 % vs 8,9 % ; HR 0,74</w:t>
            </w:r>
          </w:p>
        </w:tc>
      </w:tr>
      <w:tr>
        <w:tc>
          <w:tcPr/>
          <w:p>
            <w:pPr>
              <w:pStyle w:val="Compact"/>
              <w:jc w:val="left"/>
            </w:pPr>
            <w:r>
              <w:t xml:space="preserve">PIONEER 6 (sémaglutide en comprimé ; Husain 2019), PMID 31185157</w:t>
            </w:r>
          </w:p>
        </w:tc>
        <w:tc>
          <w:tcPr/>
          <w:p>
            <w:pPr>
              <w:pStyle w:val="Compact"/>
              <w:jc w:val="left"/>
            </w:pPr>
            <w:r>
              <w:t xml:space="preserve">3 183 avec diabète de type 2 et risque élevé</w:t>
            </w:r>
          </w:p>
        </w:tc>
        <w:tc>
          <w:tcPr/>
          <w:p>
            <w:pPr>
              <w:pStyle w:val="Compact"/>
              <w:jc w:val="left"/>
            </w:pPr>
            <w:r>
              <w:t xml:space="preserve">médiane 15,9 mois</w:t>
            </w:r>
          </w:p>
        </w:tc>
        <w:tc>
          <w:tcPr/>
          <w:p>
            <w:pPr>
              <w:pStyle w:val="Compact"/>
              <w:jc w:val="left"/>
            </w:pPr>
            <w:r>
              <w:t xml:space="preserve">3,8 % vs 4,8 % ; HR 0,79, seule la non-infériorité a été démontrée</w:t>
            </w:r>
          </w:p>
        </w:tc>
      </w:tr>
      <w:tr>
        <w:tc>
          <w:tcPr/>
          <w:p>
            <w:pPr>
              <w:pStyle w:val="Compact"/>
              <w:jc w:val="left"/>
            </w:pPr>
            <w:r>
              <w:t xml:space="preserve">SOUL (sémaglutide en comprimé ; McGuire 2025), PMID 40162642</w:t>
            </w:r>
          </w:p>
        </w:tc>
        <w:tc>
          <w:tcPr/>
          <w:p>
            <w:pPr>
              <w:pStyle w:val="Compact"/>
              <w:jc w:val="left"/>
            </w:pPr>
            <w:r>
              <w:t xml:space="preserve">9 650 avec diabète de type 2 et maladie vasculaire ou rénale</w:t>
            </w:r>
          </w:p>
        </w:tc>
        <w:tc>
          <w:tcPr/>
          <w:p>
            <w:pPr>
              <w:pStyle w:val="Compact"/>
              <w:jc w:val="left"/>
            </w:pPr>
            <w:r>
              <w:t xml:space="preserve">médiane 49,5 mois</w:t>
            </w:r>
          </w:p>
        </w:tc>
        <w:tc>
          <w:tcPr/>
          <w:p>
            <w:pPr>
              <w:pStyle w:val="Compact"/>
              <w:jc w:val="left"/>
            </w:pPr>
            <w:r>
              <w:t xml:space="preserve">12,0 % vs 13,8 % ; HR 0,86</w:t>
            </w:r>
          </w:p>
        </w:tc>
      </w:tr>
      <w:tr>
        <w:tc>
          <w:tcPr/>
          <w:p>
            <w:pPr>
              <w:pStyle w:val="Compact"/>
              <w:jc w:val="left"/>
            </w:pPr>
            <w:r>
              <w:t xml:space="preserve">SELECT (sémaglutide 2,4 mg ; Lincoff 2023), PMID 37952131</w:t>
            </w:r>
          </w:p>
        </w:tc>
        <w:tc>
          <w:tcPr/>
          <w:p>
            <w:pPr>
              <w:pStyle w:val="Compact"/>
              <w:jc w:val="left"/>
            </w:pPr>
            <w:r>
              <w:t xml:space="preserve">17 604 en surpoids avec maladie cardiovasculaire, sans diabète</w:t>
            </w:r>
          </w:p>
        </w:tc>
        <w:tc>
          <w:tcPr/>
          <w:p>
            <w:pPr>
              <w:pStyle w:val="Compact"/>
              <w:jc w:val="left"/>
            </w:pPr>
            <w:r>
              <w:t xml:space="preserve">en moyenne 39,8 mois</w:t>
            </w:r>
          </w:p>
        </w:tc>
        <w:tc>
          <w:tcPr/>
          <w:p>
            <w:pPr>
              <w:pStyle w:val="Compact"/>
              <w:jc w:val="left"/>
            </w:pPr>
            <w:r>
              <w:t xml:space="preserve">6,5 % vs 8,0 % ; HR 0,80</w:t>
            </w:r>
          </w:p>
        </w:tc>
      </w:tr>
      <w:tr>
        <w:tc>
          <w:tcPr/>
          <w:p>
            <w:pPr>
              <w:pStyle w:val="Compact"/>
              <w:jc w:val="left"/>
            </w:pPr>
            <w:r>
              <w:t xml:space="preserve">REWIND (dulaglutide ; Gerstein 2019), PMID 31189511</w:t>
            </w:r>
          </w:p>
        </w:tc>
        <w:tc>
          <w:tcPr/>
          <w:p>
            <w:pPr>
              <w:pStyle w:val="Compact"/>
              <w:jc w:val="left"/>
            </w:pPr>
            <w:r>
              <w:t xml:space="preserve">9 901 avec diabète de type 2, avec ou sans antécédent cardiovasculaire</w:t>
            </w:r>
          </w:p>
        </w:tc>
        <w:tc>
          <w:tcPr/>
          <w:p>
            <w:pPr>
              <w:pStyle w:val="Compact"/>
              <w:jc w:val="left"/>
            </w:pPr>
            <w:r>
              <w:t xml:space="preserve">médiane 5,4 ans</w:t>
            </w:r>
          </w:p>
        </w:tc>
        <w:tc>
          <w:tcPr/>
          <w:p>
            <w:pPr>
              <w:pStyle w:val="Compact"/>
              <w:jc w:val="left"/>
            </w:pPr>
            <w:r>
              <w:t xml:space="preserve">12,0 % vs 13,4 % ; HR 0,88</w:t>
            </w:r>
          </w:p>
        </w:tc>
      </w:tr>
      <w:tr>
        <w:tc>
          <w:tcPr/>
          <w:p>
            <w:pPr>
              <w:pStyle w:val="Compact"/>
              <w:jc w:val="left"/>
            </w:pPr>
            <w:r>
              <w:t xml:space="preserve">EXSCEL (exénatide hebdomadaire ; Holman 2017), PMID 28910237</w:t>
            </w:r>
          </w:p>
        </w:tc>
        <w:tc>
          <w:tcPr/>
          <w:p>
            <w:pPr>
              <w:pStyle w:val="Compact"/>
              <w:jc w:val="left"/>
            </w:pPr>
            <w:r>
              <w:t xml:space="preserve">14 752 avec diabète de type 2</w:t>
            </w:r>
          </w:p>
        </w:tc>
        <w:tc>
          <w:tcPr/>
          <w:p>
            <w:pPr>
              <w:pStyle w:val="Compact"/>
              <w:jc w:val="left"/>
            </w:pPr>
            <w:r>
              <w:t xml:space="preserve">médiane 3,2 ans</w:t>
            </w:r>
          </w:p>
        </w:tc>
        <w:tc>
          <w:tcPr/>
          <w:p>
            <w:pPr>
              <w:pStyle w:val="Compact"/>
              <w:jc w:val="left"/>
            </w:pPr>
            <w:r>
              <w:t xml:space="preserve">11,4 % vs 12,2 % ; HR 0,91, supériorité manquée de peu</w:t>
            </w:r>
          </w:p>
        </w:tc>
      </w:tr>
      <w:tr>
        <w:tc>
          <w:tcPr/>
          <w:p>
            <w:pPr>
              <w:pStyle w:val="Compact"/>
              <w:jc w:val="left"/>
            </w:pPr>
            <w:r>
              <w:t xml:space="preserve">SURPASS-CVOT (tirzépatide contre dulaglutide ; Nicholls 2025), PMID 41406444</w:t>
            </w:r>
          </w:p>
        </w:tc>
        <w:tc>
          <w:tcPr/>
          <w:p>
            <w:pPr>
              <w:pStyle w:val="Compact"/>
              <w:jc w:val="left"/>
            </w:pPr>
            <w:r>
              <w:t xml:space="preserve">13 165 avec diabète de type 2 et maladie vasculaire</w:t>
            </w:r>
          </w:p>
        </w:tc>
        <w:tc>
          <w:tcPr/>
          <w:p>
            <w:pPr>
              <w:pStyle w:val="Compact"/>
              <w:jc w:val="left"/>
            </w:pPr>
            <w:r>
              <w:t xml:space="preserve">plusieurs années</w:t>
            </w:r>
          </w:p>
        </w:tc>
        <w:tc>
          <w:tcPr/>
          <w:p>
            <w:pPr>
              <w:pStyle w:val="Compact"/>
              <w:jc w:val="left"/>
            </w:pPr>
            <w:r>
              <w:t xml:space="preserve">12,2 % vs 13,1 % ; HR 0,92, non inférieur</w:t>
            </w:r>
          </w:p>
        </w:tc>
      </w:tr>
      <w:tr>
        <w:tc>
          <w:tcPr/>
          <w:p>
            <w:pPr>
              <w:pStyle w:val="Compact"/>
              <w:jc w:val="left"/>
            </w:pPr>
            <w:r>
              <w:t xml:space="preserve">ACHIEVE-4 (orforglipron contre insuline glargine ; Klein 2026), PMID 42815506</w:t>
            </w:r>
          </w:p>
        </w:tc>
        <w:tc>
          <w:tcPr/>
          <w:p>
            <w:pPr>
              <w:pStyle w:val="Compact"/>
              <w:jc w:val="left"/>
            </w:pPr>
            <w:r>
              <w:t xml:space="preserve">2 749 avec diabète de type 2 et risque élevé</w:t>
            </w:r>
          </w:p>
        </w:tc>
        <w:tc>
          <w:tcPr/>
          <w:p>
            <w:pPr>
              <w:pStyle w:val="Compact"/>
              <w:jc w:val="left"/>
            </w:pPr>
            <w:r>
              <w:t xml:space="preserve">médiane 2 ans</w:t>
            </w:r>
          </w:p>
        </w:tc>
        <w:tc>
          <w:tcPr/>
          <w:p>
            <w:pPr>
              <w:pStyle w:val="Compact"/>
              <w:jc w:val="left"/>
            </w:pPr>
            <w:r>
              <w:t xml:space="preserve">4,2 % vs 5,0 % (MACE-4), non inférieur</w:t>
            </w:r>
          </w:p>
        </w:tc>
      </w:tr>
    </w:tbl>
    <w:p>
      <w:pPr>
        <w:pStyle w:val="BodyText"/>
      </w:pPr>
      <w:r>
        <w:t xml:space="preserve">Ce que montre ce tableau :</w:t>
      </w:r>
    </w:p>
    <w:p>
      <w:pPr>
        <w:numPr>
          <w:ilvl w:val="0"/>
          <w:numId w:val="1326"/>
        </w:numPr>
        <w:pStyle w:val="Compact"/>
      </w:pPr>
      <w:r>
        <w:rPr>
          <w:bCs/>
          <w:b/>
        </w:rPr>
        <w:t xml:space="preserve">La classe réduit le risque.</w:t>
      </w:r>
      <w:r>
        <w:t xml:space="preserve"> </w:t>
      </w:r>
      <w:r>
        <w:t xml:space="preserve">Une méta-analyse de sept études de critères cliniques contrôlées contre placebo, totalisant 56 004 participants, a mis en évidence pour les agonistes du récepteur du GLP-1 dans le diabète de type 2 12 % d’événements cardiovasculaires graves en moins (HR 0,88), 12 % de décès toutes causes en moins et 9 % d’hospitalisations pour insuffisance cardiaque en moins, sans différence notable entre les sous-groupes</w:t>
      </w:r>
      <w:r>
        <w:rPr>
          <w:rStyle w:val="FootnoteReference"/>
        </w:rPr>
        <w:footnoteReference w:id="2549"/>
      </w:r>
      <w:r>
        <w:t xml:space="preserve">. Cette méta-analyse incluait aussi deux substances qui ne sont pas traitées dans ce livre.</w:t>
      </w:r>
    </w:p>
    <w:p>
      <w:pPr>
        <w:numPr>
          <w:ilvl w:val="0"/>
          <w:numId w:val="1326"/>
        </w:numPr>
        <w:pStyle w:val="Compact"/>
      </w:pPr>
      <w:r>
        <w:rPr>
          <w:bCs/>
          <w:b/>
        </w:rPr>
        <w:t xml:space="preserve">Les différences entre substances sont incertaines.</w:t>
      </w:r>
      <w:r>
        <w:t xml:space="preserve"> </w:t>
      </w:r>
      <w:r>
        <w:t xml:space="preserve">L’exénatide se situait dans EXSCEL à la limite inférieure ; on évoque la molécule elle-même, le taux d’arrêt élevé et le plan d’étude pragmatique. Un implant à pompe d’exénatide (FREEDOM-CVO) n’a satisfait que le critère de sécurité (HR 1,21 ; Ruff 2022, PMID 34873344).</w:t>
      </w:r>
    </w:p>
    <w:p>
      <w:pPr>
        <w:numPr>
          <w:ilvl w:val="0"/>
          <w:numId w:val="1326"/>
        </w:numPr>
        <w:pStyle w:val="Compact"/>
      </w:pPr>
      <w:r>
        <w:rPr>
          <w:bCs/>
          <w:b/>
        </w:rPr>
        <w:t xml:space="preserve">SELECT est un cas particulier.</w:t>
      </w:r>
      <w:r>
        <w:t xml:space="preserve"> </w:t>
      </w:r>
      <w:r>
        <w:t xml:space="preserve">C’est, dans cette vue d’ensemble, la seule grande étude de critères cliniques menée exclusivement chez des personnes</w:t>
      </w:r>
      <w:r>
        <w:t xml:space="preserve"> </w:t>
      </w:r>
      <w:r>
        <w:rPr>
          <w:iCs/>
          <w:i/>
        </w:rPr>
        <w:t xml:space="preserve">sans</w:t>
      </w:r>
      <w:r>
        <w:t xml:space="preserve"> </w:t>
      </w:r>
      <w:r>
        <w:t xml:space="preserve">diabète. En chiffres absolus, sur un peu plus de trois ans, environ 1,5 personne traitée sur cent a eu un événement grave de moins.</w:t>
      </w:r>
    </w:p>
    <w:p>
      <w:pPr>
        <w:numPr>
          <w:ilvl w:val="0"/>
          <w:numId w:val="1326"/>
        </w:numPr>
        <w:pStyle w:val="Compact"/>
      </w:pPr>
      <w:r>
        <w:rPr>
          <w:bCs/>
          <w:b/>
        </w:rPr>
        <w:t xml:space="preserve">Le tirzépatide a été testé contre un médicament efficace.</w:t>
      </w:r>
      <w:r>
        <w:t xml:space="preserve"> </w:t>
      </w:r>
      <w:r>
        <w:t xml:space="preserve">SURPASS-CVOT n’a pas comparé le tirzépatide à un placebo, mais au dulaglutide, qui avait lui-même réduit le risque dans REWIND. Le tirzépatide n’a pas été inférieur, la supériorité formelle a été manquée de peu. L’ampleur du bénéfice par rapport à l’absence de traitement ne peut en être estimée que par des modélisations.</w:t>
      </w:r>
    </w:p>
    <w:p>
      <w:pPr>
        <w:numPr>
          <w:ilvl w:val="0"/>
          <w:numId w:val="1326"/>
        </w:numPr>
        <w:pStyle w:val="Compact"/>
      </w:pPr>
      <w:r>
        <w:rPr>
          <w:bCs/>
          <w:b/>
        </w:rPr>
        <w:t xml:space="preserve">Insuffisance cardiaque :</w:t>
      </w:r>
      <w:r>
        <w:t xml:space="preserve"> </w:t>
      </w:r>
      <w:r>
        <w:t xml:space="preserve">en cas d’insuffisance cardiaque à fraction d’éjection préservée et d’obésité, le tirzépatide a réduit dans SUMMIT, chez 731 personnes, le critère combiné de décès cardiovasculaire ou d’aggravation de l’insuffisance cardiaque (9,9 % vs 15,3 % ; HR 0,62 ; Packer 2025, PMID 39555826). La différence reposait sur un nombre moindre d’événements d’aggravation ; les décès étaient rares. Dans STEP-HFpEF, le sémaglutide a amélioré les symptômes et la distance de marche</w:t>
      </w:r>
      <w:r>
        <w:rPr>
          <w:rStyle w:val="FootnoteReference"/>
        </w:rPr>
        <w:footnoteReference w:id="2550"/>
      </w:r>
      <w:r>
        <w:t xml:space="preserve">, mais l’étude n’était pas conçue pour des critères cliniques forts.</w:t>
      </w:r>
    </w:p>
    <w:p>
      <w:pPr>
        <w:pStyle w:val="FirstParagraph"/>
      </w:pPr>
      <w:r>
        <w:rPr>
          <w:bCs/>
          <w:b/>
        </w:rPr>
        <w:t xml:space="preserve">Encore attendues (études enregistrées) :</w:t>
      </w:r>
      <w:r>
        <w:t xml:space="preserve"> </w:t>
      </w:r>
      <w:r>
        <w:t xml:space="preserve">les données de critères cliniques manquent pour les substances plus récentes. Les études en cours sont SURMOUNT-MMO sur le tirzépatide dans l’obésité sans diabète</w:t>
      </w:r>
      <w:r>
        <w:rPr>
          <w:rStyle w:val="FootnoteReference"/>
        </w:rPr>
        <w:footnoteReference w:id="2551"/>
      </w:r>
      <w:r>
        <w:t xml:space="preserve">, TRIUMPH-Outcomes sur le rétatrutide</w:t>
      </w:r>
      <w:r>
        <w:rPr>
          <w:rStyle w:val="FootnoteReference"/>
        </w:rPr>
        <w:footnoteReference w:id="2552"/>
      </w:r>
      <w:r>
        <w:t xml:space="preserve">, REDEFINE 3 sur CagriSema</w:t>
      </w:r>
      <w:r>
        <w:rPr>
          <w:rStyle w:val="FootnoteReference"/>
        </w:rPr>
        <w:footnoteReference w:id="2553"/>
      </w:r>
      <w:r>
        <w:t xml:space="preserve">, une étude sur le maridebart cafraglutide</w:t>
      </w:r>
      <w:r>
        <w:rPr>
          <w:rStyle w:val="FootnoteReference"/>
        </w:rPr>
        <w:footnoteReference w:id="2554"/>
      </w:r>
      <w:r>
        <w:t xml:space="preserve"> </w:t>
      </w:r>
      <w:r>
        <w:t xml:space="preserve">et une sur l’orforglipron</w:t>
      </w:r>
      <w:r>
        <w:rPr>
          <w:rStyle w:val="FootnoteReference"/>
        </w:rPr>
        <w:footnoteReference w:id="2555"/>
      </w:r>
      <w:r>
        <w:t xml:space="preserve">. Tant que ces résultats ne sont pas disponibles, la question reste ouverte de savoir si une perte de poids plus importante entraîne aussi moins d’infarctus et d’AVC. C’est une attente plausible, mais pas un résultat.</w:t>
      </w:r>
    </w:p>
    <w:bookmarkEnd w:id="2556"/>
    <w:bookmarkStart w:id="2564" w:name="rein-et-foie"/>
    <w:p>
      <w:pPr>
        <w:pStyle w:val="Heading3"/>
      </w:pPr>
      <w:r>
        <w:t xml:space="preserve">Rein et foie</w:t>
      </w:r>
    </w:p>
    <w:p>
      <w:pPr>
        <w:pStyle w:val="FirstParagraph"/>
      </w:pPr>
      <w:r>
        <w:rPr>
          <w:bCs/>
          <w:b/>
        </w:rPr>
        <w:t xml:space="preserve">Rein :</w:t>
      </w:r>
      <w:r>
        <w:t xml:space="preserve"> </w:t>
      </w:r>
      <w:r>
        <w:t xml:space="preserve">parmi les études abordées dans ce livre, seule FLOW a un événement rénal comme critère principal. Chez 3 533 personnes atteintes de diabète de type 2 et de maladie rénale chronique, le sémaglutide 1,0 mg a réduit de 24 % les événements rénaux graves et les décès de cause rénale ou cardiovasculaire (331 vs 410 événements ; HR 0,76). L’étude a été arrêtée prématurément pour efficacité ; la mortalité totale était inférieure de 20 %</w:t>
      </w:r>
      <w:r>
        <w:rPr>
          <w:rStyle w:val="FootnoteReference"/>
        </w:rPr>
        <w:footnoteReference w:id="2557"/>
      </w:r>
      <w:r>
        <w:t xml:space="preserve">. Dans les études de critères cliniques plus anciennes, en revanche, le bénéfice rénal reposait surtout sur une réduction des protéines dans les urines : dans LEADER HR 0,78</w:t>
      </w:r>
      <w:r>
        <w:rPr>
          <w:rStyle w:val="FootnoteReference"/>
        </w:rPr>
        <w:footnoteReference w:id="2558"/>
      </w:r>
      <w:r>
        <w:t xml:space="preserve">, dans REWIND HR 0,85</w:t>
      </w:r>
      <w:r>
        <w:rPr>
          <w:rStyle w:val="FootnoteReference"/>
        </w:rPr>
        <w:footnoteReference w:id="2559"/>
      </w:r>
      <w:r>
        <w:t xml:space="preserve">, sur l’ensemble des sept études HR 0,83</w:t>
      </w:r>
      <w:r>
        <w:rPr>
          <w:rStyle w:val="FootnoteReference"/>
        </w:rPr>
        <w:footnoteReference w:id="2560"/>
      </w:r>
      <w:r>
        <w:t xml:space="preserve">. Dans SOUL, les critères secondaires de confirmation, dont les événements rénaux, ne différaient pas de manière significative</w:t>
      </w:r>
      <w:r>
        <w:rPr>
          <w:rStyle w:val="FootnoteReference"/>
        </w:rPr>
        <w:footnoteReference w:id="2561"/>
      </w:r>
      <w:r>
        <w:t xml:space="preserve">. En cas de maladie rénale modérée à sévère, la fonction rénale a été mieux préservée sous dulaglutide que sous insuline glargine (AWARD-7, Tuttle 2018, PMID 29910024). Pour le tirzépatide et les substances plus récentes, il n’existe pas encore d’études ayant des événements rénaux comme critère principal.</w:t>
      </w:r>
    </w:p>
    <w:p>
      <w:pPr>
        <w:pStyle w:val="BodyText"/>
      </w:pPr>
      <w:r>
        <w:rPr>
          <w:bCs/>
          <w:b/>
        </w:rPr>
        <w:t xml:space="preserve">Foie :</w:t>
      </w:r>
      <w:r>
        <w:t xml:space="preserve"> </w:t>
      </w:r>
      <w:r>
        <w:t xml:space="preserve">dans la stéatohépatite MASH (anciennement NASH), il existe des études avec biopsies pour trois substances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Durée</w:t>
            </w:r>
          </w:p>
        </w:tc>
        <w:tc>
          <w:tcPr/>
          <w:p>
            <w:pPr>
              <w:pStyle w:val="Compact"/>
              <w:jc w:val="left"/>
            </w:pPr>
            <w:r>
              <w:t xml:space="preserve">Résolution de la MASH sans aggravation de la fibrose</w:t>
            </w:r>
          </w:p>
        </w:tc>
      </w:tr>
      <w:tr>
        <w:tc>
          <w:tcPr/>
          <w:p>
            <w:pPr>
              <w:pStyle w:val="Compact"/>
              <w:jc w:val="left"/>
            </w:pPr>
            <w:r>
              <w:t xml:space="preserve">Sémaglutide 2,4 mg</w:t>
            </w:r>
          </w:p>
        </w:tc>
        <w:tc>
          <w:tcPr/>
          <w:p>
            <w:pPr>
              <w:pStyle w:val="Compact"/>
              <w:jc w:val="left"/>
            </w:pPr>
            <w:r>
              <w:t xml:space="preserve">ESSENCE, phase 3 (Sanyal 2025), PMID 40305708</w:t>
            </w:r>
          </w:p>
        </w:tc>
        <w:tc>
          <w:tcPr/>
          <w:p>
            <w:pPr>
              <w:pStyle w:val="Compact"/>
              <w:jc w:val="left"/>
            </w:pPr>
            <w:r>
              <w:t xml:space="preserve">72 semaines (analyse intermédiaire, 800 personnes)</w:t>
            </w:r>
          </w:p>
        </w:tc>
        <w:tc>
          <w:tcPr/>
          <w:p>
            <w:pPr>
              <w:pStyle w:val="Compact"/>
              <w:jc w:val="left"/>
            </w:pPr>
            <w:r>
              <w:t xml:space="preserve">62,9 % vs 34,3 % ; moins de fibrose 36,8 % vs 22,4 %</w:t>
            </w:r>
          </w:p>
        </w:tc>
      </w:tr>
      <w:tr>
        <w:tc>
          <w:tcPr/>
          <w:p>
            <w:pPr>
              <w:pStyle w:val="Compact"/>
              <w:jc w:val="left"/>
            </w:pPr>
            <w:r>
              <w:t xml:space="preserve">Tirzépatide</w:t>
            </w:r>
          </w:p>
        </w:tc>
        <w:tc>
          <w:tcPr/>
          <w:p>
            <w:pPr>
              <w:pStyle w:val="Compact"/>
              <w:jc w:val="left"/>
            </w:pPr>
            <w:r>
              <w:t xml:space="preserve">SYNERGY-NASH, phase 2 (Loomba 2024), PMID 38856224</w:t>
            </w:r>
          </w:p>
        </w:tc>
        <w:tc>
          <w:tcPr/>
          <w:p>
            <w:pPr>
              <w:pStyle w:val="Compact"/>
              <w:jc w:val="left"/>
            </w:pPr>
            <w:r>
              <w:t xml:space="preserve">52 semaines, 190 personnes</w:t>
            </w:r>
          </w:p>
        </w:tc>
        <w:tc>
          <w:tcPr/>
          <w:p>
            <w:pPr>
              <w:pStyle w:val="Compact"/>
              <w:jc w:val="left"/>
            </w:pPr>
            <w:r>
              <w:t xml:space="preserve">44–62 % vs 10 % ; moins de fibrose 51–55 % vs 30 %</w:t>
            </w:r>
          </w:p>
        </w:tc>
      </w:tr>
      <w:tr>
        <w:tc>
          <w:tcPr/>
          <w:p>
            <w:pPr>
              <w:pStyle w:val="Compact"/>
              <w:jc w:val="left"/>
            </w:pPr>
            <w:r>
              <w:t xml:space="preserve">Survodutide</w:t>
            </w:r>
          </w:p>
        </w:tc>
        <w:tc>
          <w:tcPr/>
          <w:p>
            <w:pPr>
              <w:pStyle w:val="Compact"/>
              <w:jc w:val="left"/>
            </w:pPr>
            <w:r>
              <w:t xml:space="preserve">Phase 2 (Sanyal 2024), PMID 38847460</w:t>
            </w:r>
          </w:p>
        </w:tc>
        <w:tc>
          <w:tcPr/>
          <w:p>
            <w:pPr>
              <w:pStyle w:val="Compact"/>
              <w:jc w:val="left"/>
            </w:pPr>
            <w:r>
              <w:t xml:space="preserve">48 semaines, 293 personnes</w:t>
            </w:r>
          </w:p>
        </w:tc>
        <w:tc>
          <w:tcPr/>
          <w:p>
            <w:pPr>
              <w:pStyle w:val="Compact"/>
              <w:jc w:val="left"/>
            </w:pPr>
            <w:r>
              <w:t xml:space="preserve">amélioration de la MASH 43–62 % vs 14 %</w:t>
            </w:r>
          </w:p>
        </w:tc>
      </w:tr>
    </w:tbl>
    <w:p>
      <w:pPr>
        <w:pStyle w:val="BodyText"/>
      </w:pPr>
      <w:r>
        <w:t xml:space="preserve">Seule ESSENCE est une étude de phase 3 ; sa deuxième partie, sur 240 semaines, doit montrer si le traitement prévient aussi la cirrhose, l’insuffisance hépatique et les décès. Pour le survodutide, les études de phase 3 LIVERAGE</w:t>
      </w:r>
      <w:r>
        <w:rPr>
          <w:rStyle w:val="FootnoteReference"/>
        </w:rPr>
        <w:footnoteReference w:id="2562"/>
      </w:r>
      <w:r>
        <w:t xml:space="preserve"> </w:t>
      </w:r>
      <w:r>
        <w:t xml:space="preserve">et LIVERAGE-Cirrhosis</w:t>
      </w:r>
      <w:r>
        <w:rPr>
          <w:rStyle w:val="FootnoteReference"/>
        </w:rPr>
        <w:footnoteReference w:id="2563"/>
      </w:r>
      <w:r>
        <w:t xml:space="preserve"> </w:t>
      </w:r>
      <w:r>
        <w:t xml:space="preserve">sont en cours. Les pourcentages plus élevés des études de phase 2 ne sont pas directement comparables à ESSENCE en raison de la petite taille des groupes et de la durée plus courte.</w:t>
      </w:r>
    </w:p>
    <w:bookmarkEnd w:id="2564"/>
    <w:bookmarkStart w:id="2575" w:name="effets-indésirables-et-taux-darrêt"/>
    <w:p>
      <w:pPr>
        <w:pStyle w:val="Heading3"/>
      </w:pPr>
      <w:r>
        <w:t xml:space="preserve">Effets indésirables et taux d’arrêt</w:t>
      </w:r>
    </w:p>
    <w:p>
      <w:pPr>
        <w:pStyle w:val="FirstParagraph"/>
      </w:pPr>
      <w:r>
        <w:t xml:space="preserve">Le profil d’effets indésirables est similaire dans toute la classe : nausées, diarrhée, vomissements et constipation, surtout pendant l’augmentation progressive de la dose, généralement légers à modérés et transitoires. Ils sont la cause la plus fréquente d’arrêt du traitement. Les taux dépendent fortement de la dose et du rythme de la titration et ne sont que grossièrement comparables d’une étude à l’autre.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Étude</w:t>
            </w:r>
          </w:p>
        </w:tc>
        <w:tc>
          <w:tcPr/>
          <w:p>
            <w:pPr>
              <w:pStyle w:val="Compact"/>
              <w:jc w:val="left"/>
            </w:pPr>
            <w:r>
              <w:t xml:space="preserve">Troubles gastro-intestinaux</w:t>
            </w:r>
          </w:p>
        </w:tc>
        <w:tc>
          <w:tcPr/>
          <w:p>
            <w:pPr>
              <w:pStyle w:val="Compact"/>
              <w:jc w:val="left"/>
            </w:pPr>
            <w:r>
              <w:t xml:space="preserve">Arrêt pour effets indésirables</w:t>
            </w:r>
          </w:p>
        </w:tc>
      </w:tr>
      <w:tr>
        <w:tc>
          <w:tcPr/>
          <w:p>
            <w:pPr>
              <w:pStyle w:val="Compact"/>
              <w:jc w:val="left"/>
            </w:pPr>
            <w:r>
              <w:t xml:space="preserve">Exénatide deux fois par jour</w:t>
            </w:r>
          </w:p>
        </w:tc>
        <w:tc>
          <w:tcPr/>
          <w:p>
            <w:pPr>
              <w:pStyle w:val="Compact"/>
              <w:jc w:val="left"/>
            </w:pPr>
            <w:r>
              <w:t xml:space="preserve">Heine 2005, PMID 16230722</w:t>
            </w:r>
          </w:p>
        </w:tc>
        <w:tc>
          <w:tcPr/>
          <w:p>
            <w:pPr>
              <w:pStyle w:val="Compact"/>
              <w:jc w:val="left"/>
            </w:pPr>
            <w:r>
              <w:t xml:space="preserve">nausées 57,1 %</w:t>
            </w:r>
          </w:p>
        </w:tc>
        <w:tc>
          <w:tcPr/>
          <w:p>
            <w:pPr>
              <w:pStyle w:val="Compact"/>
              <w:jc w:val="left"/>
            </w:pPr>
            <w:r>
              <w:t xml:space="preserve">non indiqué dans le résumé</w:t>
            </w:r>
          </w:p>
        </w:tc>
      </w:tr>
      <w:tr>
        <w:tc>
          <w:tcPr/>
          <w:p>
            <w:pPr>
              <w:pStyle w:val="Compact"/>
              <w:jc w:val="left"/>
            </w:pPr>
            <w:r>
              <w:t xml:space="preserve">Dulaglutide</w:t>
            </w:r>
          </w:p>
        </w:tc>
        <w:tc>
          <w:tcPr/>
          <w:p>
            <w:pPr>
              <w:pStyle w:val="Compact"/>
              <w:jc w:val="left"/>
            </w:pPr>
            <w:r>
              <w:t xml:space="preserve">REWIND (Gerstein 2019), PMID 31189511</w:t>
            </w:r>
          </w:p>
        </w:tc>
        <w:tc>
          <w:tcPr/>
          <w:p>
            <w:pPr>
              <w:pStyle w:val="Compact"/>
              <w:jc w:val="left"/>
            </w:pPr>
            <w:r>
              <w:t xml:space="preserve">47,4 % vs 34,1 %</w:t>
            </w:r>
          </w:p>
        </w:tc>
        <w:tc>
          <w:tcPr/>
          <w:p>
            <w:pPr>
              <w:pStyle w:val="Compact"/>
              <w:jc w:val="left"/>
            </w:pPr>
            <w:r>
              <w:t xml:space="preserve">non indiqué dans le résumé</w:t>
            </w:r>
          </w:p>
        </w:tc>
      </w:tr>
      <w:tr>
        <w:tc>
          <w:tcPr/>
          <w:p>
            <w:pPr>
              <w:pStyle w:val="Compact"/>
              <w:jc w:val="left"/>
            </w:pPr>
            <w:r>
              <w:t xml:space="preserve">Sémaglutide 2,4 mg</w:t>
            </w:r>
          </w:p>
        </w:tc>
        <w:tc>
          <w:tcPr/>
          <w:p>
            <w:pPr>
              <w:pStyle w:val="Compact"/>
              <w:jc w:val="left"/>
            </w:pPr>
            <w:r>
              <w:t xml:space="preserve">STEP 1 (Wilding 2021), PMID 33567185</w:t>
            </w:r>
          </w:p>
        </w:tc>
        <w:tc>
          <w:tcPr/>
          <w:p>
            <w:pPr>
              <w:pStyle w:val="Compact"/>
              <w:jc w:val="left"/>
            </w:pPr>
            <w:r>
              <w:t xml:space="preserve">surtout nausées et diarrhée</w:t>
            </w:r>
          </w:p>
        </w:tc>
        <w:tc>
          <w:tcPr/>
          <w:p>
            <w:pPr>
              <w:pStyle w:val="Compact"/>
              <w:jc w:val="left"/>
            </w:pPr>
            <w:r>
              <w:t xml:space="preserve">pour troubles gastro-intestinaux 4,5 % vs 0,8 %</w:t>
            </w:r>
          </w:p>
        </w:tc>
      </w:tr>
      <w:tr>
        <w:tc>
          <w:tcPr/>
          <w:p>
            <w:pPr>
              <w:pStyle w:val="Compact"/>
              <w:jc w:val="left"/>
            </w:pPr>
            <w:r>
              <w:t xml:space="preserve">Sémaglutide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 vs 8,2 % (sur un peu plus de trois ans)</w:t>
            </w:r>
          </w:p>
        </w:tc>
      </w:tr>
      <w:tr>
        <w:tc>
          <w:tcPr/>
          <w:p>
            <w:pPr>
              <w:pStyle w:val="Compact"/>
              <w:jc w:val="left"/>
            </w:pPr>
            <w:r>
              <w:t xml:space="preserve">Tirzépatide</w:t>
            </w:r>
          </w:p>
        </w:tc>
        <w:tc>
          <w:tcPr/>
          <w:p>
            <w:pPr>
              <w:pStyle w:val="Compact"/>
              <w:jc w:val="left"/>
            </w:pPr>
            <w:r>
              <w:t xml:space="preserve">SURMOUNT-1 (Jastreboff 2022), PMID 35658024</w:t>
            </w:r>
          </w:p>
        </w:tc>
        <w:tc>
          <w:tcPr/>
          <w:p>
            <w:pPr>
              <w:pStyle w:val="Compact"/>
              <w:jc w:val="left"/>
            </w:pPr>
            <w:r>
              <w:t xml:space="preserve">les plus fréquents, surtout pendant la titration</w:t>
            </w:r>
          </w:p>
        </w:tc>
        <w:tc>
          <w:tcPr/>
          <w:p>
            <w:pPr>
              <w:pStyle w:val="Compact"/>
              <w:jc w:val="left"/>
            </w:pPr>
            <w:r>
              <w:t xml:space="preserve">4,3–7,1 % vs 2,6 %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 vs 39,9 %</w:t>
            </w:r>
          </w:p>
        </w:tc>
        <w:tc>
          <w:tcPr/>
          <w:p>
            <w:pPr>
              <w:pStyle w:val="Compact"/>
              <w:jc w:val="left"/>
            </w:pPr>
            <w:r>
              <w:t xml:space="preserve">non indiqué dans le résumé</w:t>
            </w:r>
          </w:p>
        </w:tc>
      </w:tr>
      <w:tr>
        <w:tc>
          <w:tcPr/>
          <w:p>
            <w:pPr>
              <w:pStyle w:val="Compact"/>
              <w:jc w:val="left"/>
            </w:pPr>
            <w:r>
              <w:t xml:space="preserve">Rétatrutide</w:t>
            </w:r>
          </w:p>
        </w:tc>
        <w:tc>
          <w:tcPr/>
          <w:p>
            <w:pPr>
              <w:pStyle w:val="Compact"/>
              <w:jc w:val="left"/>
            </w:pPr>
            <w:r>
              <w:t xml:space="preserve">TRIUMPH-2 (Bellido 2026), PMID 42810372</w:t>
            </w:r>
          </w:p>
        </w:tc>
        <w:tc>
          <w:tcPr/>
          <w:p>
            <w:pPr>
              <w:pStyle w:val="Compact"/>
              <w:jc w:val="left"/>
            </w:pPr>
            <w:r>
              <w:t xml:space="preserve">diarrhée 27–34 %, nausées 14–28 % (placebo 13 % et 8 %)</w:t>
            </w:r>
          </w:p>
        </w:tc>
        <w:tc>
          <w:tcPr/>
          <w:p>
            <w:pPr>
              <w:pStyle w:val="Compact"/>
              <w:jc w:val="left"/>
            </w:pPr>
            <w:r>
              <w:t xml:space="preserve">4–12 % vs 5 % (décès inclus)</w:t>
            </w:r>
          </w:p>
        </w:tc>
      </w:tr>
      <w:tr>
        <w:tc>
          <w:tcPr/>
          <w:p>
            <w:pPr>
              <w:pStyle w:val="Compact"/>
              <w:jc w:val="left"/>
            </w:pPr>
            <w:r>
              <w:t xml:space="preserve">Survodutide</w:t>
            </w:r>
          </w:p>
        </w:tc>
        <w:tc>
          <w:tcPr/>
          <w:p>
            <w:pPr>
              <w:pStyle w:val="Compact"/>
              <w:jc w:val="left"/>
            </w:pPr>
            <w:r>
              <w:t xml:space="preserve">SYNCHRONIZE-1 (le Roux 2026), PMID 42253238</w:t>
            </w:r>
          </w:p>
        </w:tc>
        <w:tc>
          <w:tcPr/>
          <w:p>
            <w:pPr>
              <w:pStyle w:val="Compact"/>
              <w:jc w:val="left"/>
            </w:pPr>
            <w:r>
              <w:t xml:space="preserve">80,9 / 89,7 % vs 47,9 %</w:t>
            </w:r>
          </w:p>
        </w:tc>
        <w:tc>
          <w:tcPr/>
          <w:p>
            <w:pPr>
              <w:pStyle w:val="Compact"/>
              <w:jc w:val="left"/>
            </w:pPr>
            <w:r>
              <w:t xml:space="preserve">non indiqué dans le résumé</w:t>
            </w:r>
          </w:p>
        </w:tc>
      </w:tr>
      <w:tr>
        <w:tc>
          <w:tcPr/>
          <w:p>
            <w:pPr>
              <w:pStyle w:val="Compact"/>
              <w:jc w:val="left"/>
            </w:pPr>
            <w:r>
              <w:t xml:space="preserve">Mazdutide</w:t>
            </w:r>
          </w:p>
        </w:tc>
        <w:tc>
          <w:tcPr/>
          <w:p>
            <w:pPr>
              <w:pStyle w:val="Compact"/>
              <w:jc w:val="left"/>
            </w:pPr>
            <w:r>
              <w:t xml:space="preserve">GLORY-1 (Ji 2025), PMID 40421736</w:t>
            </w:r>
          </w:p>
        </w:tc>
        <w:tc>
          <w:tcPr/>
          <w:p>
            <w:pPr>
              <w:pStyle w:val="Compact"/>
              <w:jc w:val="left"/>
            </w:pPr>
            <w:r>
              <w:t xml:space="preserve">effet indésirable le plus fréquent</w:t>
            </w:r>
          </w:p>
        </w:tc>
        <w:tc>
          <w:tcPr/>
          <w:p>
            <w:pPr>
              <w:pStyle w:val="Compact"/>
              <w:jc w:val="left"/>
            </w:pPr>
            <w:r>
              <w:t xml:space="preserve">0,5–1,5 % vs 1,0 %</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effet indésirable le plus fréquent</w:t>
            </w:r>
          </w:p>
        </w:tc>
        <w:tc>
          <w:tcPr/>
          <w:p>
            <w:pPr>
              <w:pStyle w:val="Compact"/>
              <w:jc w:val="left"/>
            </w:pPr>
            <w:r>
              <w:t xml:space="preserve">5,3–10,3 % vs 2,7 %</w:t>
            </w:r>
          </w:p>
        </w:tc>
      </w:tr>
    </w:tbl>
    <w:p>
      <w:pPr>
        <w:pStyle w:val="BodyText"/>
      </w:pPr>
      <w:r>
        <w:t xml:space="preserve">Quelques observations :</w:t>
      </w:r>
    </w:p>
    <w:p>
      <w:pPr>
        <w:numPr>
          <w:ilvl w:val="0"/>
          <w:numId w:val="1327"/>
        </w:numPr>
        <w:pStyle w:val="Compact"/>
      </w:pPr>
      <w:r>
        <w:rPr>
          <w:bCs/>
          <w:b/>
        </w:rPr>
        <w:t xml:space="preserve">Les préparations hebdomadaires sont généralement mieux tolérées que les formes plus anciennes.</w:t>
      </w:r>
      <w:r>
        <w:t xml:space="preserve"> </w:t>
      </w:r>
      <w:r>
        <w:t xml:space="preserve">Dans DURATION-6, 9 % des personnes sous exénatide hebdomadaire ont eu des nausées, contre 21 % sous liraglutide quotidien</w:t>
      </w:r>
      <w:r>
        <w:rPr>
          <w:rStyle w:val="FootnoteReference"/>
        </w:rPr>
        <w:footnoteReference w:id="2565"/>
      </w:r>
      <w:r>
        <w:t xml:space="preserve">. Dans STEP 8, 27,6 % ont arrêté prématurément le traitement par liraglutide, quelle qu’en soit la raison, contre 13,5 % sous sémaglutide ; les troubles gastro-intestinaux étaient aussi fréquents dans les deux groupes (82,7 % vs 84,1 %)</w:t>
      </w:r>
      <w:r>
        <w:rPr>
          <w:rStyle w:val="FootnoteReference"/>
        </w:rPr>
        <w:footnoteReference w:id="2566"/>
      </w:r>
      <w:r>
        <w:t xml:space="preserve">.</w:t>
      </w:r>
    </w:p>
    <w:p>
      <w:pPr>
        <w:numPr>
          <w:ilvl w:val="0"/>
          <w:numId w:val="1327"/>
        </w:numPr>
        <w:pStyle w:val="Compact"/>
      </w:pPr>
      <w:r>
        <w:rPr>
          <w:bCs/>
          <w:b/>
        </w:rPr>
        <w:t xml:space="preserve">Une efficacité plus élevée ne s’accompagne pas forcément de davantage de troubles.</w:t>
      </w:r>
      <w:r>
        <w:t xml:space="preserve"> </w:t>
      </w:r>
      <w:r>
        <w:t xml:space="preserve">Dans SURPASS-2, les nausées (17–22 % vs 18 %) et les vomissements (6–10 % vs 8 %) étaient aussi fréquents sous tirzépatide que sous sémaglutide ; des événements indésirables graves sont survenus chez 5–7 % des personnes sous tirzépatide contre 3 %</w:t>
      </w:r>
      <w:r>
        <w:rPr>
          <w:rStyle w:val="FootnoteReference"/>
        </w:rPr>
        <w:footnoteReference w:id="2567"/>
      </w:r>
      <w:r>
        <w:t xml:space="preserve">. Dans REDEFINE 5, 53 % des personnes sous CagriSema et 51 % sous sémaglutide ont eu des troubles gastro-intestinaux</w:t>
      </w:r>
      <w:r>
        <w:rPr>
          <w:rStyle w:val="FootnoteReference"/>
        </w:rPr>
        <w:footnoteReference w:id="2568"/>
      </w:r>
      <w:r>
        <w:t xml:space="preserve">.</w:t>
      </w:r>
    </w:p>
    <w:p>
      <w:pPr>
        <w:numPr>
          <w:ilvl w:val="0"/>
          <w:numId w:val="1327"/>
        </w:numPr>
        <w:pStyle w:val="Compact"/>
      </w:pPr>
      <w:r>
        <w:rPr>
          <w:bCs/>
          <w:b/>
        </w:rPr>
        <w:t xml:space="preserve">Avec les agonistes multiples, les arrêts augmentent aux doses élevées.</w:t>
      </w:r>
      <w:r>
        <w:t xml:space="preserve"> </w:t>
      </w:r>
      <w:r>
        <w:t xml:space="preserve">Sous rétatrutide sont en outre apparues des sensations cutanées anormales (dysesthésie) chez 4–7 % des participants contre 1 % sous placebo – un signal nouveau pour cette classe. Dans une étude américaine de phase 2 sur le mazdutide, 20 % des participants ont arrêté pour effets indésirables à la dose la plus élevée</w:t>
      </w:r>
      <w:r>
        <w:rPr>
          <w:rStyle w:val="FootnoteReference"/>
        </w:rPr>
        <w:footnoteReference w:id="2569"/>
      </w:r>
      <w:r>
        <w:t xml:space="preserve">.</w:t>
      </w:r>
    </w:p>
    <w:p>
      <w:pPr>
        <w:numPr>
          <w:ilvl w:val="0"/>
          <w:numId w:val="1327"/>
        </w:numPr>
        <w:pStyle w:val="Compact"/>
      </w:pPr>
      <w:r>
        <w:rPr>
          <w:bCs/>
          <w:b/>
        </w:rPr>
        <w:t xml:space="preserve">Les études à long terme montrent des taux d’arrêt plus élevés que les études courtes.</w:t>
      </w:r>
      <w:r>
        <w:t xml:space="preserve"> </w:t>
      </w:r>
      <w:r>
        <w:t xml:space="preserve">Les 16,6 % de SELECT sur plus de trois ans sont un repère plus réaliste pour un traitement au long cours que les valeurs des études d’autorisation de 68 ou 72 semaines.</w:t>
      </w:r>
    </w:p>
    <w:p>
      <w:pPr>
        <w:pStyle w:val="FirstParagraph"/>
      </w:pPr>
      <w:r>
        <w:rPr>
          <w:bCs/>
          <w:b/>
        </w:rPr>
        <w:t xml:space="preserve">Risques de classe qui concernent toutes les substances :</w:t>
      </w:r>
    </w:p>
    <w:p>
      <w:pPr>
        <w:numPr>
          <w:ilvl w:val="0"/>
          <w:numId w:val="1328"/>
        </w:numPr>
        <w:pStyle w:val="Compact"/>
      </w:pPr>
      <w:r>
        <w:rPr>
          <w:bCs/>
          <w:b/>
        </w:rPr>
        <w:t xml:space="preserve">Vésicule biliaire :</w:t>
      </w:r>
      <w:r>
        <w:t xml:space="preserve"> </w:t>
      </w:r>
      <w:r>
        <w:t xml:space="preserve">une méta-analyse de 76 études randomisées totalisant 103 371 participants a mis en évidence un risque accru de 37 % de maladies de la vésicule et des voies biliaires, et un risque plus que doublé dans les études sur la perte de poids (risque relatif 2,29 ; He 2022, PMID 35344001).</w:t>
      </w:r>
    </w:p>
    <w:p>
      <w:pPr>
        <w:numPr>
          <w:ilvl w:val="0"/>
          <w:numId w:val="1328"/>
        </w:numPr>
        <w:pStyle w:val="Compact"/>
      </w:pPr>
      <w:r>
        <w:rPr>
          <w:bCs/>
          <w:b/>
        </w:rPr>
        <w:t xml:space="preserve">Pancréas :</w:t>
      </w:r>
      <w:r>
        <w:t xml:space="preserve"> </w:t>
      </w:r>
      <w:r>
        <w:t xml:space="preserve">dans la méta-analyse des études de critères cliniques, pas de risque accru de pancréatite ou de cancer du pancréas</w:t>
      </w:r>
      <w:r>
        <w:rPr>
          <w:rStyle w:val="FootnoteReference"/>
        </w:rPr>
        <w:footnoteReference w:id="2570"/>
      </w:r>
      <w:r>
        <w:t xml:space="preserve"> </w:t>
      </w:r>
      <w:r>
        <w:t xml:space="preserve">; dans des données d’assurance, un signal lors de l’utilisation pour la perte de poids</w:t>
      </w:r>
      <w:r>
        <w:rPr>
          <w:rStyle w:val="FootnoteReference"/>
        </w:rPr>
        <w:footnoteReference w:id="2571"/>
      </w:r>
      <w:r>
        <w:t xml:space="preserve">.</w:t>
      </w:r>
    </w:p>
    <w:p>
      <w:pPr>
        <w:numPr>
          <w:ilvl w:val="0"/>
          <w:numId w:val="1328"/>
        </w:numPr>
        <w:pStyle w:val="Compact"/>
      </w:pPr>
      <w:r>
        <w:rPr>
          <w:bCs/>
          <w:b/>
        </w:rPr>
        <w:t xml:space="preserve">Thyroïde :</w:t>
      </w:r>
      <w:r>
        <w:t xml:space="preserve"> </w:t>
      </w:r>
      <w:r>
        <w:t xml:space="preserve">tumeurs à cellules C chez les rongeurs ; chez l’humain, un signal dans des méta-analyses et des études observationnelles</w:t>
      </w:r>
      <w:r>
        <w:rPr>
          <w:rStyle w:val="FootnoteReference"/>
        </w:rPr>
        <w:footnoteReference w:id="2572"/>
      </w:r>
      <w:r>
        <w:t xml:space="preserve">, dont la portée est controversée.</w:t>
      </w:r>
    </w:p>
    <w:p>
      <w:pPr>
        <w:numPr>
          <w:ilvl w:val="0"/>
          <w:numId w:val="1328"/>
        </w:numPr>
        <w:pStyle w:val="Compact"/>
      </w:pPr>
      <w:r>
        <w:rPr>
          <w:bCs/>
          <w:b/>
        </w:rPr>
        <w:t xml:space="preserve">Yeux :</w:t>
      </w:r>
      <w:r>
        <w:t xml:space="preserve"> </w:t>
      </w:r>
      <w:r>
        <w:t xml:space="preserve">aggravation d’une rétinopathie diabétique préexistante dans SUSTAIN 6 (HR 1,76 ; Marso 2016, PMID 27633186) ; signal rare de trouble circulatoire du nerf optique (NAION) dans des études observationnelles</w:t>
      </w:r>
      <w:r>
        <w:rPr>
          <w:rStyle w:val="FootnoteReference"/>
        </w:rPr>
        <w:footnoteReference w:id="2573"/>
      </w:r>
      <w:r>
        <w:t xml:space="preserve">.</w:t>
      </w:r>
    </w:p>
    <w:p>
      <w:pPr>
        <w:numPr>
          <w:ilvl w:val="0"/>
          <w:numId w:val="1328"/>
        </w:numPr>
        <w:pStyle w:val="Compact"/>
      </w:pPr>
      <w:r>
        <w:rPr>
          <w:bCs/>
          <w:b/>
        </w:rPr>
        <w:t xml:space="preserve">Masse musculaire :</w:t>
      </w:r>
      <w:r>
        <w:t xml:space="preserve"> </w:t>
      </w:r>
      <w:r>
        <w:t xml:space="preserve">environ un quart du poids perdu est de la masse maigre, dans la même proportion que lors d’autres pertes de poids</w:t>
      </w:r>
      <w:r>
        <w:rPr>
          <w:rStyle w:val="FootnoteReference"/>
        </w:rPr>
        <w:footnoteReference w:id="2574"/>
      </w:r>
      <w:r>
        <w:t xml:space="preserve">.</w:t>
      </w:r>
    </w:p>
    <w:bookmarkEnd w:id="2575"/>
    <w:bookmarkStart w:id="2578" w:name="études-de-comparaison-directe"/>
    <w:p>
      <w:pPr>
        <w:pStyle w:val="Heading3"/>
      </w:pPr>
      <w:r>
        <w:t xml:space="preserve">Études de comparaison directe</w:t>
      </w:r>
    </w:p>
    <w:p>
      <w:pPr>
        <w:pStyle w:val="FirstParagraph"/>
      </w:pPr>
      <w:r>
        <w:t xml:space="preserve">Le tableau suivant regroupe des études randomisées dans lesquelles deux substances de la classe ont été directement opposées. Ce n’est qu’ici que les différences entre substances sont établies de manière méthodologiquement rigoureuse. Beaucoup de ces études étaient ouvertes (non en aveugle) et financées par le fabricant de la substance la plus récente, et la dose maximale autorisée du comparateur n’a pas toujours été utilisée.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Comparaison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SURMOUNT-5 (Aronne 2025), PMID 40353578</w:t>
            </w:r>
          </w:p>
        </w:tc>
        <w:tc>
          <w:tcPr/>
          <w:p>
            <w:pPr>
              <w:pStyle w:val="Compact"/>
              <w:jc w:val="left"/>
            </w:pPr>
            <w:r>
              <w:t xml:space="preserve">Tirzépatide vs sémaglutide 2,4 mg, obésité, ouverte</w:t>
            </w:r>
          </w:p>
        </w:tc>
        <w:tc>
          <w:tcPr/>
          <w:p>
            <w:pPr>
              <w:pStyle w:val="Compact"/>
              <w:jc w:val="left"/>
            </w:pPr>
            <w:r>
              <w:t xml:space="preserve">72 semaines</w:t>
            </w:r>
          </w:p>
        </w:tc>
        <w:tc>
          <w:tcPr/>
          <w:p>
            <w:pPr>
              <w:pStyle w:val="Compact"/>
              <w:jc w:val="left"/>
            </w:pPr>
            <w:r>
              <w:t xml:space="preserve">poids −20,2 % vs −13,7 %</w:t>
            </w:r>
          </w:p>
        </w:tc>
      </w:tr>
      <w:tr>
        <w:tc>
          <w:tcPr/>
          <w:p>
            <w:pPr>
              <w:pStyle w:val="Compact"/>
              <w:jc w:val="left"/>
            </w:pPr>
            <w:r>
              <w:t xml:space="preserve">STEP 8 (Rubino 2022), PMID 35015037</w:t>
            </w:r>
          </w:p>
        </w:tc>
        <w:tc>
          <w:tcPr/>
          <w:p>
            <w:pPr>
              <w:pStyle w:val="Compact"/>
              <w:jc w:val="left"/>
            </w:pPr>
            <w:r>
              <w:t xml:space="preserve">Sémaglutide 2,4 mg vs liraglutide 3,0 mg, obésité</w:t>
            </w:r>
          </w:p>
        </w:tc>
        <w:tc>
          <w:tcPr/>
          <w:p>
            <w:pPr>
              <w:pStyle w:val="Compact"/>
              <w:jc w:val="left"/>
            </w:pPr>
            <w:r>
              <w:t xml:space="preserve">68 semaines</w:t>
            </w:r>
          </w:p>
        </w:tc>
        <w:tc>
          <w:tcPr/>
          <w:p>
            <w:pPr>
              <w:pStyle w:val="Compact"/>
              <w:jc w:val="left"/>
            </w:pPr>
            <w:r>
              <w:t xml:space="preserve">poids −15,8 % vs −6,4 %</w:t>
            </w:r>
          </w:p>
        </w:tc>
      </w:tr>
      <w:tr>
        <w:tc>
          <w:tcPr/>
          <w:p>
            <w:pPr>
              <w:pStyle w:val="Compact"/>
              <w:jc w:val="left"/>
            </w:pPr>
            <w:r>
              <w:t xml:space="preserve">REDEFINE 5 (Yamauchi 2026), PMID 42009015</w:t>
            </w:r>
          </w:p>
        </w:tc>
        <w:tc>
          <w:tcPr/>
          <w:p>
            <w:pPr>
              <w:pStyle w:val="Compact"/>
              <w:jc w:val="left"/>
            </w:pPr>
            <w:r>
              <w:t xml:space="preserve">CagriSema vs sémaglutide 2,4 mg, Japon et Taïwan, en aveugle</w:t>
            </w:r>
          </w:p>
        </w:tc>
        <w:tc>
          <w:tcPr/>
          <w:p>
            <w:pPr>
              <w:pStyle w:val="Compact"/>
              <w:jc w:val="left"/>
            </w:pPr>
            <w:r>
              <w:t xml:space="preserve">68 semaines</w:t>
            </w:r>
          </w:p>
        </w:tc>
        <w:tc>
          <w:tcPr/>
          <w:p>
            <w:pPr>
              <w:pStyle w:val="Compact"/>
              <w:jc w:val="left"/>
            </w:pPr>
            <w:r>
              <w:t xml:space="preserve">poids −18,4 % vs −11,9 %</w:t>
            </w:r>
          </w:p>
        </w:tc>
      </w:tr>
      <w:tr>
        <w:tc>
          <w:tcPr/>
          <w:p>
            <w:pPr>
              <w:pStyle w:val="Compact"/>
              <w:jc w:val="left"/>
            </w:pPr>
            <w:r>
              <w:t xml:space="preserve">SURPASS-2 (Frías 2021), PMID 34170647</w:t>
            </w:r>
          </w:p>
        </w:tc>
        <w:tc>
          <w:tcPr/>
          <w:p>
            <w:pPr>
              <w:pStyle w:val="Compact"/>
              <w:jc w:val="left"/>
            </w:pPr>
            <w:r>
              <w:t xml:space="preserve">Tirzépatide vs sémaglutide 1 mg, diabète de type 2, ouverte</w:t>
            </w:r>
          </w:p>
        </w:tc>
        <w:tc>
          <w:tcPr/>
          <w:p>
            <w:pPr>
              <w:pStyle w:val="Compact"/>
              <w:jc w:val="left"/>
            </w:pPr>
            <w:r>
              <w:t xml:space="preserve">40 semaines</w:t>
            </w:r>
          </w:p>
        </w:tc>
        <w:tc>
          <w:tcPr/>
          <w:p>
            <w:pPr>
              <w:pStyle w:val="Compact"/>
              <w:jc w:val="left"/>
            </w:pPr>
            <w:r>
              <w:t xml:space="preserve">HbA1c −2,01 à −2,30 vs −1,86 ; poids −1,9 à −5,5 kg supplémentaires</w:t>
            </w:r>
          </w:p>
        </w:tc>
      </w:tr>
      <w:tr>
        <w:tc>
          <w:tcPr/>
          <w:p>
            <w:pPr>
              <w:pStyle w:val="Compact"/>
              <w:jc w:val="left"/>
            </w:pPr>
            <w:r>
              <w:t xml:space="preserve">REIMAGINE 2 (Buse 2026), PMID 42251859</w:t>
            </w:r>
          </w:p>
        </w:tc>
        <w:tc>
          <w:tcPr/>
          <w:p>
            <w:pPr>
              <w:pStyle w:val="Compact"/>
              <w:jc w:val="left"/>
            </w:pPr>
            <w:r>
              <w:t xml:space="preserve">CagriSema vs sémaglutide 2,4 mg, diabète de type 2</w:t>
            </w:r>
          </w:p>
        </w:tc>
        <w:tc>
          <w:tcPr/>
          <w:p>
            <w:pPr>
              <w:pStyle w:val="Compact"/>
              <w:jc w:val="left"/>
            </w:pPr>
            <w:r>
              <w:t xml:space="preserve">68 semaines</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sémaglutide en comprimé, ouverte</w:t>
            </w:r>
          </w:p>
        </w:tc>
        <w:tc>
          <w:tcPr/>
          <w:p>
            <w:pPr>
              <w:pStyle w:val="Compact"/>
              <w:jc w:val="left"/>
            </w:pPr>
            <w:r>
              <w:t xml:space="preserve">52 semaines</w:t>
            </w:r>
          </w:p>
        </w:tc>
        <w:tc>
          <w:tcPr/>
          <w:p>
            <w:pPr>
              <w:pStyle w:val="Compact"/>
              <w:jc w:val="left"/>
            </w:pPr>
            <w:r>
              <w:t xml:space="preserve">HbA1c −1,91 vs −1,47 (dose la plus élevée dans chaque cas)</w:t>
            </w:r>
          </w:p>
        </w:tc>
      </w:tr>
      <w:tr>
        <w:tc>
          <w:tcPr/>
          <w:p>
            <w:pPr>
              <w:pStyle w:val="Compact"/>
              <w:jc w:val="left"/>
            </w:pPr>
            <w:r>
              <w:t xml:space="preserve">SUSTAIN 7 (Pratley 2018), PMID 29397376</w:t>
            </w:r>
          </w:p>
        </w:tc>
        <w:tc>
          <w:tcPr/>
          <w:p>
            <w:pPr>
              <w:pStyle w:val="Compact"/>
              <w:jc w:val="left"/>
            </w:pPr>
            <w:r>
              <w:t xml:space="preserve">Sémaglutide vs dulaglutide</w:t>
            </w:r>
          </w:p>
        </w:tc>
        <w:tc>
          <w:tcPr/>
          <w:p>
            <w:pPr>
              <w:pStyle w:val="Compact"/>
              <w:jc w:val="left"/>
            </w:pPr>
            <w:r>
              <w:t xml:space="preserve">40 semaines</w:t>
            </w:r>
          </w:p>
        </w:tc>
        <w:tc>
          <w:tcPr/>
          <w:p>
            <w:pPr>
              <w:pStyle w:val="Compact"/>
              <w:jc w:val="left"/>
            </w:pPr>
            <w:r>
              <w:t xml:space="preserve">HbA1c −1,8 vs −1,4 ; poids −6,5 vs −3,0 kg</w:t>
            </w:r>
          </w:p>
        </w:tc>
      </w:tr>
      <w:tr>
        <w:tc>
          <w:tcPr/>
          <w:p>
            <w:pPr>
              <w:pStyle w:val="Compact"/>
              <w:jc w:val="left"/>
            </w:pPr>
            <w:r>
              <w:t xml:space="preserve">SUSTAIN 10 (Capehorn 2020), PMID 31539622</w:t>
            </w:r>
          </w:p>
        </w:tc>
        <w:tc>
          <w:tcPr/>
          <w:p>
            <w:pPr>
              <w:pStyle w:val="Compact"/>
              <w:jc w:val="left"/>
            </w:pPr>
            <w:r>
              <w:t xml:space="preserve">Sémaglutide 1,0 mg vs liraglutide 1,2 mg</w:t>
            </w:r>
          </w:p>
        </w:tc>
        <w:tc>
          <w:tcPr/>
          <w:p>
            <w:pPr>
              <w:pStyle w:val="Compact"/>
              <w:jc w:val="left"/>
            </w:pPr>
            <w:r>
              <w:t xml:space="preserve">30 semaines</w:t>
            </w:r>
          </w:p>
        </w:tc>
        <w:tc>
          <w:tcPr/>
          <w:p>
            <w:pPr>
              <w:pStyle w:val="Compact"/>
              <w:jc w:val="left"/>
            </w:pPr>
            <w:r>
              <w:t xml:space="preserve">HbA1c −1,7 vs −1,0 ; poids −5,8 vs −1,9 kg</w:t>
            </w:r>
          </w:p>
        </w:tc>
      </w:tr>
      <w:tr>
        <w:tc>
          <w:tcPr/>
          <w:p>
            <w:pPr>
              <w:pStyle w:val="Compact"/>
              <w:jc w:val="left"/>
            </w:pPr>
            <w:r>
              <w:t xml:space="preserve">SUSTAIN 3 (Ahmann 2018), PMID 29246950</w:t>
            </w:r>
          </w:p>
        </w:tc>
        <w:tc>
          <w:tcPr/>
          <w:p>
            <w:pPr>
              <w:pStyle w:val="Compact"/>
              <w:jc w:val="left"/>
            </w:pPr>
            <w:r>
              <w:t xml:space="preserve">Sémaglutide vs exénatide hebdomadaire, ouverte</w:t>
            </w:r>
          </w:p>
        </w:tc>
        <w:tc>
          <w:tcPr/>
          <w:p>
            <w:pPr>
              <w:pStyle w:val="Compact"/>
              <w:jc w:val="left"/>
            </w:pPr>
            <w:r>
              <w:t xml:space="preserve">56 semaines</w:t>
            </w:r>
          </w:p>
        </w:tc>
        <w:tc>
          <w:tcPr/>
          <w:p>
            <w:pPr>
              <w:pStyle w:val="Compact"/>
              <w:jc w:val="left"/>
            </w:pPr>
            <w:r>
              <w:t xml:space="preserve">HbA1c −1,5 vs −0,9 ; poids −5,6 vs −1,9 kg</w:t>
            </w:r>
          </w:p>
        </w:tc>
      </w:tr>
      <w:tr>
        <w:tc>
          <w:tcPr/>
          <w:p>
            <w:pPr>
              <w:pStyle w:val="Compact"/>
              <w:jc w:val="left"/>
            </w:pPr>
            <w:r>
              <w:t xml:space="preserve">PIONEER 4 (Pratley 2019), PMID 31186120</w:t>
            </w:r>
          </w:p>
        </w:tc>
        <w:tc>
          <w:tcPr/>
          <w:p>
            <w:pPr>
              <w:pStyle w:val="Compact"/>
              <w:jc w:val="left"/>
            </w:pPr>
            <w:r>
              <w:t xml:space="preserve">Sémaglutide en comprimé vs liraglutide injectable</w:t>
            </w:r>
          </w:p>
        </w:tc>
        <w:tc>
          <w:tcPr/>
          <w:p>
            <w:pPr>
              <w:pStyle w:val="Compact"/>
              <w:jc w:val="left"/>
            </w:pPr>
            <w:r>
              <w:t xml:space="preserve">26 semaines (étude 52)</w:t>
            </w:r>
          </w:p>
        </w:tc>
        <w:tc>
          <w:tcPr/>
          <w:p>
            <w:pPr>
              <w:pStyle w:val="Compact"/>
              <w:jc w:val="left"/>
            </w:pPr>
            <w:r>
              <w:t xml:space="preserve">HbA1c −1,2 vs −1,1 (non inférieur)</w:t>
            </w:r>
          </w:p>
        </w:tc>
      </w:tr>
      <w:tr>
        <w:tc>
          <w:tcPr/>
          <w:p>
            <w:pPr>
              <w:pStyle w:val="Compact"/>
              <w:jc w:val="left"/>
            </w:pPr>
            <w:r>
              <w:t xml:space="preserve">AWARD-6 (Dungan 2014), PMID 25018121</w:t>
            </w:r>
          </w:p>
        </w:tc>
        <w:tc>
          <w:tcPr/>
          <w:p>
            <w:pPr>
              <w:pStyle w:val="Compact"/>
              <w:jc w:val="left"/>
            </w:pPr>
            <w:r>
              <w:t xml:space="preserve">Dulaglutide vs liraglutide 1,8 mg, ouverte</w:t>
            </w:r>
          </w:p>
        </w:tc>
        <w:tc>
          <w:tcPr/>
          <w:p>
            <w:pPr>
              <w:pStyle w:val="Compact"/>
              <w:jc w:val="left"/>
            </w:pPr>
            <w:r>
              <w:t xml:space="preserve">26 semaines</w:t>
            </w:r>
          </w:p>
        </w:tc>
        <w:tc>
          <w:tcPr/>
          <w:p>
            <w:pPr>
              <w:pStyle w:val="Compact"/>
              <w:jc w:val="left"/>
            </w:pPr>
            <w:r>
              <w:t xml:space="preserve">HbA1c −1,42 vs −1,36, équivalent</w:t>
            </w:r>
          </w:p>
        </w:tc>
      </w:tr>
      <w:tr>
        <w:tc>
          <w:tcPr/>
          <w:p>
            <w:pPr>
              <w:pStyle w:val="Compact"/>
              <w:jc w:val="left"/>
            </w:pPr>
            <w:r>
              <w:t xml:space="preserve">DURATION-6 (Buse 2013), PMID 23141817</w:t>
            </w:r>
          </w:p>
        </w:tc>
        <w:tc>
          <w:tcPr/>
          <w:p>
            <w:pPr>
              <w:pStyle w:val="Compact"/>
              <w:jc w:val="left"/>
            </w:pPr>
            <w:r>
              <w:t xml:space="preserve">Exénatide hebdomadaire vs liraglutide, ouverte</w:t>
            </w:r>
          </w:p>
        </w:tc>
        <w:tc>
          <w:tcPr/>
          <w:p>
            <w:pPr>
              <w:pStyle w:val="Compact"/>
              <w:jc w:val="left"/>
            </w:pPr>
            <w:r>
              <w:t xml:space="preserve">26 semaines</w:t>
            </w:r>
          </w:p>
        </w:tc>
        <w:tc>
          <w:tcPr/>
          <w:p>
            <w:pPr>
              <w:pStyle w:val="Compact"/>
              <w:jc w:val="left"/>
            </w:pPr>
            <w:r>
              <w:t xml:space="preserve">HbA1c −1,28 vs −1,48 ; non-infériorité manquée</w:t>
            </w:r>
          </w:p>
        </w:tc>
      </w:tr>
      <w:tr>
        <w:tc>
          <w:tcPr/>
          <w:p>
            <w:pPr>
              <w:pStyle w:val="Compact"/>
              <w:jc w:val="left"/>
            </w:pPr>
            <w:r>
              <w:t xml:space="preserve">DREAMS-2 (Guo 2026), PMID 41407860</w:t>
            </w:r>
          </w:p>
        </w:tc>
        <w:tc>
          <w:tcPr/>
          <w:p>
            <w:pPr>
              <w:pStyle w:val="Compact"/>
              <w:jc w:val="left"/>
            </w:pPr>
            <w:r>
              <w:t xml:space="preserve">Mazdutide vs dulaglutide 1,5 mg, Chine</w:t>
            </w:r>
          </w:p>
        </w:tc>
        <w:tc>
          <w:tcPr/>
          <w:p>
            <w:pPr>
              <w:pStyle w:val="Compact"/>
              <w:jc w:val="left"/>
            </w:pPr>
            <w:r>
              <w:t xml:space="preserve">28 semaines</w:t>
            </w:r>
          </w:p>
        </w:tc>
        <w:tc>
          <w:tcPr/>
          <w:p>
            <w:pPr>
              <w:pStyle w:val="Compact"/>
              <w:jc w:val="left"/>
            </w:pPr>
            <w:r>
              <w:t xml:space="preserve">HbA1c −0,24 / −0,30 supplémentaires</w:t>
            </w:r>
          </w:p>
        </w:tc>
      </w:tr>
      <w:tr>
        <w:tc>
          <w:tcPr/>
          <w:p>
            <w:pPr>
              <w:pStyle w:val="Compact"/>
              <w:jc w:val="left"/>
            </w:pPr>
            <w:r>
              <w:t xml:space="preserve">SURPASS-CVOT (Nicholls 2025), PMID 41406444</w:t>
            </w:r>
          </w:p>
        </w:tc>
        <w:tc>
          <w:tcPr/>
          <w:p>
            <w:pPr>
              <w:pStyle w:val="Compact"/>
              <w:jc w:val="left"/>
            </w:pPr>
            <w:r>
              <w:t xml:space="preserve">Tirzépatide vs dulaglutide, événements cardiovasculaires</w:t>
            </w:r>
          </w:p>
        </w:tc>
        <w:tc>
          <w:tcPr/>
          <w:p>
            <w:pPr>
              <w:pStyle w:val="Compact"/>
              <w:jc w:val="left"/>
            </w:pPr>
            <w:r>
              <w:t xml:space="preserve">plusieurs années</w:t>
            </w:r>
          </w:p>
        </w:tc>
        <w:tc>
          <w:tcPr/>
          <w:p>
            <w:pPr>
              <w:pStyle w:val="Compact"/>
              <w:jc w:val="left"/>
            </w:pPr>
            <w:r>
              <w:t xml:space="preserve">HR 0,92, non inférieur</w:t>
            </w:r>
          </w:p>
        </w:tc>
      </w:tr>
    </w:tbl>
    <w:p>
      <w:pPr>
        <w:pStyle w:val="BodyText"/>
      </w:pPr>
      <w:r>
        <w:rPr>
          <w:bCs/>
          <w:b/>
        </w:rPr>
        <w:t xml:space="preserve">Ce que montrent les comparaisons directes :</w:t>
      </w:r>
    </w:p>
    <w:p>
      <w:pPr>
        <w:numPr>
          <w:ilvl w:val="0"/>
          <w:numId w:val="1329"/>
        </w:numPr>
        <w:pStyle w:val="Compact"/>
      </w:pPr>
      <w:r>
        <w:rPr>
          <w:bCs/>
          <w:b/>
        </w:rPr>
        <w:t xml:space="preserve">Pour le poids, le classement est clair.</w:t>
      </w:r>
      <w:r>
        <w:t xml:space="preserve"> </w:t>
      </w:r>
      <w:r>
        <w:t xml:space="preserve">Le sémaglutide 2,4 mg a dépassé le liraglutide 3,0 mg de 9,4 points de pourcentage (STEP 8), le tirzépatide a dépassé le sémaglutide 2,4 mg de 6,5 points de pourcentage (SURMOUNT-5), CagriSema a dépassé le sémaglutide 2,4 mg en Asie de l’Est également de 6,5 points de pourcentage (REDEFINE 5). Dans SURMOUNT-5, davantage de participants sous tirzépatide ont atteint chacun des seuils de 10, 15, 20 et 25 %, et le tour de taille a diminué de 18,4 cm contre 13,0 cm.</w:t>
      </w:r>
    </w:p>
    <w:p>
      <w:pPr>
        <w:numPr>
          <w:ilvl w:val="0"/>
          <w:numId w:val="1329"/>
        </w:numPr>
        <w:pStyle w:val="Compact"/>
      </w:pPr>
      <w:r>
        <w:rPr>
          <w:bCs/>
          <w:b/>
        </w:rPr>
        <w:t xml:space="preserve">Pour la glycémie, les écarts sont plus faibles.</w:t>
      </w:r>
      <w:r>
        <w:t xml:space="preserve"> </w:t>
      </w:r>
      <w:r>
        <w:t xml:space="preserve">Entre les agonistes hebdomadaires du GLP-1, il n’y a le plus souvent que quelques dixièmes de point ; dans SURPASS-2, le tirzépatide a abaissé l’HbA1c de 0,15 à 0,45 point de pourcentage de plus que le sémaglutide 1 mg.</w:t>
      </w:r>
    </w:p>
    <w:p>
      <w:pPr>
        <w:numPr>
          <w:ilvl w:val="0"/>
          <w:numId w:val="1329"/>
        </w:numPr>
        <w:pStyle w:val="Compact"/>
      </w:pPr>
      <w:r>
        <w:rPr>
          <w:bCs/>
          <w:b/>
        </w:rPr>
        <w:t xml:space="preserve">Pour les critères cliniques forts, il n’existe jusqu’à présent qu’une seule comparaison directe.</w:t>
      </w:r>
      <w:r>
        <w:t xml:space="preserve"> </w:t>
      </w:r>
      <w:r>
        <w:t xml:space="preserve">SURPASS-CVOT a montré que le tirzépatide n’est pas inférieur au dulaglutide ; une supériorité n’a pas été démontrée.</w:t>
      </w:r>
    </w:p>
    <w:p>
      <w:pPr>
        <w:numPr>
          <w:ilvl w:val="0"/>
          <w:numId w:val="1329"/>
        </w:numPr>
        <w:pStyle w:val="Compact"/>
      </w:pPr>
      <w:r>
        <w:rPr>
          <w:bCs/>
          <w:b/>
        </w:rPr>
        <w:t xml:space="preserve">Les limites sont considérables.</w:t>
      </w:r>
      <w:r>
        <w:t xml:space="preserve"> </w:t>
      </w:r>
      <w:r>
        <w:t xml:space="preserve">SURMOUNT-5 et SURPASS-2 étaient ouvertes et financées par le fabricant du tirzépatide ; SURPASS-2 n’utilisait le sémaglutide qu’à la dose de 1 mg. REDEFINE 5 a été menée exclusivement au Japon et à Taïwan. Les différences observées dans SURMOUNT-5 sont toutefois si importantes qu’elles ne peuvent guère s’expliquer par ces seules faiblesses.</w:t>
      </w:r>
    </w:p>
    <w:p>
      <w:pPr>
        <w:pStyle w:val="FirstParagraph"/>
      </w:pPr>
      <w:r>
        <w:rPr>
          <w:bCs/>
          <w:b/>
        </w:rPr>
        <w:t xml:space="preserve">Encore attendues (études enregistrées) :</w:t>
      </w:r>
      <w:r>
        <w:t xml:space="preserve"> </w:t>
      </w:r>
      <w:r>
        <w:t xml:space="preserve">la comparaison directe du rétatrutide avec le tirzépatide chez 800 adultes obèses</w:t>
      </w:r>
      <w:r>
        <w:rPr>
          <w:rStyle w:val="FootnoteReference"/>
        </w:rPr>
        <w:footnoteReference w:id="2576"/>
      </w:r>
      <w:r>
        <w:t xml:space="preserve"> </w:t>
      </w:r>
      <w:r>
        <w:t xml:space="preserve">doit s’achever fin 2026. L’étude comparant CagriSema au tirzépatide dans l’obésité (REDEFINE 4, NCT06131437) est terminée selon le registre, mais aucune publication évaluée par des pairs n’était disponible à la date de clôture de la rédaction. Le mazdutide est testé en Chine contre le sémaglutide</w:t>
      </w:r>
      <w:r>
        <w:rPr>
          <w:rStyle w:val="FootnoteReference"/>
        </w:rPr>
        <w:footnoteReference w:id="2577"/>
      </w:r>
      <w:r>
        <w:t xml:space="preserve">.</w:t>
      </w:r>
    </w:p>
    <w:bookmarkEnd w:id="2578"/>
    <w:bookmarkStart w:id="2579" w:name="conclusion-58"/>
    <w:p>
      <w:pPr>
        <w:pStyle w:val="Heading3"/>
      </w:pPr>
      <w:r>
        <w:t xml:space="preserve">Conclusion</w:t>
      </w:r>
    </w:p>
    <w:p>
      <w:pPr>
        <w:pStyle w:val="FirstParagraph"/>
      </w:pPr>
      <w:r>
        <w:t xml:space="preserve">Les médicaments incrétiniques forment une gradation nette : pour la perte de poids, les moyennes des études d’autorisation vont d’environ 8 % (liraglutide) à près de 15 % (sémaglutide 2,4 mg), environ 20 % (tirzépatide, CagriSema) et jusqu’à 25 % (rétatrutide), les comparaisons directes confirmant cet ordre pour les paires comparées jusqu’ici. Pour le cœur et les reins, le bénéfice n’est établi jusqu’à présent dans des études contrôlées contre placebo que pour les anciens agonistes du GLP-1 et le sémaglutide ; la question de savoir si les successeurs plus puissants font mieux reste ouverte. Les effets indésirables sont similaires dans toute la classe et concernent surtout le tube digestif ; les taux d’arrêt augmentent avec la dose et la durée du traitement. Les comparaisons croisées entre études isolées restent une orientation grossière – pour le choix d’un médicament dans un cas particulier, le RCP et le conseil médical font foi.</w:t>
      </w:r>
    </w:p>
    <w:bookmarkEnd w:id="2579"/>
    <w:bookmarkEnd w:id="2580"/>
    <w:bookmarkStart w:id="2603" w:name="promesses-contre-preuves"/>
    <w:p>
      <w:pPr>
        <w:pStyle w:val="Heading2"/>
      </w:pPr>
      <w:r>
        <w:t xml:space="preserve">Promesses contre preuves</w:t>
      </w:r>
    </w:p>
    <w:p>
      <w:pPr>
        <w:pStyle w:val="FirstParagraph"/>
      </w:pPr>
      <w:r>
        <w:t xml:space="preserve">Quiconque cherche des peptides sur Internet tombe rapidement sur des boutiques, des vidéos et des forums où certaines substances sont décrites en termes grandiloquents : elles répareraient les tendons, freineraient le vieillissement, feraient fondre la graisse ou aiguiseraient la mémoire. Ce chapitre confronte ces promesses publicitaires typiques à ce que les études chez l’humain ont réellement montré.</w:t>
      </w:r>
    </w:p>
    <w:p>
      <w:pPr>
        <w:pStyle w:val="BodyText"/>
      </w:pPr>
      <w:r>
        <w:t xml:space="preserve">Ont été retenus les peptides les plus promus sur l’Internet germanophone et anglophone en 2026. Les promesses sont formulées de manière générale et résument des affirmations récurrentes ; elles ne proviennent pas d’un vendeur particulier. La colonne « Ce que montrent les études chez l’humain » repose sur les chapitres de la partie II, dans lesquels les sources sont discutées en détail. Les expérimentations animales et les résultats de laboratoire sont expressément signalés comme tels.</w:t>
      </w:r>
    </w:p>
    <w:p>
      <w:pPr>
        <w:pStyle w:val="BodyText"/>
      </w:pPr>
      <w:r>
        <w:t xml:space="preserve">Une remarque préalable : qu’un bénéfice ne soit pas démontré ne signifie pas automatiquement qu’une substance est inefficace. Cela signifie que personne ne le sait – pas même les vendeurs qui la commercialisent. De même, l’absence d’effets indésirables publiés ne signifie pas, pour des substances à peine étudiées, qu’elles sont sûres, mais seulement que personne ne les a recherchés de manière systématique.</w:t>
      </w:r>
    </w:p>
    <w:bookmarkStart w:id="2581" w:name="X555298792b4a443f03c1480f1cf25013c330c72"/>
    <w:p>
      <w:pPr>
        <w:pStyle w:val="Heading3"/>
      </w:pPr>
      <w:r>
        <w:t xml:space="preserve">Les peptides les plus populaires passés au crible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Promesse publicitaire typique</w:t>
            </w:r>
          </w:p>
        </w:tc>
        <w:tc>
          <w:tcPr/>
          <w:p>
            <w:pPr>
              <w:pStyle w:val="Compact"/>
              <w:jc w:val="left"/>
            </w:pPr>
            <w:r>
              <w:t xml:space="preserve">Ce que montrent les études chez l’humain</w:t>
            </w:r>
          </w:p>
        </w:tc>
        <w:tc>
          <w:tcPr/>
          <w:p>
            <w:pPr>
              <w:pStyle w:val="Compact"/>
              <w:jc w:val="left"/>
            </w:pPr>
            <w:r>
              <w:t xml:space="preserve">Preuves</w:t>
            </w:r>
          </w:p>
        </w:tc>
      </w:tr>
      <w:tr>
        <w:tc>
          <w:tcPr/>
          <w:p>
            <w:pPr>
              <w:pStyle w:val="Compact"/>
              <w:jc w:val="left"/>
            </w:pPr>
            <w:r>
              <w:t xml:space="preserve">BPC-157</w:t>
            </w:r>
          </w:p>
        </w:tc>
        <w:tc>
          <w:tcPr/>
          <w:p>
            <w:pPr>
              <w:pStyle w:val="Compact"/>
              <w:jc w:val="left"/>
            </w:pPr>
            <w:r>
              <w:t xml:space="preserve">Accélère la guérison des tendons, des ligaments, des muscles et de l’intestin</w:t>
            </w:r>
          </w:p>
        </w:tc>
        <w:tc>
          <w:tcPr/>
          <w:p>
            <w:pPr>
              <w:pStyle w:val="Compact"/>
              <w:jc w:val="left"/>
            </w:pPr>
            <w:r>
              <w:t xml:space="preserve">Trois investigations non contrôlées portant au total sur 30 personnes (genou, vessie, tolérance) ; valeur probante très faible selon une revue systématique (Poolton 2026, PMID 42885452). Les nombreux résultats positifs proviennent d’expérimentations animales, principalement d’un seul groupe de recherche.</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Répare les tissus, les tendons et les muscles, améliore la mobilité</w:t>
            </w:r>
          </w:p>
        </w:tc>
        <w:tc>
          <w:tcPr/>
          <w:p>
            <w:pPr>
              <w:pStyle w:val="Compact"/>
              <w:jc w:val="left"/>
            </w:pPr>
            <w:r>
              <w:t xml:space="preserve">Le TB-500 n’a jamais été testé dans une étude publiée chez l’humain. La protéine entière, la thymosine bêta 4, n’a pas réduit de manière significative la taille globale de l’infarctus après un infarctus du myocarde (Zhang 2025, PMID 41229390). Les produits du marché gris ne contenaient pas systématiquement ce qui était indiqué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Augmente l’hormone de croissance pour la prise de muscle, la perte de graisse et le sommeil</w:t>
            </w:r>
          </w:p>
        </w:tc>
        <w:tc>
          <w:tcPr/>
          <w:p>
            <w:pPr>
              <w:pStyle w:val="Compact"/>
              <w:jc w:val="left"/>
            </w:pPr>
            <w:r>
              <w:t xml:space="preserve">Chez des personnes en bonne santé, l’hormone de croissance et l’IGF-1 ont augmenté pendant environ six à onze jours après une injection unique (Teichman 2006, PMID 16352683). Qu’il en résulte un bénéfice n’a jamais été étudié. Pour la variante la plus vendue, sans « DAC », il n’existe aucune étude chez l’humain.</w:t>
            </w:r>
          </w:p>
        </w:tc>
        <w:tc>
          <w:tcPr/>
          <w:p>
            <w:pPr>
              <w:pStyle w:val="Compact"/>
              <w:jc w:val="left"/>
            </w:pPr>
            <w:r>
              <w:t xml:space="preserve">C</w:t>
            </w:r>
          </w:p>
        </w:tc>
      </w:tr>
      <w:tr>
        <w:tc>
          <w:tcPr/>
          <w:p>
            <w:pPr>
              <w:pStyle w:val="Compact"/>
              <w:jc w:val="left"/>
            </w:pPr>
            <w:r>
              <w:t xml:space="preserve">Ipamoréline</w:t>
            </w:r>
          </w:p>
        </w:tc>
        <w:tc>
          <w:tcPr/>
          <w:p>
            <w:pPr>
              <w:pStyle w:val="Compact"/>
              <w:jc w:val="left"/>
            </w:pPr>
            <w:r>
              <w:t xml:space="preserve">Booster doux de l’hormone de croissance sans effets indésirables</w:t>
            </w:r>
          </w:p>
        </w:tc>
        <w:tc>
          <w:tcPr/>
          <w:p>
            <w:pPr>
              <w:pStyle w:val="Compact"/>
              <w:jc w:val="left"/>
            </w:pPr>
            <w:r>
              <w:t xml:space="preserve">Seule étude d’efficacité publiée : 117 personnes après une chirurgie intestinale, aucun bénéfice significatif (Beck 2014, PMID 25331030). Aucune étude chez l’humain sur les muscles, la graisse, le sommeil ou le vieillissement.</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Allonge les télomères et remonte l’horloge biologique</w:t>
            </w:r>
          </w:p>
        </w:tc>
        <w:tc>
          <w:tcPr/>
          <w:p>
            <w:pPr>
              <w:pStyle w:val="Compact"/>
              <w:jc w:val="left"/>
            </w:pPr>
            <w:r>
              <w:t xml:space="preserve">Allongement des télomères uniquement en cultures cellulaires (Khavinson 2003, PMID 12937682). Chez la souris, pas d’allongement de la durée de vie moyenne (Anisimov 2003, PMID 14501183). Pas d’étude randomisée suffisamment grande chez l’humain.</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 Le sport en seringue » : plus d’endurance, moins de graisse, meilleure action de l’insuline</w:t>
            </w:r>
          </w:p>
        </w:tc>
        <w:tc>
          <w:tcPr/>
          <w:p>
            <w:pPr>
              <w:pStyle w:val="Compact"/>
              <w:jc w:val="left"/>
            </w:pPr>
            <w:r>
              <w:t xml:space="preserve">Ces effets ont été observés chez la souris (Lee 2015, PMID 25738459). Chez l’humain, il n’existe que des mesures des taux endogènes, aucune étude publiée avec administration de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Améliore la concentration, la mémoire et les performances</w:t>
            </w:r>
          </w:p>
        </w:tc>
        <w:tc>
          <w:tcPr/>
          <w:p>
            <w:pPr>
              <w:pStyle w:val="Compact"/>
              <w:jc w:val="left"/>
            </w:pPr>
            <w:r>
              <w:t xml:space="preserve">Petites études russes, majoritairement non randomisées, dans l’AVC, par exemple une étude portant sur 110 personnes (Gusev 2018, PMID 29798983). Aucune donnée probante chez les personnes en bonne santé.</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Soulage l’anxiété sans fatigue ni dépendance</w:t>
            </w:r>
          </w:p>
        </w:tc>
        <w:tc>
          <w:tcPr/>
          <w:p>
            <w:pPr>
              <w:pStyle w:val="Compact"/>
              <w:jc w:val="left"/>
            </w:pPr>
            <w:r>
              <w:t xml:space="preserve">Trois petites études russes sans groupe placebo, dont une portant sur 62 personnes en comparaison avec une benzodiazépine (Zozulia 2008, PMID 18454096). Il n’existe pas d’études sur la concentration chez des personnes en bonne santé.</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Bronzage sans coup de soleil, libido accrue</w:t>
            </w:r>
          </w:p>
        </w:tc>
        <w:tc>
          <w:tcPr/>
          <w:p>
            <w:pPr>
              <w:pStyle w:val="Compact"/>
              <w:jc w:val="left"/>
            </w:pPr>
            <w:r>
              <w:t xml:space="preserve">Petites études pilotes des années 1990 portant sur environ deux douzaines de personnes, nausées fréquentes (Wessells 2000, PMID 11035391). Rapports de cas de nouveaux grains de beauté, de mélanomes et de priapisme. Des flacons achetés en ligne contenaient 4,32 à 8,84 mg au lieu de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Raffermit la peau, renforce le collagène, favorise la pousse des cheveux</w:t>
            </w:r>
          </w:p>
        </w:tc>
        <w:tc>
          <w:tcPr/>
          <w:p>
            <w:pPr>
              <w:pStyle w:val="Compact"/>
              <w:jc w:val="left"/>
            </w:pPr>
            <w:r>
              <w:t xml:space="preserve">Une étude randomisée ancienne sur les ulcères du pied diabétique avec un résultat positif (Mulder 1994, PMID 17147644). Une petite étude cutanée après traitement au laser n’a trouvé aucune différence mesurable (Miller 2006, PMID 16847171). Aucune donnée sur les injections.</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Fragment de l’hormone de croissance qui brûle les graisses</w:t>
            </w:r>
          </w:p>
        </w:tc>
        <w:tc>
          <w:tcPr/>
          <w:p>
            <w:pPr>
              <w:pStyle w:val="Compact"/>
              <w:jc w:val="left"/>
            </w:pPr>
            <w:r>
              <w:t xml:space="preserve">Chez la souris, moindre prise de poids (Heffernan 2001, PMID 11673763). Des études chez l’humain ont été menées, mais jamais publiées dans des revues à comité de lecture ; le développement a été abandonné.</w:t>
            </w:r>
          </w:p>
        </w:tc>
        <w:tc>
          <w:tcPr/>
          <w:p>
            <w:pPr>
              <w:pStyle w:val="Compact"/>
              <w:jc w:val="left"/>
            </w:pPr>
            <w:r>
              <w:t xml:space="preserve">D</w:t>
            </w:r>
          </w:p>
        </w:tc>
      </w:tr>
      <w:tr>
        <w:tc>
          <w:tcPr/>
          <w:p>
            <w:pPr>
              <w:pStyle w:val="Compact"/>
              <w:jc w:val="left"/>
            </w:pPr>
            <w:r>
              <w:t xml:space="preserve">Peptides de collagène</w:t>
            </w:r>
          </w:p>
        </w:tc>
        <w:tc>
          <w:tcPr/>
          <w:p>
            <w:pPr>
              <w:pStyle w:val="Compact"/>
              <w:jc w:val="left"/>
            </w:pPr>
            <w:r>
              <w:t xml:space="preserve">Peau plus ferme, articulations saines, plus de muscle</w:t>
            </w:r>
          </w:p>
        </w:tc>
        <w:tc>
          <w:tcPr/>
          <w:p>
            <w:pPr>
              <w:pStyle w:val="Compact"/>
              <w:jc w:val="left"/>
            </w:pPr>
            <w:r>
              <w:t xml:space="preserve">Arthrose : effets faibles à modérés dans 35 études randomisées (PMID 38218227). Peau : aucun effet sans financement industriel (Myung 2025, PMID 40324552). Muscle : la protéine de lactosérum a été plus efficace que le collagène (Oikawa 2020, PMID 31919527).</w:t>
            </w:r>
          </w:p>
        </w:tc>
        <w:tc>
          <w:tcPr/>
          <w:p>
            <w:pPr>
              <w:pStyle w:val="Compact"/>
              <w:jc w:val="left"/>
            </w:pPr>
            <w:r>
              <w:t xml:space="preserve">B</w:t>
            </w:r>
          </w:p>
        </w:tc>
      </w:tr>
      <w:tr>
        <w:tc>
          <w:tcPr/>
          <w:p>
            <w:pPr>
              <w:pStyle w:val="Compact"/>
              <w:jc w:val="left"/>
            </w:pPr>
            <w:r>
              <w:t xml:space="preserve">Glutathion</w:t>
            </w:r>
          </w:p>
        </w:tc>
        <w:tc>
          <w:tcPr/>
          <w:p>
            <w:pPr>
              <w:pStyle w:val="Compact"/>
              <w:jc w:val="left"/>
            </w:pPr>
            <w:r>
              <w:t xml:space="preserve">Détoxifie, éclaircit la peau, renforce le système immunitaire</w:t>
            </w:r>
          </w:p>
        </w:tc>
        <w:tc>
          <w:tcPr/>
          <w:p>
            <w:pPr>
              <w:pStyle w:val="Compact"/>
              <w:jc w:val="left"/>
            </w:pPr>
            <w:r>
              <w:t xml:space="preserve">En gélule, il a augmenté les taux sanguins après six mois (Richie 2015, PMID 24791752). En perfusion, il n’a pas protégé 185 patientes et patients atteints de cancer contre les lésions nerveuses (Leal 2014, PMID 24619793). Perfusions pour éclaircir la peau : aucun bénéfice démontré, injustifiables selon une revue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Forme de nouvelles synapses, plus puissant que les facteurs de croissance endogènes</w:t>
            </w:r>
          </w:p>
        </w:tc>
        <w:tc>
          <w:tcPr/>
          <w:p>
            <w:pPr>
              <w:pStyle w:val="Compact"/>
              <w:jc w:val="left"/>
            </w:pPr>
            <w:r>
              <w:t xml:space="preserve">Jamais étudié chez l’humain ; effets uniquement chez le rat et la souris, un article central à ce sujet a été rétracté en 2025 (PMID 25187433). La substance apparentée fosgonimeton a manqué tous les objectifs principaux et secondaires chez 287 personnes atteintes de la maladie d’Alzheimer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IGF-1 plus puissant et à action plus longue pour la croissance musculaire</w:t>
            </w:r>
          </w:p>
        </w:tc>
        <w:tc>
          <w:tcPr/>
          <w:p>
            <w:pPr>
              <w:pStyle w:val="Compact"/>
              <w:jc w:val="left"/>
            </w:pPr>
            <w:r>
              <w:t xml:space="preserve">Pas une seule étude chez l’humain. Un flacon du marché noir contenait une variante de laboratoire qui n’a jamais été destinée à l’injection (PMID 20675162).</w:t>
            </w:r>
          </w:p>
        </w:tc>
        <w:tc>
          <w:tcPr/>
          <w:p>
            <w:pPr>
              <w:pStyle w:val="Compact"/>
              <w:jc w:val="left"/>
            </w:pPr>
            <w:r>
              <w:t xml:space="preserve">D</w:t>
            </w:r>
          </w:p>
        </w:tc>
      </w:tr>
      <w:tr>
        <w:tc>
          <w:tcPr/>
          <w:p>
            <w:pPr>
              <w:pStyle w:val="Compact"/>
              <w:jc w:val="left"/>
            </w:pPr>
            <w:r>
              <w:t xml:space="preserve">Rétatrutide du marché gris</w:t>
            </w:r>
          </w:p>
        </w:tc>
        <w:tc>
          <w:tcPr/>
          <w:p>
            <w:pPr>
              <w:pStyle w:val="Compact"/>
              <w:jc w:val="left"/>
            </w:pPr>
            <w:r>
              <w:t xml:space="preserve">Le plus puissant amaigrissant, déjà disponible aujourd’hui</w:t>
            </w:r>
          </w:p>
        </w:tc>
        <w:tc>
          <w:tcPr/>
          <w:p>
            <w:pPr>
              <w:pStyle w:val="Compact"/>
              <w:jc w:val="left"/>
            </w:pPr>
            <w:r>
              <w:t xml:space="preserve">Le médicament est bien étudié : dans TRIUMPH-1, −25,0 % de poids après 80 semaines à la dose la plus élevée (Jastreboff 2026, PMID 42814954). Cela ne vaut pas pour la marchandise du marché gris : non autorisée, contenu et pureté non contrôlés (Rubin 2026, PMID 42853576).</w:t>
            </w:r>
          </w:p>
        </w:tc>
        <w:tc>
          <w:tcPr/>
          <w:p>
            <w:pPr>
              <w:pStyle w:val="Compact"/>
              <w:jc w:val="left"/>
            </w:pPr>
            <w:r>
              <w:t xml:space="preserve">B (médicament)</w:t>
            </w:r>
          </w:p>
        </w:tc>
      </w:tr>
    </w:tbl>
    <w:p>
      <w:pPr>
        <w:pStyle w:val="BodyText"/>
      </w:pPr>
      <w:r>
        <w:t xml:space="preserve">Remarque sur le tableau : le niveau de preuve se rapporte à l’usage promu ou à la substance telle qu’elle est vendue. Le TB-500 relève du niveau D, la protéine entière thymosine bêta 4 du niveau B. Pour le rétatrutide, le niveau B se rapporte au médicament testé dans les études ; pour les produits du marché gris, dont personne ne connaît le contenu, aucun niveau de preuve ne peut être indiqué.</w:t>
      </w:r>
    </w:p>
    <w:p>
      <w:pPr>
        <w:pStyle w:val="BodyText"/>
      </w:pPr>
      <w:r>
        <w:t xml:space="preserve">Le tableau d’ensemble : sur les 16 substances, aucune n’atteint le niveau de preuve A. Cinq sont au niveau D, c’est-à-dire qu’elles n’ont pas du tout été étudiées chez l’humain. Pour les substances de niveau B – ipamoréline, collagène, glutathion –, les meilleures études n’ont pas confirmé les promesses publicitaires ou n’ont trouvé que de faibles effets. La seule exception est le rétatrutide, dont l’effet puissant est démontré – mais pas pour le produit vendu sur le marché gris.</w:t>
      </w:r>
    </w:p>
    <w:bookmarkEnd w:id="2581"/>
    <w:bookmarkStart w:id="2595" w:name="six-schémas-derrière-les-promesses"/>
    <w:p>
      <w:pPr>
        <w:pStyle w:val="Heading3"/>
      </w:pPr>
      <w:r>
        <w:t xml:space="preserve">Six schémas derrière les promesses</w:t>
      </w:r>
    </w:p>
    <w:p>
      <w:pPr>
        <w:pStyle w:val="FirstParagraph"/>
      </w:pPr>
      <w:r>
        <w:t xml:space="preserve">En lisant le tableau ligne par ligne, on reconnaît des schémas récurrents. Ils aident à évaluer aussi des affirmations sur des peptides qui ne figurent pas dans ce livre.</w:t>
      </w:r>
    </w:p>
    <w:bookmarkStart w:id="2583" w:name="de-lanimal-à-lhumain"/>
    <w:p>
      <w:pPr>
        <w:pStyle w:val="Heading4"/>
      </w:pPr>
      <w:r>
        <w:t xml:space="preserve">1. De l’animal à l’humain</w:t>
      </w:r>
    </w:p>
    <w:p>
      <w:pPr>
        <w:pStyle w:val="FirstParagraph"/>
      </w:pPr>
      <w:r>
        <w:t xml:space="preserve">Presque toutes les promesses concernant le BPC-157, le TB-500, le MOTS-c, le Dihexa, l’AOD-9604 et l’Epitalon reposent sur des expériences chez le rat, la souris ou en cultures cellulaires. De telles études sont importantes pour comprendre les mécanismes d’action. Elles ne prédisent pas si une substance agit de la même façon chez l’humain : une grande partie des substances qui réussissent en expérimentation animale échouent dans les études chez l’humain. Un exemple récent tiré de ce livre est le peptide de la mémoire Dihexa. Chez le rat, il favorisait l’apprentissage et la formation de synapses ; la substance apparentée fosgonimeton, censée agir par le même système de facteurs de croissance, a manqué tous les objectifs principaux et secondaires dans une étude portant sur 287 personnes atteintes de la maladie d’Alzheimer</w:t>
      </w:r>
      <w:r>
        <w:rPr>
          <w:rStyle w:val="FootnoteReference"/>
        </w:rPr>
        <w:footnoteReference w:id="2582"/>
      </w:r>
      <w:r>
        <w:t xml:space="preserve">.</w:t>
      </w:r>
    </w:p>
    <w:p>
      <w:pPr>
        <w:pStyle w:val="BodyText"/>
      </w:pPr>
      <w:r>
        <w:t xml:space="preserve">S’y ajoute pour le BPC-157 un second problème : les études animales positives proviennent principalement d’un seul groupe de recherche et n’ont guère été reproduites de manière indépendante.</w:t>
      </w:r>
    </w:p>
    <w:bookmarkEnd w:id="2583"/>
    <w:bookmarkStart w:id="2585" w:name="Xde59a5aefa7ce7290a3e61482a162e9dfae43e6"/>
    <w:p>
      <w:pPr>
        <w:pStyle w:val="Heading4"/>
      </w:pPr>
      <w:r>
        <w:t xml:space="preserve">2. Une valeur mesurée n’est pas encore un bénéfice</w:t>
      </w:r>
    </w:p>
    <w:p>
      <w:pPr>
        <w:pStyle w:val="FirstParagraph"/>
      </w:pPr>
      <w:r>
        <w:t xml:space="preserve">Le CJC-1295 augmente l’hormone de croissance, l’Epitalon active la télomérase en cultures cellulaires, les gélules de glutathion augmentent le taux de glutathion dans le sang. Ce sont des mesures de substitution (« critères de substitution », voir partie I). Qu’il en découle quelque chose qui compte pour les personnes – plus de force musculaire, une vie plus longue, moins de maladies – est une question distincte qui nécessite ses propres études. Pour l’hormone de croissance, l’exemple de l’ibutamorène montre à quel point l’écart peut être grand : chez 65 personnes âgées en bonne santé, la masse maigre a augmenté de 1,1 kg en un an, mais la force et la fonction physique ne se sont pas améliorées</w:t>
      </w:r>
      <w:r>
        <w:rPr>
          <w:rStyle w:val="FootnoteReference"/>
        </w:rPr>
        <w:footnoteReference w:id="2584"/>
      </w:r>
      <w:r>
        <w:t xml:space="preserve">.</w:t>
      </w:r>
    </w:p>
    <w:bookmarkEnd w:id="2585"/>
    <w:bookmarkStart w:id="2587" w:name="confusion-entre-substances"/>
    <w:p>
      <w:pPr>
        <w:pStyle w:val="Heading4"/>
      </w:pPr>
      <w:r>
        <w:t xml:space="preserve">3. Confusion entre substances</w:t>
      </w:r>
    </w:p>
    <w:p>
      <w:pPr>
        <w:pStyle w:val="FirstParagraph"/>
      </w:pPr>
      <w:r>
        <w:t xml:space="preserve">Plusieurs promesses reposent sur des études menées avec une autre substance que celle qui est vendue :</w:t>
      </w:r>
    </w:p>
    <w:p>
      <w:pPr>
        <w:numPr>
          <w:ilvl w:val="0"/>
          <w:numId w:val="1330"/>
        </w:numPr>
        <w:pStyle w:val="Compact"/>
      </w:pPr>
      <w:r>
        <w:rPr>
          <w:bCs/>
          <w:b/>
        </w:rPr>
        <w:t xml:space="preserve">Le TB-500</w:t>
      </w:r>
      <w:r>
        <w:t xml:space="preserve"> </w:t>
      </w:r>
      <w:r>
        <w:t xml:space="preserve">est un fragment modifié. Les études chez l’humain concernent la protéine entière thymosine bêta 4 – et celles-ci ne portent guère sur les tendons, les ligaments ou les muscles.</w:t>
      </w:r>
    </w:p>
    <w:p>
      <w:pPr>
        <w:numPr>
          <w:ilvl w:val="0"/>
          <w:numId w:val="1330"/>
        </w:numPr>
        <w:pStyle w:val="Compact"/>
      </w:pPr>
      <w:r>
        <w:rPr>
          <w:bCs/>
          <w:b/>
        </w:rPr>
        <w:t xml:space="preserve">L’Epitalon</w:t>
      </w:r>
      <w:r>
        <w:t xml:space="preserve"> </w:t>
      </w:r>
      <w:r>
        <w:t xml:space="preserve">est un tétrapeptide synthétique. L’étude souvent citée sur l’allongement de la vie portait sur l’extrait bovin épithalamine, n’était pas randomisée et n’a jamais été reproduite de manière indépendante.</w:t>
      </w:r>
    </w:p>
    <w:p>
      <w:pPr>
        <w:numPr>
          <w:ilvl w:val="0"/>
          <w:numId w:val="1330"/>
        </w:numPr>
        <w:pStyle w:val="Compact"/>
      </w:pPr>
      <w:r>
        <w:rPr>
          <w:bCs/>
          <w:b/>
        </w:rPr>
        <w:t xml:space="preserve">Le CJC-1295</w:t>
      </w:r>
      <w:r>
        <w:t xml:space="preserve"> </w:t>
      </w:r>
      <w:r>
        <w:t xml:space="preserve">est vendu majoritairement sans le groupement « DAC » utilisé dans les études chez l’humain.</w:t>
      </w:r>
    </w:p>
    <w:p>
      <w:pPr>
        <w:numPr>
          <w:ilvl w:val="0"/>
          <w:numId w:val="1330"/>
        </w:numPr>
        <w:pStyle w:val="Compact"/>
      </w:pPr>
      <w:r>
        <w:rPr>
          <w:bCs/>
          <w:b/>
        </w:rPr>
        <w:t xml:space="preserve">Le rétatrutide</w:t>
      </w:r>
      <w:r>
        <w:t xml:space="preserve"> </w:t>
      </w:r>
      <w:r>
        <w:t xml:space="preserve">du marché gris n’est pas le médicament des études. Les analyses en laboratoire d’autres peptides du marché gris montrent que les flacons contiennent souvent moins, plus ou une autre substance que ce qui est indiqué ; pour l’ipamoréline et le CJC-1295, des laboratoires ont trouvé des molécules modifiées non déclarées</w:t>
      </w:r>
      <w:r>
        <w:rPr>
          <w:rStyle w:val="FootnoteReference"/>
        </w:rPr>
        <w:footnoteReference w:id="2586"/>
      </w:r>
      <w:r>
        <w:t xml:space="preserve">.</w:t>
      </w:r>
    </w:p>
    <w:bookmarkEnd w:id="2587"/>
    <w:bookmarkStart w:id="2591" w:name="Xaab6aed3157dafe606ea645f76ee879f1eb5486"/>
    <w:p>
      <w:pPr>
        <w:pStyle w:val="Heading4"/>
      </w:pPr>
      <w:r>
        <w:t xml:space="preserve">4. Les études négatives ne sont pas mentionnées</w:t>
      </w:r>
    </w:p>
    <w:p>
      <w:pPr>
        <w:pStyle w:val="FirstParagraph"/>
      </w:pPr>
      <w:r>
        <w:t xml:space="preserve">Pour plusieurs peptides, il existe bel et bien des études randomisées – simplement, elles n’ont trouvé aucun bénéfice. Après une chirurgie intestinale, l’ipamoréline n’a pas raccourci de manière significative le délai jusqu’au premier repas</w:t>
      </w:r>
      <w:r>
        <w:rPr>
          <w:rStyle w:val="FootnoteReference"/>
        </w:rPr>
        <w:footnoteReference w:id="2588"/>
      </w:r>
      <w:r>
        <w:t xml:space="preserve">. Les perfusions de glutathion n’ont pas protégé contre les lésions nerveuses dues à la chimiothérapie</w:t>
      </w:r>
      <w:r>
        <w:rPr>
          <w:rStyle w:val="FootnoteReference"/>
        </w:rPr>
        <w:footnoteReference w:id="2589"/>
      </w:r>
      <w:r>
        <w:t xml:space="preserve">. Pour le collagène, le bénéfice cutané a disparu dès que seules les études à financement indépendant ont été prises en compte</w:t>
      </w:r>
      <w:r>
        <w:rPr>
          <w:rStyle w:val="FootnoteReference"/>
        </w:rPr>
        <w:footnoteReference w:id="2590"/>
      </w:r>
      <w:r>
        <w:t xml:space="preserve">. De tels résultats n’apparaissent pratiquement jamais dans les textes publicitaires. Une présentation sérieuse cite les études positives</w:t>
      </w:r>
      <w:r>
        <w:t xml:space="preserve"> </w:t>
      </w:r>
      <w:r>
        <w:rPr>
          <w:iCs/>
          <w:i/>
        </w:rPr>
        <w:t xml:space="preserve">et</w:t>
      </w:r>
      <w:r>
        <w:t xml:space="preserve"> </w:t>
      </w:r>
      <w:r>
        <w:t xml:space="preserve">négatives.</w:t>
      </w:r>
    </w:p>
    <w:bookmarkEnd w:id="2591"/>
    <w:bookmarkStart w:id="2592" w:name="X124a34bbee127990c40b6c6da2cd5e46a327eae"/>
    <w:p>
      <w:pPr>
        <w:pStyle w:val="Heading4"/>
      </w:pPr>
      <w:r>
        <w:t xml:space="preserve">5. Petites études issues d’un cercle restreint</w:t>
      </w:r>
    </w:p>
    <w:p>
      <w:pPr>
        <w:pStyle w:val="FirstParagraph"/>
      </w:pPr>
      <w:r>
        <w:t xml:space="preserve">Le Semax, le Selank, l’Epitalon et le Pinealon ont été étudiés presque exclusivement en Russie, le plus souvent par leurs développeurs eux-mêmes, dans de petits groupes et fréquemment sans comparaison avec un placebo. Cela ne rend pas automatiquement les résultats faux. Mais cela signifie qu’ils n’ont jamais été testés dans les conditions exigées aujourd’hui pour une autorisation : enregistrement préalable, aveugle, taille suffisante et confirmation par des groupes indépendants.</w:t>
      </w:r>
    </w:p>
    <w:bookmarkEnd w:id="2592"/>
    <w:bookmarkStart w:id="2594" w:name="X012f671f87f5028e87f57e78a8545990eecb135"/>
    <w:p>
      <w:pPr>
        <w:pStyle w:val="Heading4"/>
      </w:pPr>
      <w:r>
        <w:t xml:space="preserve">6. « Pas d’effets indésirables » signifie le plus souvent « pas étudié »</w:t>
      </w:r>
    </w:p>
    <w:p>
      <w:pPr>
        <w:pStyle w:val="FirstParagraph"/>
      </w:pPr>
      <w:r>
        <w:t xml:space="preserve">L’affirmation selon laquelle un peptide serait « bien toléré » ou « sans effets indésirables » repose, pour le BPC-157, sur 30 personnes au total. Avec si peu de participants, on ne peut détecter que des problèmes fréquents et immédiats ; un effet indésirable touchant une personne sur mille resterait invisible. Pour les substances qui amplifient les signaux de croissance – sécrétagogues de l’hormone de croissance, IGF-1 LR3, peptides favorisant la formation de nouveaux vaisseaux –, il existe en outre une inquiétude théorique, mais non vérifiée, concernant la croissance tumorale. Pour le Melanotan II, des rapports de cas décrivent des grains de beauté nouveaux ou modifiés et des mélanomes ; un lien de causalité n’est pas démontré, mais pas exclu non plus. S’y ajoutent les risques liés aux produits eux-mêmes : des flacons de Melanotan II du marché gris contenaient moins de substance active qu’indiqué et des impuretés inconnues</w:t>
      </w:r>
      <w:r>
        <w:rPr>
          <w:rStyle w:val="FootnoteReference"/>
        </w:rPr>
        <w:footnoteReference w:id="2593"/>
      </w:r>
      <w:r>
        <w:t xml:space="preserve">. Pour en savoir plus, voir la partie IV.</w:t>
      </w:r>
    </w:p>
    <w:bookmarkEnd w:id="2594"/>
    <w:bookmarkEnd w:id="2595"/>
    <w:bookmarkStart w:id="2601" w:name="Xfa83da9a08d0acded8737ac2a56e36235194667"/>
    <w:p>
      <w:pPr>
        <w:pStyle w:val="Heading3"/>
      </w:pPr>
      <w:r>
        <w:t xml:space="preserve">Comment distinguer les affirmations sérieuses des affirmations douteuses</w:t>
      </w:r>
    </w:p>
    <w:p>
      <w:pPr>
        <w:pStyle w:val="FirstParagraph"/>
      </w:pPr>
      <w:r>
        <w:t xml:space="preserve">La liste de contrôle suivante aide à évaluer les affirmations sur les peptides – dans les boutiques, les vidéos, les forums ou les magazines. Elle ne remplace pas un conseil professionnel, mais aiguise le regard sur ce qui se cache réellement derrière une affirmation.</w:t>
      </w:r>
    </w:p>
    <w:bookmarkStart w:id="2596" w:name="questions-sur-la-source"/>
    <w:p>
      <w:pPr>
        <w:pStyle w:val="Heading4"/>
      </w:pPr>
      <w:r>
        <w:t xml:space="preserve">Questions sur la source</w:t>
      </w:r>
    </w:p>
    <w:p>
      <w:pPr>
        <w:numPr>
          <w:ilvl w:val="0"/>
          <w:numId w:val="1331"/>
        </w:numPr>
        <w:pStyle w:val="Compact"/>
      </w:pPr>
      <w:r>
        <w:rPr>
          <w:bCs/>
          <w:b/>
        </w:rPr>
        <w:t xml:space="preserve">Qui parle ?</w:t>
      </w:r>
      <w:r>
        <w:t xml:space="preserve"> </w:t>
      </w:r>
      <w:r>
        <w:t xml:space="preserve">La personne ou le site vend-il lui-même la substance, propose-t-il des cours, des consultations ou des codes de réduction ? Un intérêt financier ne rend pas une affirmation fausse, mais c’est une raison d’y regarder de plus près.</w:t>
      </w:r>
    </w:p>
    <w:p>
      <w:pPr>
        <w:numPr>
          <w:ilvl w:val="0"/>
          <w:numId w:val="1331"/>
        </w:numPr>
        <w:pStyle w:val="Compact"/>
      </w:pPr>
      <w:r>
        <w:rPr>
          <w:bCs/>
          <w:b/>
        </w:rPr>
        <w:t xml:space="preserve">Des études sont-elles citées – et peut-on les retrouver ?</w:t>
      </w:r>
      <w:r>
        <w:t xml:space="preserve"> </w:t>
      </w:r>
      <w:r>
        <w:t xml:space="preserve">Les affirmations sérieuses indiquent une source vérifiable : un PMID, un DOI ou un numéro de registre (NCT). Tu peux saisir gratuitement n’importe quel PMID dans PubMed et lire toi-même le résumé. Des formulations comme « des études montrent » sans référence concrète sont un signal d’alerte.</w:t>
      </w:r>
    </w:p>
    <w:p>
      <w:pPr>
        <w:numPr>
          <w:ilvl w:val="0"/>
          <w:numId w:val="1331"/>
        </w:numPr>
        <w:pStyle w:val="Compact"/>
      </w:pPr>
      <w:r>
        <w:rPr>
          <w:bCs/>
          <w:b/>
        </w:rPr>
        <w:t xml:space="preserve">L’étude citée correspond-elle à l’affirmation ?</w:t>
      </w:r>
      <w:r>
        <w:t xml:space="preserve"> </w:t>
      </w:r>
      <w:r>
        <w:t xml:space="preserve">Vérifie si l’étude a réellement porté sur la substance vendue, sur l’usage promu et sur des humains – ou s’il s’agissait d’une molécule apparentée, d’une autre maladie ou de rats.</w:t>
      </w:r>
    </w:p>
    <w:bookmarkEnd w:id="2596"/>
    <w:bookmarkStart w:id="2597" w:name="questions-sur-létude"/>
    <w:p>
      <w:pPr>
        <w:pStyle w:val="Heading4"/>
      </w:pPr>
      <w:r>
        <w:t xml:space="preserve">Questions sur l’étude</w:t>
      </w:r>
    </w:p>
    <w:p>
      <w:pPr>
        <w:numPr>
          <w:ilvl w:val="0"/>
          <w:numId w:val="1332"/>
        </w:numPr>
        <w:pStyle w:val="Compact"/>
      </w:pPr>
      <w:r>
        <w:rPr>
          <w:bCs/>
          <w:b/>
        </w:rPr>
        <w:t xml:space="preserve">Humain, animal ou culture cellulaire ?</w:t>
      </w:r>
      <w:r>
        <w:t xml:space="preserve"> </w:t>
      </w:r>
      <w:r>
        <w:t xml:space="preserve">Si le résumé mentionne « rats », « mice », « in vitro » ou « cell culture », il ne dit rien de l’effet chez l’humain.</w:t>
      </w:r>
    </w:p>
    <w:p>
      <w:pPr>
        <w:numPr>
          <w:ilvl w:val="0"/>
          <w:numId w:val="1332"/>
        </w:numPr>
        <w:pStyle w:val="Compact"/>
      </w:pPr>
      <w:r>
        <w:rPr>
          <w:bCs/>
          <w:b/>
        </w:rPr>
        <w:t xml:space="preserve">Y avait-il un groupe de comparaison ?</w:t>
      </w:r>
      <w:r>
        <w:t xml:space="preserve"> </w:t>
      </w:r>
      <w:r>
        <w:t xml:space="preserve">Sans groupe placebo ou témoin, on ne peut pas distinguer si une amélioration est due à la substance, au temps, à d’autres traitements ou à l’attente. L’effet placebo est particulièrement important pour la douleur, l’humeur ou le sommeil.</w:t>
      </w:r>
    </w:p>
    <w:p>
      <w:pPr>
        <w:numPr>
          <w:ilvl w:val="0"/>
          <w:numId w:val="1332"/>
        </w:numPr>
        <w:pStyle w:val="Compact"/>
      </w:pPr>
      <w:r>
        <w:rPr>
          <w:bCs/>
          <w:b/>
        </w:rPr>
        <w:t xml:space="preserve">Combien de participants ?</w:t>
      </w:r>
      <w:r>
        <w:t xml:space="preserve"> </w:t>
      </w:r>
      <w:r>
        <w:t xml:space="preserve">Des études portant sur 10 ou 20 personnes peuvent fournir des indices, mais pas démontrer un bénéfice ni détecter des effets indésirables rares.</w:t>
      </w:r>
    </w:p>
    <w:p>
      <w:pPr>
        <w:numPr>
          <w:ilvl w:val="0"/>
          <w:numId w:val="1332"/>
        </w:numPr>
        <w:pStyle w:val="Compact"/>
      </w:pPr>
      <w:r>
        <w:rPr>
          <w:bCs/>
          <w:b/>
        </w:rPr>
        <w:t xml:space="preserve">Qu’a-t-on mesuré ?</w:t>
      </w:r>
      <w:r>
        <w:t xml:space="preserve"> </w:t>
      </w:r>
      <w:r>
        <w:t xml:space="preserve">Une valeur de laboratoire qui augmente n’est pas un bénéfice tangible. Demande-toi : a-t-on mesuré ce qui compte pour les personnes concernées – douleur, fonction, événements pathologiques, qualité de vie ?</w:t>
      </w:r>
    </w:p>
    <w:p>
      <w:pPr>
        <w:numPr>
          <w:ilvl w:val="0"/>
          <w:numId w:val="1332"/>
        </w:numPr>
        <w:pStyle w:val="Compact"/>
      </w:pPr>
      <w:r>
        <w:rPr>
          <w:bCs/>
          <w:b/>
        </w:rPr>
        <w:t xml:space="preserve">L’étude a-t-elle été enregistrée au préalable ?</w:t>
      </w:r>
      <w:r>
        <w:t xml:space="preserve"> </w:t>
      </w:r>
      <w:r>
        <w:t xml:space="preserve">Un enregistrement sur ClinicalTrials.gov ou dans le registre de l’UE avant le début de l’étude empêche de choisir après coup des objectifs qui arrangent.</w:t>
      </w:r>
    </w:p>
    <w:p>
      <w:pPr>
        <w:numPr>
          <w:ilvl w:val="0"/>
          <w:numId w:val="1332"/>
        </w:numPr>
        <w:pStyle w:val="Compact"/>
      </w:pPr>
      <w:r>
        <w:rPr>
          <w:bCs/>
          <w:b/>
        </w:rPr>
        <w:t xml:space="preserve">Le résultat a-t-il été reproduit ?</w:t>
      </w:r>
      <w:r>
        <w:t xml:space="preserve"> </w:t>
      </w:r>
      <w:r>
        <w:t xml:space="preserve">Un résultat positif isolé obtenu par un seul groupe de recherche est un début, pas une preuve.</w:t>
      </w:r>
    </w:p>
    <w:bookmarkEnd w:id="2597"/>
    <w:bookmarkStart w:id="2598" w:name="signaux-dalerte-dans-le-langage"/>
    <w:p>
      <w:pPr>
        <w:pStyle w:val="Heading4"/>
      </w:pPr>
      <w:r>
        <w:t xml:space="preserve">Signaux d’alerte dans le langage</w:t>
      </w:r>
    </w:p>
    <w:p>
      <w:pPr>
        <w:numPr>
          <w:ilvl w:val="0"/>
          <w:numId w:val="1333"/>
        </w:numPr>
        <w:pStyle w:val="Compact"/>
      </w:pPr>
      <w:r>
        <w:t xml:space="preserve">Des promesses qui concernent à la fois un très grand nombre de troubles différents (« pour les articulations, l’intestin, la peau, le cerveau et le système immunitaire »).</w:t>
      </w:r>
    </w:p>
    <w:p>
      <w:pPr>
        <w:numPr>
          <w:ilvl w:val="0"/>
          <w:numId w:val="1333"/>
        </w:numPr>
        <w:pStyle w:val="Compact"/>
      </w:pPr>
      <w:r>
        <w:t xml:space="preserve">Des termes comme « remède miracle », « astuce secrète », « ce que les médecins ne vous disent pas » ou « étouffé par l’industrie pharmaceutique ».</w:t>
      </w:r>
    </w:p>
    <w:p>
      <w:pPr>
        <w:numPr>
          <w:ilvl w:val="0"/>
          <w:numId w:val="1333"/>
        </w:numPr>
        <w:pStyle w:val="Compact"/>
      </w:pPr>
      <w:r>
        <w:t xml:space="preserve">L’affirmation « aucun effet indésirable » pour une substance à peine étudiée chez l’humain.</w:t>
      </w:r>
    </w:p>
    <w:p>
      <w:pPr>
        <w:numPr>
          <w:ilvl w:val="0"/>
          <w:numId w:val="1333"/>
        </w:numPr>
        <w:pStyle w:val="Compact"/>
      </w:pPr>
      <w:r>
        <w:t xml:space="preserve">Des témoignages et des photos avant/après au lieu de données d’études.</w:t>
      </w:r>
    </w:p>
    <w:p>
      <w:pPr>
        <w:numPr>
          <w:ilvl w:val="0"/>
          <w:numId w:val="1333"/>
        </w:numPr>
        <w:pStyle w:val="Compact"/>
      </w:pPr>
      <w:r>
        <w:t xml:space="preserve">La mention « uniquement à des fins de recherche » ou « impropre à la consommation humaine » sur un produit qui est en même temps promu pour ses effets chez l’humain. Cette contradiction montre que le vendeur veut contourner la réglementation des médicaments (voir partie I).</w:t>
      </w:r>
    </w:p>
    <w:p>
      <w:pPr>
        <w:numPr>
          <w:ilvl w:val="0"/>
          <w:numId w:val="1333"/>
        </w:numPr>
        <w:pStyle w:val="Compact"/>
      </w:pPr>
      <w:r>
        <w:t xml:space="preserve">Des propositions de dosages, de cures ou de packs combinant plusieurs peptides pour des substances non autorisées. Ces schémas ne reposent sur aucune étude.</w:t>
      </w:r>
    </w:p>
    <w:bookmarkEnd w:id="2598"/>
    <w:bookmarkStart w:id="2599" w:name="signes-dune-présentation-sérieuse"/>
    <w:p>
      <w:pPr>
        <w:pStyle w:val="Heading4"/>
      </w:pPr>
      <w:r>
        <w:t xml:space="preserve">Signes d’une présentation sérieuse</w:t>
      </w:r>
    </w:p>
    <w:p>
      <w:pPr>
        <w:numPr>
          <w:ilvl w:val="0"/>
          <w:numId w:val="1334"/>
        </w:numPr>
        <w:pStyle w:val="Compact"/>
      </w:pPr>
      <w:r>
        <w:t xml:space="preserve">Les résultats animaux et de laboratoire sont expressément désignés comme tels.</w:t>
      </w:r>
    </w:p>
    <w:p>
      <w:pPr>
        <w:numPr>
          <w:ilvl w:val="0"/>
          <w:numId w:val="1334"/>
        </w:numPr>
        <w:pStyle w:val="Compact"/>
      </w:pPr>
      <w:r>
        <w:t xml:space="preserve">Les études négatives et contradictoires sont citées, pas seulement les positives.</w:t>
      </w:r>
    </w:p>
    <w:p>
      <w:pPr>
        <w:numPr>
          <w:ilvl w:val="0"/>
          <w:numId w:val="1334"/>
        </w:numPr>
        <w:pStyle w:val="Compact"/>
      </w:pPr>
      <w:r>
        <w:t xml:space="preserve">L’incertitude est nommée ouvertement (« Les données ne suffisent pas pour évaluer … »).</w:t>
      </w:r>
    </w:p>
    <w:p>
      <w:pPr>
        <w:numPr>
          <w:ilvl w:val="0"/>
          <w:numId w:val="1334"/>
        </w:numPr>
        <w:pStyle w:val="Compact"/>
      </w:pPr>
      <w:r>
        <w:t xml:space="preserve">Le statut juridique et le statut antidopage sont mentionnés.</w:t>
      </w:r>
    </w:p>
    <w:p>
      <w:pPr>
        <w:numPr>
          <w:ilvl w:val="0"/>
          <w:numId w:val="1334"/>
        </w:numPr>
        <w:pStyle w:val="Compact"/>
      </w:pPr>
      <w:r>
        <w:t xml:space="preserve">Il est clairement indiqué que les médicaments relèvent du médecin et que les produits du marché gris ne sont pas contrôlés.</w:t>
      </w:r>
    </w:p>
    <w:bookmarkEnd w:id="2599"/>
    <w:bookmarkStart w:id="2600" w:name="trois-questions-pour-la-vie-quotidienne"/>
    <w:p>
      <w:pPr>
        <w:pStyle w:val="Heading4"/>
      </w:pPr>
      <w:r>
        <w:t xml:space="preserve">Trois questions pour la vie quotidienne</w:t>
      </w:r>
    </w:p>
    <w:p>
      <w:pPr>
        <w:pStyle w:val="FirstParagraph"/>
      </w:pPr>
      <w:r>
        <w:t xml:space="preserve">Si tu as peu de temps, trois questions suffisent souvent :</w:t>
      </w:r>
    </w:p>
    <w:p>
      <w:pPr>
        <w:numPr>
          <w:ilvl w:val="0"/>
          <w:numId w:val="1335"/>
        </w:numPr>
        <w:pStyle w:val="Compact"/>
      </w:pPr>
      <w:r>
        <w:t xml:space="preserve">La substance est-elle autorisée comme médicament dans l’UE ou aux États-Unis pour exactement cet usage ?</w:t>
      </w:r>
    </w:p>
    <w:p>
      <w:pPr>
        <w:numPr>
          <w:ilvl w:val="0"/>
          <w:numId w:val="1335"/>
        </w:numPr>
        <w:pStyle w:val="Compact"/>
      </w:pPr>
      <w:r>
        <w:t xml:space="preserve">Existe-t-il au moins une étude randomisée, contrôlée contre placebo chez l’humain, qui a montré le bénéfice allégué ?</w:t>
      </w:r>
    </w:p>
    <w:p>
      <w:pPr>
        <w:numPr>
          <w:ilvl w:val="0"/>
          <w:numId w:val="1335"/>
        </w:numPr>
        <w:pStyle w:val="Compact"/>
      </w:pPr>
      <w:r>
        <w:t xml:space="preserve">Le produit provient-il de la pharmacie – ou d’une source dont personne ne contrôle le contenu ?</w:t>
      </w:r>
    </w:p>
    <w:p>
      <w:pPr>
        <w:pStyle w:val="FirstParagraph"/>
      </w:pPr>
      <w:r>
        <w:t xml:space="preserve">Si la réponse aux trois questions est « non », la promesse repose sur l’espoir, pas sur des preuves.</w:t>
      </w:r>
    </w:p>
    <w:bookmarkEnd w:id="2600"/>
    <w:bookmarkEnd w:id="2601"/>
    <w:bookmarkStart w:id="2602" w:name="conclusion-59"/>
    <w:p>
      <w:pPr>
        <w:pStyle w:val="Heading3"/>
      </w:pPr>
      <w:r>
        <w:t xml:space="preserve">Conclusion</w:t>
      </w:r>
    </w:p>
    <w:p>
      <w:pPr>
        <w:pStyle w:val="FirstParagraph"/>
      </w:pPr>
      <w:r>
        <w:t xml:space="preserve">Les peptides les plus populaires sur Internet sont presque tous les moins bien étudiés. Leurs promesses reposent principalement sur des expérimentations animales, sur des mesures de substitution ou sur des études menées avec une autre substance ; là où il existe des études randomisées chez l’humain, elles n’ont le plus souvent pas confirmé le bénéfice promu. Cela ne signifie pas qu’aucune de ces substances ne pourrait jamais avoir de bénéfice – mais pour aucune, les données ne suffisent à le démontrer. Quiconque entend une affirmation sur un peptide devrait demander la source, examiner l’étude et garder à l’esprit la différence entre un médicament contrôlé et un flacon du marché gris.</w:t>
      </w:r>
    </w:p>
    <w:bookmarkEnd w:id="2602"/>
    <w:bookmarkEnd w:id="2603"/>
    <w:bookmarkEnd w:id="2604"/>
    <w:bookmarkStart w:id="2825" w:name="partie-iv-risques"/>
    <w:p>
      <w:pPr>
        <w:pStyle w:val="Heading1"/>
      </w:pPr>
      <w:r>
        <w:t xml:space="preserve">Partie IV – Risques</w:t>
      </w:r>
    </w:p>
    <w:p>
      <w:pPr>
        <w:pStyle w:val="FirstParagraph"/>
      </w:pPr>
      <w:r>
        <w:t xml:space="preserve">Dans la partie II, chaque peptide dispose de sa propre section « Risques et effets indésirables ». Cette partie ne répète pas ces sections. Elle les met côte à côte et pose, de manière transversale à toutes les substances, les questions suivantes : quels organes sont touchés ? Quels signaux d’alerte apparaissent pour plusieurs peptides ? Quelle est la solidité de ce que l’on sait ? Si tu cherches des détails sur une substance précise, tu trouveras pour chaque point un renvoi vers le chapitre correspondant.</w:t>
      </w:r>
    </w:p>
    <w:p>
      <w:pPr>
        <w:pStyle w:val="BodyText"/>
      </w:pPr>
      <w:r>
        <w:t xml:space="preserve">Avant de commencer, il vaut la peine de s’arrêter brièvement sur la manière d’évaluer les risques. Trois distinctions traversent tous les chapitres qui suivent.</w:t>
      </w:r>
    </w:p>
    <w:p>
      <w:pPr>
        <w:pStyle w:val="BodyText"/>
      </w:pPr>
      <w:r>
        <w:rPr>
          <w:bCs/>
          <w:b/>
        </w:rPr>
        <w:t xml:space="preserve">Démontré, observé ou théorique.</w:t>
      </w:r>
      <w:r>
        <w:t xml:space="preserve"> </w:t>
      </w:r>
      <w:r>
        <w:t xml:space="preserve">Un risque est le mieux démontré lorsqu’il est survenu plus souvent sous la substance que sous placebo dans des études randomisées (ECR, en anglais RCT). Les études observationnelles fondées sur des données d’assurance ou de registres couvrent en revanche un très grand nombre de personnes et des événements rares, mais ne peuvent pas séparer avec certitude la cause et la circonstance concomitante. Les bases de données de pharmacovigilance ne montrent que des signaux : ce qui est connu et très discuté est déclaré plus souvent. Enfin, les risques théoriques découlent du mécanisme d’action, d’expérimentations animales ou de cultures cellulaires. Ils ne prouvent pas un dommage – mais pour des substances qui n’ont jamais été étudiées systématiquement chez l’humain, ils sont souvent la seule information disponible.</w:t>
      </w:r>
    </w:p>
    <w:p>
      <w:pPr>
        <w:pStyle w:val="BodyText"/>
      </w:pPr>
      <w:r>
        <w:rPr>
          <w:bCs/>
          <w:b/>
        </w:rPr>
        <w:t xml:space="preserve">L’absence de données n’est pas une garantie de sécurité.</w:t>
      </w:r>
      <w:r>
        <w:t xml:space="preserve"> </w:t>
      </w:r>
      <w:r>
        <w:t xml:space="preserve">Si, dans trois petites investigations portant au total sur 30 personnes, aucun effet indésirable lié au traitement n’a été remarqué (c’est le cas du BPC-157, Poolton 2026, PMID 42885452), cela signifie seulement qu’aucun problème très fréquent et immédiat n’est survenu. Un effet indésirable touchant une personne sur mille ne peut tout simplement pas être détecté par une étude aussi petite. Pour de nombreux peptides des groupes B, C et D, c’est la situation de départ.</w:t>
      </w:r>
    </w:p>
    <w:p>
      <w:pPr>
        <w:pStyle w:val="BodyText"/>
      </w:pPr>
      <w:r>
        <w:rPr>
          <w:bCs/>
          <w:b/>
        </w:rPr>
        <w:t xml:space="preserve">Risque relatif et risque absolu.</w:t>
      </w:r>
      <w:r>
        <w:t xml:space="preserve"> </w:t>
      </w:r>
      <w:r>
        <w:t xml:space="preserve">Les gros titres citent le plus souvent des chiffres relatifs : « trois fois plus fréquent ». Ce qui est décisif pour ta propre évaluation, c’est pourtant le nombre de personnes réellement touchées. Un exemple tiré de cette partie : dans une étude de registre dano-norvégienne, un certain trouble circulatoire du nerf optique était presque trois fois plus fréquent sous sémaglutide que sous un médicament de comparaison (hazard ratio 2,81). En chiffres absolus, cela représentait environ 1,4 cas supplémentaire pour 10 000 personnes-années</w:t>
      </w:r>
      <w:r>
        <w:rPr>
          <w:rStyle w:val="FootnoteReference"/>
        </w:rPr>
        <w:footnoteReference w:id="2605"/>
      </w:r>
      <w:r>
        <w:t xml:space="preserve">. Les deux sont exacts – et les deux font partie de l’information.</w:t>
      </w:r>
    </w:p>
    <w:p>
      <w:pPr>
        <w:pStyle w:val="BodyText"/>
      </w:pPr>
      <w:r>
        <w:t xml:space="preserve">Enfin, c’est le rapport bénéfice-risque qui compte. Un médicament contre le diabète de type 2 qui réduit les infarctus et les AVC dans de grandes études peut avoir des effets indésirables rares qui seraient inacceptables pour un produit bronzant ou un « peptide de longévité » sans bénéfice démontré. Une personne qui utilise un médicament autorisé avec un accompagnement médical et une indication claire est dans une situation totalement différente de celle de quelqu’un qui s’injecte une poudre non contrôlée achetée sur Internet. La manière de lire les études est expliquée dans la partie I, au chapitre « Bien lire les études ».</w:t>
      </w:r>
    </w:p>
    <w:p>
      <w:pPr>
        <w:pStyle w:val="BodyText"/>
      </w:pPr>
      <w:r>
        <w:t xml:space="preserve">La partie IV est organisée ainsi : ce chapitre classe les effets indésirables par système d’organes. Suivent des chapitres sur le risque de cancer et les signaux de croissance, sur les réactions immunitaires, sur les analyses de laboratoire de produits du marché gris et sur les interactions et les groupes de personnes particulièrement exposés.</w:t>
      </w:r>
    </w:p>
    <w:bookmarkStart w:id="2663" w:name="effets-indésirables-par-système-dorganes"/>
    <w:p>
      <w:pPr>
        <w:pStyle w:val="Heading2"/>
      </w:pPr>
      <w:r>
        <w:t xml:space="preserve">Effets indésirables par système d’organes</w:t>
      </w:r>
    </w:p>
    <w:p>
      <w:pPr>
        <w:pStyle w:val="FirstParagraph"/>
      </w:pPr>
      <w:r>
        <w:t xml:space="preserve">L’aperçu suivant résume quels systèmes d’organes sont le plus souvent touchés et par quels peptides. La colonne « Fréquence/preuves » indique un ordre de grandeur typique tiré d’une des études discutées dans ce chapitre ou dans le chapitre consacré au peptide concerné. Les chiffres proviennent d’études et de populations différentes et ne sont donc que grossièrement comparables.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Système d’organes</w:t>
            </w:r>
          </w:p>
        </w:tc>
        <w:tc>
          <w:tcPr/>
          <w:p>
            <w:pPr>
              <w:pStyle w:val="Compact"/>
              <w:jc w:val="left"/>
            </w:pPr>
            <w:r>
              <w:t xml:space="preserve">Peptides concernés</w:t>
            </w:r>
          </w:p>
        </w:tc>
        <w:tc>
          <w:tcPr/>
          <w:p>
            <w:pPr>
              <w:pStyle w:val="Compact"/>
              <w:jc w:val="left"/>
            </w:pPr>
            <w:r>
              <w:t xml:space="preserve">Fréquence/preuves</w:t>
            </w:r>
          </w:p>
        </w:tc>
        <w:tc>
          <w:tcPr/>
          <w:p>
            <w:pPr>
              <w:pStyle w:val="Compact"/>
              <w:jc w:val="left"/>
            </w:pPr>
            <w:r>
              <w:t xml:space="preserve">Chapitre</w:t>
            </w:r>
          </w:p>
        </w:tc>
      </w:tr>
      <w:tr>
        <w:tc>
          <w:tcPr/>
          <w:p>
            <w:pPr>
              <w:pStyle w:val="Compact"/>
              <w:jc w:val="left"/>
            </w:pPr>
            <w:r>
              <w:t xml:space="preserve">Tube digestif</w:t>
            </w:r>
          </w:p>
        </w:tc>
        <w:tc>
          <w:tcPr/>
          <w:p>
            <w:pPr>
              <w:pStyle w:val="Compact"/>
              <w:jc w:val="left"/>
            </w:pPr>
            <w:r>
              <w:t xml:space="preserve">tous les médicaments GLP-1, pramlintide, brémélanotide, setmélanotide</w:t>
            </w:r>
          </w:p>
        </w:tc>
        <w:tc>
          <w:tcPr/>
          <w:p>
            <w:pPr>
              <w:pStyle w:val="Compact"/>
              <w:jc w:val="left"/>
            </w:pPr>
            <w:r>
              <w:t xml:space="preserve">très fréquent ; CagriSema 79,6 % vs 39,9 % sous placebo (Garvey 2025, PMID 40544433)</w:t>
            </w:r>
          </w:p>
        </w:tc>
        <w:tc>
          <w:tcPr/>
          <w:p>
            <w:pPr>
              <w:pStyle w:val="Compact"/>
              <w:jc w:val="left"/>
            </w:pPr>
            <w:r>
              <w:t xml:space="preserve">Sémaglutide, Survodutide, Cagrilintide</w:t>
            </w:r>
          </w:p>
        </w:tc>
      </w:tr>
      <w:tr>
        <w:tc>
          <w:tcPr/>
          <w:p>
            <w:pPr>
              <w:pStyle w:val="Compact"/>
              <w:jc w:val="left"/>
            </w:pPr>
            <w:r>
              <w:t xml:space="preserve">Vésicule biliaire</w:t>
            </w:r>
          </w:p>
        </w:tc>
        <w:tc>
          <w:tcPr/>
          <w:p>
            <w:pPr>
              <w:pStyle w:val="Compact"/>
              <w:jc w:val="left"/>
            </w:pPr>
            <w:r>
              <w:t xml:space="preserve">classe GLP-1, surtout en cas de perte de poids</w:t>
            </w:r>
          </w:p>
        </w:tc>
        <w:tc>
          <w:tcPr/>
          <w:p>
            <w:pPr>
              <w:pStyle w:val="Compact"/>
              <w:jc w:val="left"/>
            </w:pPr>
            <w:r>
              <w:t xml:space="preserve">risque relatif 1,37 (toutes études), 2,29 (études sur la perte de poids)</w:t>
            </w:r>
          </w:p>
        </w:tc>
        <w:tc>
          <w:tcPr/>
          <w:p>
            <w:pPr>
              <w:pStyle w:val="Compact"/>
              <w:jc w:val="left"/>
            </w:pPr>
            <w:r>
              <w:t xml:space="preserve">Liraglutide, Tirzépatide</w:t>
            </w:r>
          </w:p>
        </w:tc>
      </w:tr>
      <w:tr>
        <w:tc>
          <w:tcPr/>
          <w:p>
            <w:pPr>
              <w:pStyle w:val="Compact"/>
              <w:jc w:val="left"/>
            </w:pPr>
            <w:r>
              <w:t xml:space="preserve">Pancréas</w:t>
            </w:r>
          </w:p>
        </w:tc>
        <w:tc>
          <w:tcPr/>
          <w:p>
            <w:pPr>
              <w:pStyle w:val="Compact"/>
              <w:jc w:val="left"/>
            </w:pPr>
            <w:r>
              <w:t xml:space="preserve">classe GLP-1</w:t>
            </w:r>
          </w:p>
        </w:tc>
        <w:tc>
          <w:tcPr/>
          <w:p>
            <w:pPr>
              <w:pStyle w:val="Compact"/>
              <w:jc w:val="left"/>
            </w:pPr>
            <w:r>
              <w:t xml:space="preserve">signal dans des méta-analyses, rare en absolu</w:t>
            </w:r>
          </w:p>
        </w:tc>
        <w:tc>
          <w:tcPr/>
          <w:p>
            <w:pPr>
              <w:pStyle w:val="Compact"/>
              <w:jc w:val="left"/>
            </w:pPr>
            <w:r>
              <w:t xml:space="preserve">Exénatide, Sémaglutide</w:t>
            </w:r>
          </w:p>
        </w:tc>
      </w:tr>
      <w:tr>
        <w:tc>
          <w:tcPr/>
          <w:p>
            <w:pPr>
              <w:pStyle w:val="Compact"/>
              <w:jc w:val="left"/>
            </w:pPr>
            <w:r>
              <w:t xml:space="preserve">Thyroïde</w:t>
            </w:r>
          </w:p>
        </w:tc>
        <w:tc>
          <w:tcPr/>
          <w:p>
            <w:pPr>
              <w:pStyle w:val="Compact"/>
              <w:jc w:val="left"/>
            </w:pPr>
            <w:r>
              <w:t xml:space="preserve">classe GLP-1</w:t>
            </w:r>
          </w:p>
        </w:tc>
        <w:tc>
          <w:tcPr/>
          <w:p>
            <w:pPr>
              <w:pStyle w:val="Compact"/>
              <w:jc w:val="left"/>
            </w:pPr>
            <w:r>
              <w:t xml:space="preserve">observation animale établie, chez l’humain données hétérogènes</w:t>
            </w:r>
          </w:p>
        </w:tc>
        <w:tc>
          <w:tcPr/>
          <w:p>
            <w:pPr>
              <w:pStyle w:val="Compact"/>
              <w:jc w:val="left"/>
            </w:pPr>
            <w:r>
              <w:t xml:space="preserve">Liraglutide, chapitre Risque de cancer</w:t>
            </w:r>
          </w:p>
        </w:tc>
      </w:tr>
      <w:tr>
        <w:tc>
          <w:tcPr/>
          <w:p>
            <w:pPr>
              <w:pStyle w:val="Compact"/>
              <w:jc w:val="left"/>
            </w:pPr>
            <w:r>
              <w:t xml:space="preserve">Yeux</w:t>
            </w:r>
          </w:p>
        </w:tc>
        <w:tc>
          <w:tcPr/>
          <w:p>
            <w:pPr>
              <w:pStyle w:val="Compact"/>
              <w:jc w:val="left"/>
            </w:pPr>
            <w:r>
              <w:t xml:space="preserve">sémaglutide (NAION, rétinopathie)</w:t>
            </w:r>
          </w:p>
        </w:tc>
        <w:tc>
          <w:tcPr/>
          <w:p>
            <w:pPr>
              <w:pStyle w:val="Compact"/>
              <w:jc w:val="left"/>
            </w:pPr>
            <w:r>
              <w:t xml:space="preserve">très rare ; environ 1,4 cas supplémentaire pour 10 000 personnes-années</w:t>
            </w:r>
          </w:p>
        </w:tc>
        <w:tc>
          <w:tcPr/>
          <w:p>
            <w:pPr>
              <w:pStyle w:val="Compact"/>
              <w:jc w:val="left"/>
            </w:pPr>
            <w:r>
              <w:t xml:space="preserve">Sémaglutide</w:t>
            </w:r>
          </w:p>
        </w:tc>
      </w:tr>
      <w:tr>
        <w:tc>
          <w:tcPr/>
          <w:p>
            <w:pPr>
              <w:pStyle w:val="Compact"/>
              <w:jc w:val="left"/>
            </w:pPr>
            <w:r>
              <w:t xml:space="preserve">Cardiovasculaire, eau</w:t>
            </w:r>
          </w:p>
        </w:tc>
        <w:tc>
          <w:tcPr/>
          <w:p>
            <w:pPr>
              <w:pStyle w:val="Compact"/>
              <w:jc w:val="left"/>
            </w:pPr>
            <w:r>
              <w:t xml:space="preserve">sécrétagogues de GH, ibutamorène, brémélanotide, macimoréline, ocytocine</w:t>
            </w:r>
          </w:p>
        </w:tc>
        <w:tc>
          <w:tcPr/>
          <w:p>
            <w:pPr>
              <w:pStyle w:val="Compact"/>
              <w:jc w:val="left"/>
            </w:pPr>
            <w:r>
              <w:t xml:space="preserve">signal d’insuffisance cardiaque, pics de pression artérielle, allongement du QT</w:t>
            </w:r>
          </w:p>
        </w:tc>
        <w:tc>
          <w:tcPr/>
          <w:p>
            <w:pPr>
              <w:pStyle w:val="Compact"/>
              <w:jc w:val="left"/>
            </w:pPr>
            <w:r>
              <w:t xml:space="preserve">Ibutamorène, Brémélanotide, Macimoréline</w:t>
            </w:r>
          </w:p>
        </w:tc>
      </w:tr>
      <w:tr>
        <w:tc>
          <w:tcPr/>
          <w:p>
            <w:pPr>
              <w:pStyle w:val="Compact"/>
              <w:jc w:val="left"/>
            </w:pPr>
            <w:r>
              <w:t xml:space="preserve">Psychisme</w:t>
            </w:r>
          </w:p>
        </w:tc>
        <w:tc>
          <w:tcPr/>
          <w:p>
            <w:pPr>
              <w:pStyle w:val="Compact"/>
              <w:jc w:val="left"/>
            </w:pPr>
            <w:r>
              <w:t xml:space="preserve">classe GLP-1 (étudiée), setmélanotide, Semax</w:t>
            </w:r>
          </w:p>
        </w:tc>
        <w:tc>
          <w:tcPr/>
          <w:p>
            <w:pPr>
              <w:pStyle w:val="Compact"/>
              <w:jc w:val="left"/>
            </w:pPr>
            <w:r>
              <w:t xml:space="preserve">pas de risque accru dans 86 ECR</w:t>
            </w:r>
          </w:p>
        </w:tc>
        <w:tc>
          <w:tcPr/>
          <w:p>
            <w:pPr>
              <w:pStyle w:val="Compact"/>
              <w:jc w:val="left"/>
            </w:pPr>
            <w:r>
              <w:t xml:space="preserve">Sémaglutide, Tirzépatide, Setmélanotide</w:t>
            </w:r>
          </w:p>
        </w:tc>
      </w:tr>
      <w:tr>
        <w:tc>
          <w:tcPr/>
          <w:p>
            <w:pPr>
              <w:pStyle w:val="Compact"/>
              <w:jc w:val="left"/>
            </w:pPr>
            <w:r>
              <w:t xml:space="preserve">Peau, pigment</w:t>
            </w:r>
          </w:p>
        </w:tc>
        <w:tc>
          <w:tcPr/>
          <w:p>
            <w:pPr>
              <w:pStyle w:val="Compact"/>
              <w:jc w:val="left"/>
            </w:pPr>
            <w:r>
              <w:t xml:space="preserve">Melanotan II, setmélanotide, afamélanotide, brémélanotide, LL-37</w:t>
            </w:r>
          </w:p>
        </w:tc>
        <w:tc>
          <w:tcPr/>
          <w:p>
            <w:pPr>
              <w:pStyle w:val="Compact"/>
              <w:jc w:val="left"/>
            </w:pPr>
            <w:r>
              <w:t xml:space="preserve">pigmentation sous setmélanotide 62 % ; rapports de cas de mélanome sous Melanotan II</w:t>
            </w:r>
          </w:p>
        </w:tc>
        <w:tc>
          <w:tcPr/>
          <w:p>
            <w:pPr>
              <w:pStyle w:val="Compact"/>
              <w:jc w:val="left"/>
            </w:pPr>
            <w:r>
              <w:t xml:space="preserve">Melanotan II, Setmélanotide</w:t>
            </w:r>
          </w:p>
        </w:tc>
      </w:tr>
      <w:tr>
        <w:tc>
          <w:tcPr/>
          <w:p>
            <w:pPr>
              <w:pStyle w:val="Compact"/>
              <w:jc w:val="left"/>
            </w:pPr>
            <w:r>
              <w:t xml:space="preserve">Système hormonal</w:t>
            </w:r>
          </w:p>
        </w:tc>
        <w:tc>
          <w:tcPr/>
          <w:p>
            <w:pPr>
              <w:pStyle w:val="Compact"/>
              <w:jc w:val="left"/>
            </w:pPr>
            <w:r>
              <w:t xml:space="preserve">GHRP-2, GHRP-6, hexaréline, kisspeptine, gonadoréline</w:t>
            </w:r>
          </w:p>
        </w:tc>
        <w:tc>
          <w:tcPr/>
          <w:p>
            <w:pPr>
              <w:pStyle w:val="Compact"/>
              <w:jc w:val="left"/>
            </w:pPr>
            <w:r>
              <w:t xml:space="preserve">hausse du cortisol et de la prolactine ; suppression de l’axe en administration continue</w:t>
            </w:r>
          </w:p>
        </w:tc>
        <w:tc>
          <w:tcPr/>
          <w:p>
            <w:pPr>
              <w:pStyle w:val="Compact"/>
              <w:jc w:val="left"/>
            </w:pPr>
            <w:r>
              <w:t xml:space="preserve">Groupe C, Kisspeptine</w:t>
            </w:r>
          </w:p>
        </w:tc>
      </w:tr>
      <w:tr>
        <w:tc>
          <w:tcPr/>
          <w:p>
            <w:pPr>
              <w:pStyle w:val="Compact"/>
              <w:jc w:val="left"/>
            </w:pPr>
            <w:r>
              <w:t xml:space="preserve">Glycémie</w:t>
            </w:r>
          </w:p>
        </w:tc>
        <w:tc>
          <w:tcPr/>
          <w:p>
            <w:pPr>
              <w:pStyle w:val="Compact"/>
              <w:jc w:val="left"/>
            </w:pPr>
            <w:r>
              <w:t xml:space="preserve">mécasermine, pramlintide, GLP-1 avec insuline/sulfamide hypoglycémiant ; axe GH</w:t>
            </w:r>
          </w:p>
        </w:tc>
        <w:tc>
          <w:tcPr/>
          <w:p>
            <w:pPr>
              <w:pStyle w:val="Compact"/>
              <w:jc w:val="left"/>
            </w:pPr>
            <w:r>
              <w:t xml:space="preserve">hypoglycémie chez 49 % sous mécasermine ; glycémie plus élevée sous ibutamorène</w:t>
            </w:r>
          </w:p>
        </w:tc>
        <w:tc>
          <w:tcPr/>
          <w:p>
            <w:pPr>
              <w:pStyle w:val="Compact"/>
              <w:jc w:val="left"/>
            </w:pPr>
            <w:r>
              <w:t xml:space="preserve">Mécasermine, Pramlintide, Ibutamorène</w:t>
            </w:r>
          </w:p>
        </w:tc>
      </w:tr>
    </w:tbl>
    <w:bookmarkStart w:id="2615" w:name="tube-digestif"/>
    <w:p>
      <w:pPr>
        <w:pStyle w:val="Heading3"/>
      </w:pPr>
      <w:r>
        <w:t xml:space="preserve">Tube digestif</w:t>
      </w:r>
    </w:p>
    <w:p>
      <w:pPr>
        <w:pStyle w:val="FirstParagraph"/>
      </w:pPr>
      <w:r>
        <w:t xml:space="preserve">Aucun autre système d’organes n’est aussi souvent touché. Nausées, vomissements, diarrhée et constipation sont les effets indésirables typiques de tous les médicaments qui agissent sur le récepteur du GLP-1 – de l’exénatide, plus ancien, au sémaglutide et au tirzépatide, jusqu’aux nouveaux agonistes multiples. Une revue qui a résumé 60 méta-analyses portant au total sur 1 751 études randomisées a trouvé les signaux les plus solides précisément ici : la cote (odds) des nausées était environ deux fois et demie plus élevée sous agonistes du récepteur du GLP-1 que dans les groupes de comparaison (odds ratio 2,47), près de trois fois pour les vomissements (2,78) et environ deux fois pour la diarrhée (1,94)</w:t>
      </w:r>
      <w:r>
        <w:rPr>
          <w:rStyle w:val="FootnoteReference"/>
        </w:rPr>
        <w:footnoteReference w:id="2606"/>
      </w:r>
      <w:r>
        <w:t xml:space="preserve">.</w:t>
      </w:r>
    </w:p>
    <w:p>
      <w:pPr>
        <w:pStyle w:val="BodyText"/>
      </w:pPr>
      <w:r>
        <w:t xml:space="preserve">La fréquence des troubles dépend fortement de la substance, de la dose et du rythme d’augmentation de la dose. Une méta-analyse en réseau de 39 études portant sur 33 354 personnes en surpoids sans diabète a trouvé un risque accru de nausées pour toutes les substances étudiées, le plus marqué pour l’orforglipron, suivi de l’exénatide, du tirzépatide, du sémaglutide et du liraglutide</w:t>
      </w:r>
      <w:r>
        <w:rPr>
          <w:rStyle w:val="FootnoteReference"/>
        </w:rPr>
        <w:footnoteReference w:id="2607"/>
      </w:r>
      <w:r>
        <w:t xml:space="preserve">. Pour les substances comportant en plus une composante glucagon, les taux sont particulièrement élevés : dans l’étude sur la stéatose hépatique avec le survodutide, 66 % des participants ont eu des nausées contre 23 % sous placebo</w:t>
      </w:r>
      <w:r>
        <w:rPr>
          <w:rStyle w:val="FootnoteReference"/>
        </w:rPr>
        <w:footnoteReference w:id="2608"/>
      </w:r>
      <w:r>
        <w:t xml:space="preserve">. Les détails figurent dans les chapitres Survodutide, Mazdutide et Rétatrutide.</w:t>
      </w:r>
    </w:p>
    <w:p>
      <w:pPr>
        <w:pStyle w:val="BodyText"/>
      </w:pPr>
      <w:r>
        <w:t xml:space="preserve">En dehors du groupe GLP-1 aussi, les nausées sont fréquentes. Sous brémélanotide, elles sont survenues dans les études de phase 3 chez 40,0 % des participants contre 1,3 % sous placebo et ont été le motif d’arrêt le plus fréquent</w:t>
      </w:r>
      <w:r>
        <w:rPr>
          <w:rStyle w:val="FootnoteReference"/>
        </w:rPr>
        <w:footnoteReference w:id="2609"/>
      </w:r>
      <w:r>
        <w:t xml:space="preserve">. Sous pramlintide, 63 % ont signalé des nausées, contre 36 % sous placebo</w:t>
      </w:r>
      <w:r>
        <w:rPr>
          <w:rStyle w:val="FootnoteReference"/>
        </w:rPr>
        <w:footnoteReference w:id="2610"/>
      </w:r>
      <w:r>
        <w:t xml:space="preserve">. Sous setmélanotide, elles touchaient 36 % des personnes dans une méta-analyse de sept études</w:t>
      </w:r>
      <w:r>
        <w:rPr>
          <w:rStyle w:val="FootnoteReference"/>
        </w:rPr>
        <w:footnoteReference w:id="2611"/>
      </w:r>
      <w:r>
        <w:t xml:space="preserve">.</w:t>
      </w:r>
    </w:p>
    <w:p>
      <w:pPr>
        <w:pStyle w:val="BodyText"/>
      </w:pPr>
      <w:r>
        <w:t xml:space="preserve">Plus importante que la fréquence des nausées est la question des événements digestifs</w:t>
      </w:r>
      <w:r>
        <w:t xml:space="preserve"> </w:t>
      </w:r>
      <w:r>
        <w:rPr>
          <w:bCs/>
          <w:b/>
        </w:rPr>
        <w:t xml:space="preserve">graves</w:t>
      </w:r>
      <w:r>
        <w:t xml:space="preserve">. Une analyse de base de données de 2023 avait signalé pour les agonistes du récepteur du GLP-1 utilisés pour la perte de poids un risque accru de pancréatite, d’occlusion intestinale et de gastroparésie</w:t>
      </w:r>
      <w:r>
        <w:rPr>
          <w:rStyle w:val="FootnoteReference"/>
        </w:rPr>
        <w:footnoteReference w:id="2612"/>
      </w:r>
      <w:r>
        <w:t xml:space="preserve">. Une méta-analyse de 55 études contrôlées contre placebo totalisant 106 395 participants ne l’a pas confirmé pour la plupart de ces événements. Étaient augmentés les calculs biliaires (risque relatif 1,46 ; deux cas supplémentaires pour 1 000 personnes traitées) et probablement le reflux gastro-œsophagien (risque relatif 2,19 ; quatre cas supplémentaires pour 1 000). Pour l’occlusion intestinale, la gastroparésie, les ulcères ou les saignements, aucune différence nette n’a été trouvée</w:t>
      </w:r>
      <w:r>
        <w:rPr>
          <w:rStyle w:val="FootnoteReference"/>
        </w:rPr>
        <w:footnoteReference w:id="2613"/>
      </w:r>
      <w:r>
        <w:t xml:space="preserve">. Dans une étude de cohorte fondée sur des données de routine, le tirzépatide et le sémaglutide ne différaient guère pour les événements digestifs graves</w:t>
      </w:r>
      <w:r>
        <w:rPr>
          <w:rStyle w:val="FootnoteReference"/>
        </w:rPr>
        <w:footnoteReference w:id="2614"/>
      </w:r>
      <w:r>
        <w:t xml:space="preserve">.</w:t>
      </w:r>
    </w:p>
    <w:p>
      <w:pPr>
        <w:pStyle w:val="BodyText"/>
      </w:pPr>
      <w:r>
        <w:t xml:space="preserve">Sur le plan pratique, il est important de savoir que des vomissements et une diarrhée persistants peuvent entraîner une perte de liquide. Dans les études, les troubles surviennent surtout pendant la phase d’augmentation de la dose ; c’est pourquoi les RCP des médicaments autorisés prévoient une progression par paliers, qui doit être accompagnée par un médecin. Avec des produits du marché gris dont le contenu est inconnu, un tel schéma ne peut pas être respecté de manière fiable (voir le chapitre « Produits du marché gris »).</w:t>
      </w:r>
    </w:p>
    <w:bookmarkEnd w:id="2615"/>
    <w:bookmarkStart w:id="2619" w:name="vésicule-biliaire-et-pancréas"/>
    <w:p>
      <w:pPr>
        <w:pStyle w:val="Heading3"/>
      </w:pPr>
      <w:r>
        <w:t xml:space="preserve">Vésicule biliaire et pancréas</w:t>
      </w:r>
    </w:p>
    <w:p>
      <w:pPr>
        <w:pStyle w:val="FirstParagraph"/>
      </w:pPr>
      <w:r>
        <w:t xml:space="preserve">Pour la vésicule biliaire, le risque est désormais bien établi. Une méta-analyse de 76 études randomisées totalisant 103 371 participants a mis en évidence sous agonistes du récepteur du GLP-1 un risque relatif accru de 37 % de maladies de la vésicule et des voies biliaires. Dans les études sur la perte de poids, le risque relatif, à 2,29, était nettement plus élevé que dans les études sur le diabète</w:t>
      </w:r>
      <w:r>
        <w:rPr>
          <w:rStyle w:val="FootnoteReference"/>
        </w:rPr>
        <w:footnoteReference w:id="2616"/>
      </w:r>
      <w:r>
        <w:t xml:space="preserve">. Une partie de l’effet est probablement due à la perte de poids rapide elle-même, dont on sait qu’elle favorise les calculs biliaires. Dans STEP TEENS, 5 adolescents sur 133 sous sémaglutide ont développé des calculs biliaires, aucun sous placebo</w:t>
      </w:r>
      <w:r>
        <w:rPr>
          <w:rStyle w:val="FootnoteReference"/>
        </w:rPr>
        <w:footnoteReference w:id="2617"/>
      </w:r>
      <w:r>
        <w:t xml:space="preserve">.</w:t>
      </w:r>
    </w:p>
    <w:p>
      <w:pPr>
        <w:pStyle w:val="BodyText"/>
      </w:pPr>
      <w:r>
        <w:t xml:space="preserve">Pour le pancréas, la situation est moins nette. Une méta-analyse de 62 études totalisant 66 232 participants a trouvé dans l’ensemble un risque légèrement accru de pancréatite (risque relatif 1,44). Lorsque les études ont été séparées selon que les participants prenaient ou non d’autres médicaments en plus, la différence n’était plus statistiquement établie dans aucun des deux groupes</w:t>
      </w:r>
      <w:r>
        <w:rPr>
          <w:rStyle w:val="FootnoteReference"/>
        </w:rPr>
        <w:footnoteReference w:id="2618"/>
      </w:r>
      <w:r>
        <w:t xml:space="preserve">. La fréquence absolue est faible ; dans les grandes études de critères cliniques, la pancréatite est rarement survenue. Les RCP la mentionnent comme effet indésirable rare. Des douleurs intenses et persistantes de la partie haute de l’abdomen, irradiant souvent dans le dos, doivent toujours être évaluées par un médecin sous ces médicaments. Pour la question du cancer du pancréas, voir le chapitre suivant.</w:t>
      </w:r>
    </w:p>
    <w:bookmarkEnd w:id="2619"/>
    <w:bookmarkStart w:id="2621" w:name="thyroïde"/>
    <w:p>
      <w:pPr>
        <w:pStyle w:val="Heading3"/>
      </w:pPr>
      <w:r>
        <w:t xml:space="preserve">Thyroïde</w:t>
      </w:r>
    </w:p>
    <w:p>
      <w:pPr>
        <w:pStyle w:val="FirstParagraph"/>
      </w:pPr>
      <w:r>
        <w:t xml:space="preserve">L’inquiétude concernant la thyroïde provient d’expérimentations animales : chez le rat et la souris, les agonistes du récepteur du GLP-1 ont entraîné des hyperplasies et des tumeurs des cellules C, qui produisent l’hormone calcitonine. Chez l’humain, les données sont hétérogènes. Un indice direct d’une stimulation des cellules C serait une hausse de la calcitonine dans le sang. Dans l’étude LEADER portant sur 9 340 participants, les taux de calcitonine ne différaient pas après 36 mois entre le liraglutide et le placebo, et aucun carcinome médullaire de la thyroïde n’est survenu sous liraglutide</w:t>
      </w:r>
      <w:r>
        <w:rPr>
          <w:rStyle w:val="FootnoteReference"/>
        </w:rPr>
        <w:footnoteReference w:id="2620"/>
      </w:r>
      <w:r>
        <w:t xml:space="preserve">. La manière d’évaluer globalement la question du cancer est traitée au chapitre « Risque de cancer et signaux de croissance ». Indépendamment de cela, les RCP prévoient une contre-indication en cas d’antécédent personnel ou familial de carcinome médullaire de la thyroïde et en cas de syndrome NEM 2.</w:t>
      </w:r>
    </w:p>
    <w:bookmarkEnd w:id="2621"/>
    <w:bookmarkStart w:id="2629" w:name="yeux-rétine-et-nerf-optique"/>
    <w:p>
      <w:pPr>
        <w:pStyle w:val="Heading3"/>
      </w:pPr>
      <w:r>
        <w:t xml:space="preserve">Yeux : rétine et nerf optique</w:t>
      </w:r>
    </w:p>
    <w:p>
      <w:pPr>
        <w:pStyle w:val="FirstParagraph"/>
      </w:pPr>
      <w:r>
        <w:t xml:space="preserve">Il y a ici deux questions différentes.</w:t>
      </w:r>
    </w:p>
    <w:p>
      <w:pPr>
        <w:pStyle w:val="BodyText"/>
      </w:pPr>
      <w:r>
        <w:rPr>
          <w:bCs/>
          <w:b/>
        </w:rPr>
        <w:t xml:space="preserve">Rétinopathie diabétique.</w:t>
      </w:r>
      <w:r>
        <w:t xml:space="preserve"> </w:t>
      </w:r>
      <w:r>
        <w:t xml:space="preserve">Dans SUSTAIN 6, une étude cardiovasculaire portant sur 3 297 personnes atteintes de diabète de type 2, les complications d’une rétinopathie diabétique ont été plus fréquentes sous sémaglutide que sous placebo (hazard ratio 1,76)</w:t>
      </w:r>
      <w:r>
        <w:rPr>
          <w:rStyle w:val="FootnoteReference"/>
        </w:rPr>
        <w:footnoteReference w:id="2622"/>
      </w:r>
      <w:r>
        <w:t xml:space="preserve">. On suppose qu’une baisse très rapide de la glycémie aggrave temporairement une rétinopathie préexistante – un phénomène également connu avec l’insuline. Une méta-analyse de 78 études totalisant 73 640 participants n’a globalement trouvé aucun risque accru de rétinopathie diabétique (odds ratio 1,04) ni de maladies oculaires en général</w:t>
      </w:r>
      <w:r>
        <w:rPr>
          <w:rStyle w:val="FootnoteReference"/>
        </w:rPr>
        <w:footnoteReference w:id="2623"/>
      </w:r>
      <w:r>
        <w:t xml:space="preserve">. Pour les personnes ayant une rétinopathie connue, un suivi ophtalmologique reste néanmoins judicieux.</w:t>
      </w:r>
    </w:p>
    <w:p>
      <w:pPr>
        <w:pStyle w:val="BodyText"/>
      </w:pPr>
      <w:r>
        <w:rPr>
          <w:bCs/>
          <w:b/>
        </w:rPr>
        <w:t xml:space="preserve">NAION.</w:t>
      </w:r>
      <w:r>
        <w:t xml:space="preserve"> </w:t>
      </w:r>
      <w:r>
        <w:t xml:space="preserve">La neuropathie optique ischémique antérieure non artéritique est un trouble circulatoire de la tête du nerf optique qui entraîne le plus souvent, sans douleur, une perte soudaine de la vision d’un œil. Depuis une première étude issue d’une clinique de neuro-ophtalmologie</w:t>
      </w:r>
      <w:r>
        <w:rPr>
          <w:rStyle w:val="FootnoteReference"/>
        </w:rPr>
        <w:footnoteReference w:id="2624"/>
      </w:r>
      <w:r>
        <w:t xml:space="preserve">, de nombreuses autres investigations ont été publiées, avec des résultats divergents :</w:t>
      </w:r>
    </w:p>
    <w:p>
      <w:pPr>
        <w:numPr>
          <w:ilvl w:val="0"/>
          <w:numId w:val="1336"/>
        </w:numPr>
        <w:pStyle w:val="Compact"/>
      </w:pPr>
      <w:r>
        <w:t xml:space="preserve">L’étude de registre dano-norvégienne a trouvé un risque relatif accru (hazard ratio 2,81), soit en absolu environ 1,4 cas supplémentaire pour 10 000 personnes-années</w:t>
      </w:r>
      <w:r>
        <w:rPr>
          <w:rStyle w:val="FootnoteReference"/>
        </w:rPr>
        <w:footnoteReference w:id="2625"/>
      </w:r>
      <w:r>
        <w:t xml:space="preserve">.</w:t>
      </w:r>
    </w:p>
    <w:p>
      <w:pPr>
        <w:numPr>
          <w:ilvl w:val="0"/>
          <w:numId w:val="1336"/>
        </w:numPr>
        <w:pStyle w:val="Compact"/>
      </w:pPr>
      <w:r>
        <w:t xml:space="preserve">Dans une cohorte américaine de 159 398 personnes atteintes de diabète de type 2, 0,04 % des personnes sous sémaglutide ou tirzépatide et 0,02 % dans le groupe de comparaison ont été atteintes en deux ans (hazard ratio 1,76)</w:t>
      </w:r>
      <w:r>
        <w:rPr>
          <w:rStyle w:val="FootnoteReference"/>
        </w:rPr>
        <w:footnoteReference w:id="2626"/>
      </w:r>
      <w:r>
        <w:t xml:space="preserve">.</w:t>
      </w:r>
    </w:p>
    <w:p>
      <w:pPr>
        <w:numPr>
          <w:ilvl w:val="0"/>
          <w:numId w:val="1336"/>
        </w:numPr>
        <w:pStyle w:val="Compact"/>
      </w:pPr>
      <w:r>
        <w:t xml:space="preserve">Une étude internationale sur base de données portant sur près de 300 000 personnes n’a trouvé aucun lien établi</w:t>
      </w:r>
      <w:r>
        <w:rPr>
          <w:rStyle w:val="FootnoteReference"/>
        </w:rPr>
        <w:footnoteReference w:id="2627"/>
      </w:r>
      <w:r>
        <w:t xml:space="preserve">.</w:t>
      </w:r>
    </w:p>
    <w:p>
      <w:pPr>
        <w:numPr>
          <w:ilvl w:val="0"/>
          <w:numId w:val="1336"/>
        </w:numPr>
        <w:pStyle w:val="Compact"/>
      </w:pPr>
      <w:r>
        <w:t xml:space="preserve">Une méta-analyse n’a vu le signal que dans les études observationnelles sur le diabète, ni dans les études randomisées ni dans l’obésité</w:t>
      </w:r>
      <w:r>
        <w:rPr>
          <w:rStyle w:val="FootnoteReference"/>
        </w:rPr>
        <w:footnoteReference w:id="2628"/>
      </w:r>
      <w:r>
        <w:t xml:space="preserve">.</w:t>
      </w:r>
    </w:p>
    <w:p>
      <w:pPr>
        <w:pStyle w:val="FirstParagraph"/>
      </w:pPr>
      <w:r>
        <w:t xml:space="preserve">En résumé : un risque légèrement accru est possible, la fréquence absolue est très faible. L’Agence européenne des médicaments a ajouté en 2025 la NAION au RCP du sémaglutide comme effet indésirable très rare. Une perte soudaine de la vision est dans tous les cas une urgence. Détails au chapitre Sémaglutide.</w:t>
      </w:r>
    </w:p>
    <w:bookmarkEnd w:id="2629"/>
    <w:bookmarkStart w:id="2638" w:name="X138290d43e98cdeacb8f0113fc69abcc045ddb8"/>
    <w:p>
      <w:pPr>
        <w:pStyle w:val="Heading3"/>
      </w:pPr>
      <w:r>
        <w:t xml:space="preserve">Système cardiovasculaire et rétention d’eau</w:t>
      </w:r>
    </w:p>
    <w:p>
      <w:pPr>
        <w:pStyle w:val="FirstParagraph"/>
      </w:pPr>
      <w:r>
        <w:t xml:space="preserve">Pour les médicaments GLP-1, le bénéfice pour le cœur et les vaisseaux l’emporte selon les connaissances actuelles : dans SUSTAIN 6, les événements cardiovasculaires graves ont été moins fréquents sous sémaglutide (6,6 % contre 8,9 %)</w:t>
      </w:r>
      <w:r>
        <w:rPr>
          <w:rStyle w:val="FootnoteReference"/>
        </w:rPr>
        <w:footnoteReference w:id="2630"/>
      </w:r>
      <w:r>
        <w:t xml:space="preserve">. Une légère hausse de la fréquence cardiaque au repos est toutefois une propriété de classe, parfois plus marquée avec les nouveaux agonistes multiples. Sous rétatrutide, une hypotension artérielle est en outre survenue dans TRIUMPH-2 chez 1 à 6 % des participants, contre moins de 1 % sous placebo</w:t>
      </w:r>
      <w:r>
        <w:rPr>
          <w:rStyle w:val="FootnoteReference"/>
        </w:rPr>
        <w:footnoteReference w:id="2631"/>
      </w:r>
      <w:r>
        <w:t xml:space="preserve">. Voir les chapitres Rétatrutide et Survodutide.</w:t>
      </w:r>
    </w:p>
    <w:p>
      <w:pPr>
        <w:pStyle w:val="BodyText"/>
      </w:pPr>
      <w:r>
        <w:t xml:space="preserve">L’</w:t>
      </w:r>
      <w:r>
        <w:rPr>
          <w:bCs/>
          <w:b/>
        </w:rPr>
        <w:t xml:space="preserve">axe de l’hormone de croissance</w:t>
      </w:r>
      <w:r>
        <w:t xml:space="preserve"> </w:t>
      </w:r>
      <w:r>
        <w:t xml:space="preserve">présente un schéma tout autre. L’hormone de croissance retient l’eau dans l’organisme. Dans une revue d’études menées chez des personnes âgées en bonne santé, œdèmes, douleurs articulaires, syndrome du canal carpien et gynécomastie chez l’homme sont survenus plus souvent sous hormone de croissance</w:t>
      </w:r>
      <w:r>
        <w:rPr>
          <w:rStyle w:val="FootnoteReference"/>
        </w:rPr>
        <w:footnoteReference w:id="2632"/>
      </w:r>
      <w:r>
        <w:t xml:space="preserve">. Pour les sécrétagogues, qui stimulent la sécrétion endogène, un schéma similaire est attendu. Il a été le plus net avec l’ibutamorène oral : une étude chez des personnes âgées après une fracture de la hanche a été arrêtée prématurément en raison d’un signal d’insuffisance cardiaque</w:t>
      </w:r>
      <w:r>
        <w:rPr>
          <w:rStyle w:val="FootnoteReference"/>
        </w:rPr>
        <w:footnoteReference w:id="2633"/>
      </w:r>
      <w:r>
        <w:t xml:space="preserve">. Un cœur déjà affaibli supporte mal un surplus de liquide.</w:t>
      </w:r>
    </w:p>
    <w:p>
      <w:pPr>
        <w:pStyle w:val="BodyText"/>
      </w:pPr>
      <w:r>
        <w:t xml:space="preserve">Autres observations isolées :</w:t>
      </w:r>
    </w:p>
    <w:p>
      <w:pPr>
        <w:numPr>
          <w:ilvl w:val="0"/>
          <w:numId w:val="1337"/>
        </w:numPr>
        <w:pStyle w:val="Compact"/>
      </w:pPr>
      <w:r>
        <w:rPr>
          <w:bCs/>
          <w:b/>
        </w:rPr>
        <w:t xml:space="preserve">Le brémélanotide</w:t>
      </w:r>
      <w:r>
        <w:t xml:space="preserve"> </w:t>
      </w:r>
      <w:r>
        <w:t xml:space="preserve">a augmenté temporairement la pression artérielle systolique de 2,4 à 3,2 mmHg après l’administration ; les pics duraient le plus souvent moins de 15 minutes, tandis que le pouls baissait</w:t>
      </w:r>
      <w:r>
        <w:rPr>
          <w:rStyle w:val="FootnoteReference"/>
        </w:rPr>
        <w:footnoteReference w:id="2634"/>
      </w:r>
      <w:r>
        <w:t xml:space="preserve">.</w:t>
      </w:r>
    </w:p>
    <w:p>
      <w:pPr>
        <w:numPr>
          <w:ilvl w:val="0"/>
          <w:numId w:val="1337"/>
        </w:numPr>
        <w:pStyle w:val="Compact"/>
      </w:pPr>
      <w:r>
        <w:rPr>
          <w:bCs/>
          <w:b/>
        </w:rPr>
        <w:t xml:space="preserve">La macimoréline</w:t>
      </w:r>
      <w:r>
        <w:t xml:space="preserve">, à une dose unique volontairement excessive, a allongé l’intervalle QT à l’ECG en moyenne de jusqu’à 9,61 millisecondes</w:t>
      </w:r>
      <w:r>
        <w:rPr>
          <w:rStyle w:val="FootnoteReference"/>
        </w:rPr>
        <w:footnoteReference w:id="2635"/>
      </w:r>
      <w:r>
        <w:t xml:space="preserve"> </w:t>
      </w:r>
      <w:r>
        <w:t xml:space="preserve">– un point pertinent pour les personnes qui prennent d’autres médicaments allongeant le QT.</w:t>
      </w:r>
    </w:p>
    <w:p>
      <w:pPr>
        <w:numPr>
          <w:ilvl w:val="0"/>
          <w:numId w:val="1337"/>
        </w:numPr>
        <w:pStyle w:val="Compact"/>
      </w:pPr>
      <w:r>
        <w:rPr>
          <w:bCs/>
          <w:b/>
        </w:rPr>
        <w:t xml:space="preserve">L’ocytocine</w:t>
      </w:r>
      <w:r>
        <w:t xml:space="preserve"> </w:t>
      </w:r>
      <w:r>
        <w:t xml:space="preserve">ressemble chimiquement à la vasopressine, hormone de l’équilibre hydrique. Un cas d’hypertension intracrânienne sous ocytocine en spray nasal, associé à des apports hydriques très élevés, a été décrit</w:t>
      </w:r>
      <w:r>
        <w:rPr>
          <w:rStyle w:val="FootnoteReference"/>
        </w:rPr>
        <w:footnoteReference w:id="2636"/>
      </w:r>
      <w:r>
        <w:t xml:space="preserve">.</w:t>
      </w:r>
    </w:p>
    <w:p>
      <w:pPr>
        <w:numPr>
          <w:ilvl w:val="0"/>
          <w:numId w:val="1337"/>
        </w:numPr>
        <w:pStyle w:val="Compact"/>
      </w:pPr>
      <w:r>
        <w:rPr>
          <w:bCs/>
          <w:b/>
        </w:rPr>
        <w:t xml:space="preserve">Melanotan II :</w:t>
      </w:r>
      <w:r>
        <w:t xml:space="preserve"> </w:t>
      </w:r>
      <w:r>
        <w:t xml:space="preserve">rapports de cas de rhabdomyolyse avec atteinte rénale</w:t>
      </w:r>
      <w:r>
        <w:rPr>
          <w:rStyle w:val="FootnoteReference"/>
        </w:rPr>
        <w:footnoteReference w:id="2637"/>
      </w:r>
      <w:r>
        <w:t xml:space="preserve"> </w:t>
      </w:r>
      <w:r>
        <w:t xml:space="preserve">et d’un infarctus rénal ; voir le chapitre Melanotan II.</w:t>
      </w:r>
    </w:p>
    <w:bookmarkEnd w:id="2638"/>
    <w:bookmarkStart w:id="2643" w:name="psychisme-et-suicidalité"/>
    <w:p>
      <w:pPr>
        <w:pStyle w:val="Heading3"/>
      </w:pPr>
      <w:r>
        <w:t xml:space="preserve">Psychisme et suicidalité</w:t>
      </w:r>
    </w:p>
    <w:p>
      <w:pPr>
        <w:pStyle w:val="FirstParagraph"/>
      </w:pPr>
      <w:r>
        <w:t xml:space="preserve">En 2023, des déclarations isolées d’idées suicidaires sous sémaglutide et liraglutide ont déclenché des évaluations par les autorités en Europe et aux États-Unis. Les données sont désormais nettement meilleures et majoritairement rassurantes. Une méta-analyse de 86 études randomisées totalisant 133 378 participants n’a trouvé sous agonistes du récepteur du GLP-1 aucun risque accru de troubles psychiques dans leur ensemble (risque relatif 0,96), de dépression (0,88), de suicide (0,90) ou de troubles anxieux (0,92)</w:t>
      </w:r>
      <w:r>
        <w:rPr>
          <w:rStyle w:val="FootnoteReference"/>
        </w:rPr>
        <w:footnoteReference w:id="2639"/>
      </w:r>
      <w:r>
        <w:t xml:space="preserve">. Dans une étude de registre scandinave portant sur 124 517 personnes sous agonistes du récepteur du GLP-1, le risque de suicide n’était pas augmenté par rapport à un autre antidiabétique ; la limite supérieure de l’intervalle de confiance correspondait au plus à 0,16 décès supplémentaire pour 1 000 personnes-années</w:t>
      </w:r>
      <w:r>
        <w:rPr>
          <w:rStyle w:val="FootnoteReference"/>
        </w:rPr>
        <w:footnoteReference w:id="2640"/>
      </w:r>
      <w:r>
        <w:t xml:space="preserve">. Dans les études SURMOUNT, 0,6 % des participants sous tirzépatide comme sous placebo ont signalé des idées suicidaires</w:t>
      </w:r>
      <w:r>
        <w:rPr>
          <w:rStyle w:val="FootnoteReference"/>
        </w:rPr>
        <w:footnoteReference w:id="2641"/>
      </w:r>
      <w:r>
        <w:t xml:space="preserve">. Chez les adolescents aussi, une méta-analyse n’a trouvé aucune augmentation des comportements suicidaires ou de la dépression</w:t>
      </w:r>
      <w:r>
        <w:rPr>
          <w:rStyle w:val="FootnoteReference"/>
        </w:rPr>
        <w:footnoteReference w:id="2642"/>
      </w:r>
      <w:r>
        <w:t xml:space="preserve">.</w:t>
      </w:r>
    </w:p>
    <w:p>
      <w:pPr>
        <w:pStyle w:val="BodyText"/>
      </w:pPr>
      <w:r>
        <w:t xml:space="preserve">Une restriction demeure : les personnes atteintes de troubles psychiques graves étaient exclues de nombreuses études. Pour elles et pour les personnes atteintes de troubles du comportement alimentaire, des considérations spécifiques s’appliquent (voir le chapitre « Interactions et groupes à risque particulier »).</w:t>
      </w:r>
    </w:p>
    <w:p>
      <w:pPr>
        <w:pStyle w:val="BodyText"/>
      </w:pPr>
      <w:r>
        <w:t xml:space="preserve">D’autres peptides agissent plus directement sur le cerveau. Le RCP du setmélanotide comporte des mises en garde concernant la dépression et les idées suicidaires (chapitre Setmélanotide). Pour le Semax, une modification de l’EEG de type crise a été décrite chez quelques personnes ayant un cerveau déjà lésé (chapitre Semax). Pour la plupart des « peptides nootropes » du groupe D, il n’existe tout simplement pas de données systématiques sur les effets indésirables psychiques.</w:t>
      </w:r>
    </w:p>
    <w:bookmarkEnd w:id="2643"/>
    <w:bookmarkStart w:id="2651" w:name="peau-et-pigment"/>
    <w:p>
      <w:pPr>
        <w:pStyle w:val="Heading3"/>
      </w:pPr>
      <w:r>
        <w:t xml:space="preserve">Peau et pigment</w:t>
      </w:r>
    </w:p>
    <w:p>
      <w:pPr>
        <w:pStyle w:val="FirstParagraph"/>
      </w:pPr>
      <w:r>
        <w:t xml:space="preserve">Les modifications cutanées les plus visibles sont dues aux peptides qui agissent sur le</w:t>
      </w:r>
      <w:r>
        <w:t xml:space="preserve"> </w:t>
      </w:r>
      <w:r>
        <w:rPr>
          <w:bCs/>
          <w:b/>
        </w:rPr>
        <w:t xml:space="preserve">récepteur de la mélanocortine 1</w:t>
      </w:r>
      <w:r>
        <w:t xml:space="preserve"> </w:t>
      </w:r>
      <w:r>
        <w:t xml:space="preserve">des cellules pigmentaires. Sous setmélanotide, qui est en principe censé agir sur le récepteur de la mélanocortine 4 dans le cerveau, la peau a foncé chez 62 % des personnes traitées dans une méta-analyse</w:t>
      </w:r>
      <w:r>
        <w:rPr>
          <w:rStyle w:val="FootnoteReference"/>
        </w:rPr>
        <w:footnoteReference w:id="2644"/>
      </w:r>
      <w:r>
        <w:t xml:space="preserve">. Dans une observation sur une durée allant jusqu’à 46 mois, les lèvres et les grains de beauté ont également foncé, les cheveux roux sont devenus bruns ; aucune lésion cutanée maligne n’est survenue</w:t>
      </w:r>
      <w:r>
        <w:rPr>
          <w:rStyle w:val="FootnoteReference"/>
        </w:rPr>
        <w:footnoteReference w:id="2645"/>
      </w:r>
      <w:r>
        <w:t xml:space="preserve">. Le brémélanotide, administré jusqu’à 16 jours consécutifs, a provoqué des taches sombres circonscrites chez plus d’un tiers des participants</w:t>
      </w:r>
      <w:r>
        <w:rPr>
          <w:rStyle w:val="FootnoteReference"/>
        </w:rPr>
        <w:footnoteReference w:id="2646"/>
      </w:r>
      <w:r>
        <w:t xml:space="preserve">.</w:t>
      </w:r>
    </w:p>
    <w:p>
      <w:pPr>
        <w:pStyle w:val="BodyText"/>
      </w:pPr>
      <w:r>
        <w:t xml:space="preserve">Avec le Melanotan II, non autorisé, s’y ajoutent des grains de beauté nouveaux, parfois atypiques. Une revue de tous les cas publiés d’apparition soudaine de grains de beauté, portant sur 179 personnes, citait le Melanotan parmi les déclencheurs ; 16 % de tous les cas présentaient au moins un grain de beauté histologiquement atypique (dysplasique)</w:t>
      </w:r>
      <w:r>
        <w:rPr>
          <w:rStyle w:val="FootnoteReference"/>
        </w:rPr>
        <w:footnoteReference w:id="2647"/>
      </w:r>
      <w:r>
        <w:t xml:space="preserve">. La question de savoir s’il en découle un risque accru de mélanome est traitée au chapitre suivant.</w:t>
      </w:r>
    </w:p>
    <w:p>
      <w:pPr>
        <w:pStyle w:val="BodyText"/>
      </w:pPr>
      <w:r>
        <w:t xml:space="preserve">Pour les médicaments GLP-1, d’autres atteintes cutanées sont au premier plan. Une revue systématique cite les réactions au point d’injection le plus souvent sous tirzépatide (2 à 7 %) et les sensations cutanées anormales (dysesthésie) surtout sous sémaglutide : environ 5 % aux doses standard, jusqu’à 20 % aux doses élevées utilisées dans l’obésité</w:t>
      </w:r>
      <w:r>
        <w:rPr>
          <w:rStyle w:val="FootnoteReference"/>
        </w:rPr>
        <w:footnoteReference w:id="2648"/>
      </w:r>
      <w:r>
        <w:t xml:space="preserve">. Sous rétatrutide, la dysesthésie est survenue dans TRIUMPH-2 de manière dose-dépendante chez 4 à 7 % des participants, contre 1 % sous placebo</w:t>
      </w:r>
      <w:r>
        <w:rPr>
          <w:rStyle w:val="FootnoteReference"/>
        </w:rPr>
        <w:footnoteReference w:id="2649"/>
      </w:r>
      <w:r>
        <w:t xml:space="preserve">. Les réactions au point d’injection et les allergies sont résumées au chapitre « Réactions immunitaires et anticorps ».</w:t>
      </w:r>
    </w:p>
    <w:p>
      <w:pPr>
        <w:pStyle w:val="BodyText"/>
      </w:pPr>
      <w:r>
        <w:t xml:space="preserve">Le LL-37 est un cas particulier : après des injections dans des métastases cutanées, une patiente a présenté de nombreuses lésions cutanées verruqueuses, d’abord prises pour un cancer, qui ont régressé après l’arrêt</w:t>
      </w:r>
      <w:r>
        <w:rPr>
          <w:rStyle w:val="FootnoteReference"/>
        </w:rPr>
        <w:footnoteReference w:id="2650"/>
      </w:r>
      <w:r>
        <w:t xml:space="preserve">. Les autorités ont mis en garde à plusieurs reprises contre les injections de glutathion destinées à éclaircir la peau (chapitre Glutathion).</w:t>
      </w:r>
    </w:p>
    <w:bookmarkEnd w:id="2651"/>
    <w:bookmarkStart w:id="2655" w:name="système-hormonal"/>
    <w:p>
      <w:pPr>
        <w:pStyle w:val="Heading3"/>
      </w:pPr>
      <w:r>
        <w:t xml:space="preserve">Système hormonal</w:t>
      </w:r>
    </w:p>
    <w:p>
      <w:pPr>
        <w:pStyle w:val="FirstParagraph"/>
      </w:pPr>
      <w:r>
        <w:t xml:space="preserve">De nombreux peptides sont eux-mêmes des hormones ou imitent des hormones. Il n’est donc pas surprenant qu’ils interviennent dans des boucles de régulation qui dépassent la cible proprement dite.</w:t>
      </w:r>
    </w:p>
    <w:p>
      <w:pPr>
        <w:numPr>
          <w:ilvl w:val="0"/>
          <w:numId w:val="1338"/>
        </w:numPr>
        <w:pStyle w:val="Compact"/>
      </w:pPr>
      <w:r>
        <w:rPr>
          <w:bCs/>
          <w:b/>
        </w:rPr>
        <w:t xml:space="preserve">Hormones du stress et prolactine :</w:t>
      </w:r>
      <w:r>
        <w:t xml:space="preserve"> </w:t>
      </w:r>
      <w:r>
        <w:t xml:space="preserve">les mimétiques de la ghréline GHRP-2, GHRP-6, hexaréline et macimoréline libèrent, en plus de l’hormone de croissance, de l’ACTH et du cortisol, certains également de la prolactine. Avec le GHRP-2, cet effet est si fiable qu’il a été étudié comme test de l’axe surrénalien</w:t>
      </w:r>
      <w:r>
        <w:rPr>
          <w:rStyle w:val="FootnoteReference"/>
        </w:rPr>
        <w:footnoteReference w:id="2652"/>
      </w:r>
      <w:r>
        <w:t xml:space="preserve">. Les effets d’une stimulation répétée pendant des mois n’ont pas été étudiés (chapitres GHRP-2, GHRP-6, Hexaréline).</w:t>
      </w:r>
    </w:p>
    <w:p>
      <w:pPr>
        <w:numPr>
          <w:ilvl w:val="0"/>
          <w:numId w:val="1338"/>
        </w:numPr>
        <w:pStyle w:val="Compact"/>
      </w:pPr>
      <w:r>
        <w:rPr>
          <w:bCs/>
          <w:b/>
        </w:rPr>
        <w:t xml:space="preserve">Suppression au lieu de stimulation :</w:t>
      </w:r>
      <w:r>
        <w:t xml:space="preserve"> </w:t>
      </w:r>
      <w:r>
        <w:t xml:space="preserve">les hormones sécrétées par l’organisme de manière pulsatile ont souvent l’effet inverse en administration continue. Avec l’analogue de la kisspeptine TAK-448, la testostérone d’hommes en bonne santé est tombée jusqu’au niveau de castration sous une perfusion continue de 14 jours</w:t>
      </w:r>
      <w:r>
        <w:rPr>
          <w:rStyle w:val="FootnoteReference"/>
        </w:rPr>
        <w:footnoteReference w:id="2653"/>
      </w:r>
      <w:r>
        <w:t xml:space="preserve">. Le même principe s’applique à la gonadoréline lorsqu’elle n’est pas administrée au bon rythme (chapitres Kisspeptine, Gonadoréline).</w:t>
      </w:r>
    </w:p>
    <w:p>
      <w:pPr>
        <w:numPr>
          <w:ilvl w:val="0"/>
          <w:numId w:val="1338"/>
        </w:numPr>
        <w:pStyle w:val="Compact"/>
      </w:pPr>
      <w:r>
        <w:rPr>
          <w:bCs/>
          <w:b/>
        </w:rPr>
        <w:t xml:space="preserve">La gynécomastie</w:t>
      </w:r>
      <w:r>
        <w:t xml:space="preserve"> </w:t>
      </w:r>
      <w:r>
        <w:t xml:space="preserve">est une conséquence connue d’un effet accru de l’hormone de croissance</w:t>
      </w:r>
      <w:r>
        <w:rPr>
          <w:rStyle w:val="FootnoteReference"/>
        </w:rPr>
        <w:footnoteReference w:id="2654"/>
      </w:r>
      <w:r>
        <w:t xml:space="preserve">.</w:t>
      </w:r>
    </w:p>
    <w:p>
      <w:pPr>
        <w:numPr>
          <w:ilvl w:val="0"/>
          <w:numId w:val="1338"/>
        </w:numPr>
        <w:pStyle w:val="Compact"/>
      </w:pPr>
      <w:r>
        <w:rPr>
          <w:bCs/>
          <w:b/>
        </w:rPr>
        <w:t xml:space="preserve">Fonction sexuelle :</w:t>
      </w:r>
      <w:r>
        <w:t xml:space="preserve"> </w:t>
      </w:r>
      <w:r>
        <w:t xml:space="preserve">les agonistes de la mélanocortine peuvent déclencher des érections spontanées ; pour le Melanotan II, des cas de priapisme, une érection prolongée et douloureuse, ont été décrits (chapitres Melanotan II, Setmélanotide).</w:t>
      </w:r>
    </w:p>
    <w:bookmarkEnd w:id="2655"/>
    <w:bookmarkStart w:id="2661" w:name="glycémie"/>
    <w:p>
      <w:pPr>
        <w:pStyle w:val="Heading3"/>
      </w:pPr>
      <w:r>
        <w:t xml:space="preserve">Glycémie</w:t>
      </w:r>
    </w:p>
    <w:p>
      <w:pPr>
        <w:pStyle w:val="FirstParagraph"/>
      </w:pPr>
      <w:r>
        <w:t xml:space="preserve">Les peptides peuvent modifier la glycémie dans les deux sens – et les deux sens sont pertinents.</w:t>
      </w:r>
    </w:p>
    <w:p>
      <w:pPr>
        <w:pStyle w:val="BodyText"/>
      </w:pPr>
      <w:r>
        <w:rPr>
          <w:bCs/>
          <w:b/>
        </w:rPr>
        <w:t xml:space="preserve">Hypoglycémie.</w:t>
      </w:r>
      <w:r>
        <w:t xml:space="preserve"> </w:t>
      </w:r>
      <w:r>
        <w:t xml:space="preserve">Le risque le plus élevé concerne la mécasermine, c’est-à-dire l’IGF-1 en tant que médicament : dans une étude à long terme portant sur 76 enfants, l’hypoglycémie était, avec 49 %, l’effet indésirable le plus fréquent</w:t>
      </w:r>
      <w:r>
        <w:rPr>
          <w:rStyle w:val="FootnoteReference"/>
        </w:rPr>
        <w:footnoteReference w:id="2656"/>
      </w:r>
      <w:r>
        <w:t xml:space="preserve">. Pour la préparation de laboratoire IGF-1 LR3, un risque similaire ou plus élevé est biologiquement plausible, mais n’a jamais été mesuré (chapitre IGF-1 LR3). Le pramlintide renforce l’effet de l’insuline injectée simultanément ; dans une étude, les hypoglycémies sévères étaient plus fréquentes que sous placebo (0,57 contre 0,30 événement par patient-année)</w:t>
      </w:r>
      <w:r>
        <w:rPr>
          <w:rStyle w:val="FootnoteReference"/>
        </w:rPr>
        <w:footnoteReference w:id="2657"/>
      </w:r>
      <w:r>
        <w:t xml:space="preserve">. Seuls, les médicaments GLP-1 n’abaissent guère la glycémie jusqu’à la zone dangereuse, car leur effet est couplé à la glycémie. En association avec des sulfamides hypoglycémiants ou de l’insuline, le risque augmente toutefois : sous exénatide ajouté à la metformine et à un sulfamide hypoglycémiant, des hypoglycémies légères à modérées sont survenues chez 28 % et 19 % des participants, contre 13 % sous placebo</w:t>
      </w:r>
      <w:r>
        <w:rPr>
          <w:rStyle w:val="FootnoteReference"/>
        </w:rPr>
        <w:footnoteReference w:id="2658"/>
      </w:r>
      <w:r>
        <w:t xml:space="preserve">. Pour en savoir plus, voir le chapitre « Interactions et groupes à risque particulier ».</w:t>
      </w:r>
    </w:p>
    <w:p>
      <w:pPr>
        <w:pStyle w:val="BodyText"/>
      </w:pPr>
      <w:r>
        <w:t xml:space="preserve">Une hypoglycémie sévère après une prétendue « injection amaigrissante » chez une personne non diabétique est un signal d’alerte évoquant une contrefaçon contenant de l’insuline. Ces cas sont décrits dans la partie I, au chapitre « Le marché gris ».</w:t>
      </w:r>
    </w:p>
    <w:p>
      <w:pPr>
        <w:pStyle w:val="BodyText"/>
      </w:pPr>
      <w:r>
        <w:rPr>
          <w:bCs/>
          <w:b/>
        </w:rPr>
        <w:t xml:space="preserve">Glycémie plus élevée.</w:t>
      </w:r>
      <w:r>
        <w:t xml:space="preserve"> </w:t>
      </w:r>
      <w:r>
        <w:t xml:space="preserve">L’hormone de croissance s’oppose à l’insuline. Sous ibutamorène, la glycémie à jeun de personnes âgées en bonne santé a augmenté en moyenne de 0,3 mmol/l, et le poids corporel de 2,7 kg contre 0,8 kg sous placebo</w:t>
      </w:r>
      <w:r>
        <w:rPr>
          <w:rStyle w:val="FootnoteReference"/>
        </w:rPr>
        <w:footnoteReference w:id="2659"/>
      </w:r>
      <w:r>
        <w:t xml:space="preserve">. Dans la revue sur l’hormone de croissance chez les personnes âgées, un nouveau diabète et une hyperglycémie à jeun sont survenus un peu plus souvent</w:t>
      </w:r>
      <w:r>
        <w:rPr>
          <w:rStyle w:val="FootnoteReference"/>
        </w:rPr>
        <w:footnoteReference w:id="2660"/>
      </w:r>
      <w:r>
        <w:t xml:space="preserve">. Sous tésamoréline, la glycémie à jeun a augmenté temporairement au cours des premières semaines (chapitre Tésamoréline). Pour les personnes atteintes de diabète ou de prédiabète, l’axe de l’hormone de croissance est donc particulièrement délicat.</w:t>
      </w:r>
    </w:p>
    <w:bookmarkEnd w:id="2661"/>
    <w:bookmarkStart w:id="2662" w:name="ce-qui-ressort-de-la-comparaison"/>
    <w:p>
      <w:pPr>
        <w:pStyle w:val="Heading3"/>
      </w:pPr>
      <w:r>
        <w:t xml:space="preserve">Ce qui ressort de la comparaison</w:t>
      </w:r>
    </w:p>
    <w:p>
      <w:pPr>
        <w:pStyle w:val="FirstParagraph"/>
      </w:pPr>
      <w:r>
        <w:t xml:space="preserve">Sur l’ensemble des systèmes d’organes, trois schémas se dégagent.</w:t>
      </w:r>
    </w:p>
    <w:p>
      <w:pPr>
        <w:pStyle w:val="BodyText"/>
      </w:pPr>
      <w:r>
        <w:t xml:space="preserve">Premièrement : les peptides les mieux étudiés – les médicaments GLP-1 autorisés – ont les effets indésirables les mieux connus. Ce n’est pas parce qu’ils seraient particulièrement dangereux, mais parce que des centaines de milliers de personnes ont été suivies dans des études et des registres. Les troubles fréquents concernent le tube digestif et sont le plus souvent transitoires ; des risques plus sérieux comme les calculs biliaires sont démontrés, mais rares en chiffres absolus ; des signaux comme la NAION sont très rares et continuent d’être étudiés.</w:t>
      </w:r>
    </w:p>
    <w:p>
      <w:pPr>
        <w:pStyle w:val="BodyText"/>
      </w:pPr>
      <w:r>
        <w:t xml:space="preserve">Deuxièmement : les peptides de l’axe de l’hormone de croissance partagent un profil commun associant rétention d’eau, glycémie plus élevée et hausse des hormones du stress. Pour une utilisation pendant des mois ou des années chez des personnes en bonne santé, il n’existe pratiquement aucune donnée.</w:t>
      </w:r>
    </w:p>
    <w:p>
      <w:pPr>
        <w:pStyle w:val="BodyText"/>
      </w:pPr>
      <w:r>
        <w:t xml:space="preserve">Troisièmement : pour la majorité des peptides des groupes B et D, les risques pour les organes ne peuvent tout simplement pas être décrits, parce que personne ne les a recherchés de manière systématique. Le plus grand risque pratique ne réside pas dans la substance, mais dans le produit – pour en savoir plus, voir le chapitre « Produits du marché gris ».</w:t>
      </w:r>
    </w:p>
    <w:bookmarkEnd w:id="2662"/>
    <w:bookmarkEnd w:id="2663"/>
    <w:bookmarkStart w:id="2704" w:name="X6449d403acb6c65dc82b36c9cd9f7a1623ff79c"/>
    <w:p>
      <w:pPr>
        <w:pStyle w:val="Heading2"/>
      </w:pPr>
      <w:r>
        <w:t xml:space="preserve">Risque de cancer et signaux de croissance</w:t>
      </w:r>
    </w:p>
    <w:p>
      <w:pPr>
        <w:pStyle w:val="FirstParagraph"/>
      </w:pPr>
      <w:r>
        <w:t xml:space="preserve">De nombreux peptides sont promus précisément parce qu’ils sont censés stimuler la croissance : des muscles, des tendons, des vaisseaux sanguins, des cellules nerveuses ou des cheveux. Mais la croissance n’est pas sélective. Les voies de signalisation par lesquelles les tissus guérissent et se renouvellent sont aussi utilisées par les cellules cancéreuses. C’est pourquoi la même question se pose pour presque chaque peptide « de guérison », « anti-âge » ou de l’hormone de croissance : peut-il favoriser un cancer ?</w:t>
      </w:r>
    </w:p>
    <w:p>
      <w:pPr>
        <w:pStyle w:val="BodyText"/>
      </w:pPr>
      <w:r>
        <w:t xml:space="preserve">Ce chapitre résume ce que l’on sait à ce sujet – en distinguant les quatre mécanismes qui reviennent sans cesse dans la partie II : l’axe hormone de croissance-IGF-1, la formation de nouveaux vaisseaux sanguins, la stimulation des cellules pigmentaires et l’effet des médicaments GLP-1 sur la thyroïde et le pancréas. Il se termine par une vue d’ensemble des plus récentes grandes analyses sur les médicaments GLP-1 et le cancer.</w:t>
      </w:r>
    </w:p>
    <w:bookmarkStart w:id="2665" w:name="comment-situer-la-question-du-cancer"/>
    <w:p>
      <w:pPr>
        <w:pStyle w:val="Heading3"/>
      </w:pPr>
      <w:r>
        <w:t xml:space="preserve">Comment situer la question du cancer</w:t>
      </w:r>
    </w:p>
    <w:p>
      <w:pPr>
        <w:pStyle w:val="FirstParagraph"/>
      </w:pPr>
      <w:r>
        <w:t xml:space="preserve">Quatre points aident à lire les données qui suivent.</w:t>
      </w:r>
    </w:p>
    <w:p>
      <w:pPr>
        <w:pStyle w:val="BodyText"/>
      </w:pPr>
      <w:r>
        <w:rPr>
          <w:bCs/>
          <w:b/>
        </w:rPr>
        <w:t xml:space="preserve">Déclencher ou favoriser.</w:t>
      </w:r>
      <w:r>
        <w:t xml:space="preserve"> </w:t>
      </w:r>
      <w:r>
        <w:t xml:space="preserve">Une substance peut déclencher un cancer en endommageant le patrimoine génétique. Pour les peptides, on discute plus souvent d’une autre possibilité : un signal de croissance pourrait faire grandir plus vite une tumeur déjà présente mais encore non détectée – comme un engrais pour une plante déjà en terre. Pour cette seconde possibilité, il suffit que la substance stimule la division cellulaire, la survie cellulaire ou la formation de nouveaux vaisseaux.</w:t>
      </w:r>
    </w:p>
    <w:p>
      <w:pPr>
        <w:pStyle w:val="BodyText"/>
      </w:pPr>
      <w:r>
        <w:rPr>
          <w:bCs/>
          <w:b/>
        </w:rPr>
        <w:t xml:space="preserve">Le temps.</w:t>
      </w:r>
      <w:r>
        <w:t xml:space="preserve"> </w:t>
      </w:r>
      <w:r>
        <w:t xml:space="preserve">Un cancer se développe sur des années, voire des décennies. La plupart des études sur les peptides durent de quelques semaines à quelques années. Même les grandes études d’autorisation peuvent difficilement saisir un risque qui apparaît lentement. Il faut pour cela des registres et des études observationnelles sur de longues périodes – qui sont à leur tour sujets à des biais.</w:t>
      </w:r>
    </w:p>
    <w:p>
      <w:pPr>
        <w:pStyle w:val="BodyText"/>
      </w:pPr>
      <w:r>
        <w:rPr>
          <w:bCs/>
          <w:b/>
        </w:rPr>
        <w:t xml:space="preserve">Biais de diagnostic.</w:t>
      </w:r>
      <w:r>
        <w:t xml:space="preserve"> </w:t>
      </w:r>
      <w:r>
        <w:t xml:space="preserve">Une personne examinée plus souvent à cause d’un médicament se voit aussi diagnostiquer plus souvent des tumeurs. Un exemple : une méta-analyse a trouvé dans des études GLP-1 plus courtes un peu plus de diagnostics de cancer colorectal et a supposé, comme explication, que les troubles digestifs avaient conduit à davantage de coloscopies</w:t>
      </w:r>
      <w:r>
        <w:rPr>
          <w:rStyle w:val="FootnoteReference"/>
        </w:rPr>
        <w:footnoteReference w:id="2664"/>
      </w:r>
      <w:r>
        <w:t xml:space="preserve">.</w:t>
      </w:r>
    </w:p>
    <w:p>
      <w:pPr>
        <w:pStyle w:val="BodyText"/>
      </w:pPr>
      <w:r>
        <w:rPr>
          <w:bCs/>
          <w:b/>
        </w:rPr>
        <w:t xml:space="preserve">Le sens inverse.</w:t>
      </w:r>
      <w:r>
        <w:t xml:space="preserve"> </w:t>
      </w:r>
      <w:r>
        <w:t xml:space="preserve">Le surpoids augmente le risque d’au moins 13 types de cancer. Un médicament qui réduit fortement le poids pourrait donc abaisser le risque de cancer dans son ensemble, même s’il existe un petit signal pour un organe donné. Les deux aspects ne peuvent être examinés que séparément.</w:t>
      </w:r>
    </w:p>
    <w:bookmarkEnd w:id="2665"/>
    <w:bookmarkStart w:id="2675" w:name="hormone-de-croissance-et-igf-1"/>
    <w:p>
      <w:pPr>
        <w:pStyle w:val="Heading3"/>
      </w:pPr>
      <w:r>
        <w:t xml:space="preserve">Hormone de croissance et IGF-1</w:t>
      </w:r>
    </w:p>
    <w:p>
      <w:pPr>
        <w:pStyle w:val="FirstParagraph"/>
      </w:pPr>
      <w:r>
        <w:t xml:space="preserve">L’hormone de croissance agit en grande partie par l’intermédiaire de l’IGF-1, le facteur de croissance analogue à l’insuline 1. L’IGF-1 incite les cellules à se diviser et les protège contre la mort cellulaire programmée. Tous les peptides du groupe C – sermoréline, tésamoréline, CJC-1295, ipamoréline, la famille des GHRP, mécasermine et IGF-1 LR3 – ainsi que l’ibutamorène, présenté à titre de comparaison, augmentent directement ou indirectement l’IGF-1. Les données sur la question du cancer proviennent de cinq sources.</w:t>
      </w:r>
    </w:p>
    <w:p>
      <w:pPr>
        <w:pStyle w:val="BodyText"/>
      </w:pPr>
      <w:r>
        <w:rPr>
          <w:bCs/>
          <w:b/>
        </w:rPr>
        <w:t xml:space="preserve">Taux d’IGF-1 naturellement plus élevés.</w:t>
      </w:r>
      <w:r>
        <w:t xml:space="preserve"> </w:t>
      </w:r>
      <w:r>
        <w:t xml:space="preserve">Une méta-analyse de 21 études a trouvé chez les personnes ayant des taux d’IGF-1 élevés un risque plus élevé de cancer de la prostate (odds ratio 1,49 en comparant une valeur d’IGF-1 au 75e percentile à une valeur au 25e percentile) et de cancer du sein avant la ménopause (1,65) ; les auteurs ont expressément qualifié ces associations de « modestes »</w:t>
      </w:r>
      <w:r>
        <w:rPr>
          <w:rStyle w:val="FootnoteReference"/>
        </w:rPr>
        <w:footnoteReference w:id="2666"/>
      </w:r>
      <w:r>
        <w:t xml:space="preserve">. Dans la UK Biobank, portant sur 206 263 femmes, le risque de cancer du sein augmentait de 11 % pour chaque 5 nmol/l d’IGF-1 supplémentaire</w:t>
      </w:r>
      <w:r>
        <w:rPr>
          <w:rStyle w:val="FootnoteReference"/>
        </w:rPr>
        <w:footnoteReference w:id="2667"/>
      </w:r>
      <w:r>
        <w:t xml:space="preserve"> </w:t>
      </w:r>
      <w:r>
        <w:t xml:space="preserve">; pour le cancer colorectal, le même groupe a trouvé une association similaire chez près de 400 000 participants</w:t>
      </w:r>
      <w:r>
        <w:rPr>
          <w:rStyle w:val="FootnoteReference"/>
        </w:rPr>
        <w:footnoteReference w:id="2668"/>
      </w:r>
      <w:r>
        <w:t xml:space="preserve">.</w:t>
      </w:r>
    </w:p>
    <w:p>
      <w:pPr>
        <w:pStyle w:val="BodyText"/>
      </w:pPr>
      <w:r>
        <w:rPr>
          <w:bCs/>
          <w:b/>
        </w:rPr>
        <w:t xml:space="preserve">Analyses génétiques.</w:t>
      </w:r>
      <w:r>
        <w:t xml:space="preserve"> </w:t>
      </w:r>
      <w:r>
        <w:t xml:space="preserve">La randomisation mendélienne utilise des variants génétiques qui élèvent légèrement le taux d’IGF-1 tout au long de la vie comme expérience naturelle. Là aussi, un IGF-1 génétiquement plus élevé était associé à un peu plus de cancers du sein (odds ratio 1,05 pour 5 nmol/l)</w:t>
      </w:r>
      <w:r>
        <w:rPr>
          <w:rStyle w:val="FootnoteReference"/>
        </w:rPr>
        <w:footnoteReference w:id="2669"/>
      </w:r>
      <w:r>
        <w:t xml:space="preserve">. Cela plaide pour une association qui ne repose pas uniquement sur des facteurs concomitants.</w:t>
      </w:r>
    </w:p>
    <w:p>
      <w:pPr>
        <w:pStyle w:val="BodyText"/>
      </w:pPr>
      <w:r>
        <w:rPr>
          <w:bCs/>
          <w:b/>
        </w:rPr>
        <w:t xml:space="preserve">Excès d’hormone de croissance dû à une maladie.</w:t>
      </w:r>
      <w:r>
        <w:t xml:space="preserve"> </w:t>
      </w:r>
      <w:r>
        <w:t xml:space="preserve">Dans l’acromégalie, une surproduction d’hormone de croissance due à une tumeur de l’hypophyse, une méta-analyse de 23 études a montré un taux de cancer accru d’environ la moitié (ratio standardisé 1,5), avec des valeurs particulièrement élevées pour les cancers colorectal et thyroïdien. Les études plus petites et plus anciennes montraient toutefois des valeurs plus élevées que les grandes, ce qui suggère des biais de sélection</w:t>
      </w:r>
      <w:r>
        <w:rPr>
          <w:rStyle w:val="FootnoteReference"/>
        </w:rPr>
        <w:footnoteReference w:id="2670"/>
      </w:r>
      <w:r>
        <w:t xml:space="preserve">.</w:t>
      </w:r>
    </w:p>
    <w:p>
      <w:pPr>
        <w:pStyle w:val="BodyText"/>
      </w:pPr>
      <w:r>
        <w:rPr>
          <w:bCs/>
          <w:b/>
        </w:rPr>
        <w:t xml:space="preserve">Déficit en IGF-1 dû à une maladie.</w:t>
      </w:r>
      <w:r>
        <w:t xml:space="preserve"> </w:t>
      </w:r>
      <w:r>
        <w:t xml:space="preserve">Chez les personnes atteintes du syndrome de Laron, qui ne produisent presque pas d’IGF-1 en raison d’un défaut génétique, un seul cancer, non mortel, est survenu en Équateur sur 22 ans d’observation ; chez les apparentés non atteints, la proportion était de 17 %</w:t>
      </w:r>
      <w:r>
        <w:rPr>
          <w:rStyle w:val="FootnoteReference"/>
        </w:rPr>
        <w:footnoteReference w:id="2671"/>
      </w:r>
      <w:r>
        <w:t xml:space="preserve">.</w:t>
      </w:r>
    </w:p>
    <w:p>
      <w:pPr>
        <w:pStyle w:val="BodyText"/>
      </w:pPr>
      <w:r>
        <w:rPr>
          <w:bCs/>
          <w:b/>
        </w:rPr>
        <w:t xml:space="preserve">L’hormone de croissance comme médicament.</w:t>
      </w:r>
      <w:r>
        <w:t xml:space="preserve"> </w:t>
      </w:r>
      <w:r>
        <w:t xml:space="preserve">Chez 23 984 enfants traités par hormone de croissance dans huit pays européens, aucun risque de cancer nettement accru n’a été trouvé en l’absence de maladie préexistante grave. On notait certains types de cancer (os, vessie) et une hausse de la mortalité par cancer avec une dose quotidienne plus élevée chez les enfants qui avaient déjà eu un cancer auparavant</w:t>
      </w:r>
      <w:r>
        <w:rPr>
          <w:rStyle w:val="FootnoteReference"/>
        </w:rPr>
        <w:footnoteReference w:id="2672"/>
      </w:r>
      <w:r>
        <w:t xml:space="preserve">. Chez 8 418 adultes traités pour insuffisance hypophysaire, le risque de cancer n’était pas augmenté ; le taux de cancer était même inférieur à la moyenne de la population</w:t>
      </w:r>
      <w:r>
        <w:rPr>
          <w:rStyle w:val="FootnoteReference"/>
        </w:rPr>
        <w:footnoteReference w:id="2673"/>
      </w:r>
      <w:r>
        <w:t xml:space="preserve">.</w:t>
      </w:r>
    </w:p>
    <w:p>
      <w:pPr>
        <w:pStyle w:val="BodyText"/>
      </w:pPr>
      <w:r>
        <w:t xml:space="preserve">Qu’en conclure ? Une personne qui présente un véritable déficit et reçoit en remplacement une hormone manquante ne court pas, selon les connaissances actuelles, de risque de cancer nettement accru. En revanche, une personne qui élève un taux normal pendant des années entre dans la zone où les études observationnelles et génétiques montrent un risque modérément plus élevé. Pour cette situation précise – des adultes en bonne santé qui utilisent des sécrétagogues pour améliorer leurs performances ou « se rajeunir » –, il n’existe pas d’études à long terme. L’ibutamorène, par exemple, a élevé l’IGF-1 de personnes âgées en bonne santé au niveau de jeunes adultes</w:t>
      </w:r>
      <w:r>
        <w:rPr>
          <w:rStyle w:val="FootnoteReference"/>
        </w:rPr>
        <w:footnoteReference w:id="2674"/>
      </w:r>
      <w:r>
        <w:t xml:space="preserve"> </w:t>
      </w:r>
      <w:r>
        <w:t xml:space="preserve">; aucun signal de cancer n’a été rapporté, mais l’étude n’était pour cela ni assez grande ni assez longue.</w:t>
      </w:r>
    </w:p>
    <w:p>
      <w:pPr>
        <w:pStyle w:val="BodyText"/>
      </w:pPr>
      <w:r>
        <w:t xml:space="preserve">Deux cas particuliers méritent d’être mentionnés. Pour la mécasermine autorisée, des tumeurs bénignes et malignes ont été signalées chez des enfants traités après la mise sur le marché ; les RCP comportent des mises en garde correspondantes, et elle ne doit pas être utilisée en cas de cancer actif (état 2026, à vérifier ; chapitre Mécasermine). La préparation de laboratoire IGF-1 LR3 a été modifiée de manière à ne plus se lier aux protéines de liaison sanguines qui tamponnent normalement l’IGF-1. Elle agit ainsi plus fortement et plus longtemps sur le récepteur – théoriquement, exactement dans la direction défavorable. Cela n’a jamais été étudié chez l’humain (chapitre IGF-1 LR3).</w:t>
      </w:r>
    </w:p>
    <w:bookmarkEnd w:id="2675"/>
    <w:bookmarkStart w:id="2685" w:name="X94d792a7d2622fee129bd7802faad61ab575489"/>
    <w:p>
      <w:pPr>
        <w:pStyle w:val="Heading3"/>
      </w:pPr>
      <w:r>
        <w:t xml:space="preserve">Formation de nouveaux vaisseaux et autres signaux de croissance</w:t>
      </w:r>
    </w:p>
    <w:p>
      <w:pPr>
        <w:pStyle w:val="FirstParagraph"/>
      </w:pPr>
      <w:r>
        <w:t xml:space="preserve">Une tumeur qui veut dépasser quelques millimètres a besoin de ses propres vaisseaux sanguins. Ce processus s’appelle l’angiogenèse. Certains médicaments anticancéreux autorisés agissent justement en bloquant la principale voie de signalisation de la formation de nouveaux vaisseaux, le système VEGF. À l’inverse, les substances qui favorisent la formation de nouveaux vaisseaux sont soupçonnées de favoriser les tumeurs.</w:t>
      </w:r>
    </w:p>
    <w:p>
      <w:pPr>
        <w:pStyle w:val="BodyText"/>
      </w:pPr>
      <w:r>
        <w:rPr>
          <w:bCs/>
          <w:b/>
        </w:rPr>
        <w:t xml:space="preserve">BPC-157.</w:t>
      </w:r>
      <w:r>
        <w:t xml:space="preserve"> </w:t>
      </w:r>
      <w:r>
        <w:t xml:space="preserve">Dans des expériences de laboratoire, le BPC-157 a augmenté la densité vasculaire dans des membranes d’œuf de poule, accéléré chez le rat la perfusion d’une patte mal irriguée et accru, dans des cellules vasculaires humaines, la quantité de récepteur 2 du VEGF</w:t>
      </w:r>
      <w:r>
        <w:rPr>
          <w:rStyle w:val="FootnoteReference"/>
        </w:rPr>
        <w:footnoteReference w:id="2676"/>
      </w:r>
      <w:r>
        <w:t xml:space="preserve">. Le groupe de travail de Zagreb, dont proviennent la plupart des études sur le BPC-157, objecte que le BPC-157 régulerait la formation des vaisseaux au lieu de la stimuler aveuglément, et qu’il aurait même montré des effets antitumoraux dans des expériences animales et cellulaires</w:t>
      </w:r>
      <w:r>
        <w:rPr>
          <w:rStyle w:val="FootnoteReference"/>
        </w:rPr>
        <w:footnoteReference w:id="2677"/>
      </w:r>
      <w:r>
        <w:t xml:space="preserve">. Aucune étude à long terme de cancérogénicité, telle qu’elle est exigée pour les médicaments, n’a été publiée pour le BPC-157. La question reste ouverte. Voir le chapitre BPC-157.</w:t>
      </w:r>
    </w:p>
    <w:p>
      <w:pPr>
        <w:pStyle w:val="BodyText"/>
      </w:pPr>
      <w:r>
        <w:rPr>
          <w:bCs/>
          <w:b/>
        </w:rPr>
        <w:t xml:space="preserve">TB-500 et thymosine bêta 4.</w:t>
      </w:r>
      <w:r>
        <w:t xml:space="preserve"> </w:t>
      </w:r>
      <w:r>
        <w:t xml:space="preserve">La thymosine bêta 4 favorise la migration cellulaire et la formation de nouveaux vaisseaux. Dans des échantillons de tissu de 138 personnes atteintes d’un cancer de la vessie, une forte production de thymosine bêta 4 était associée à un stade avancé, à une atteinte ganglionnaire et à une survie plus courte</w:t>
      </w:r>
      <w:r>
        <w:rPr>
          <w:rStyle w:val="FootnoteReference"/>
        </w:rPr>
        <w:footnoteReference w:id="2678"/>
      </w:r>
      <w:r>
        <w:t xml:space="preserve">. Dans des cultures de cellules de cancer du sein, l’ajout de thymosine bêta 4 a augmenté le nombre de cellules</w:t>
      </w:r>
      <w:r>
        <w:rPr>
          <w:rStyle w:val="FootnoteReference"/>
        </w:rPr>
        <w:footnoteReference w:id="2679"/>
      </w:r>
      <w:r>
        <w:t xml:space="preserve">. Cela ne prouve pas que le TB-500 apporté de l’extérieur favorise le cancer, mais c’est une raison d’être prudent chez les personnes atteintes d’un cancer ou présentant un risque élevé de cancer. Voir le chapitre TB-500.</w:t>
      </w:r>
    </w:p>
    <w:p>
      <w:pPr>
        <w:pStyle w:val="BodyText"/>
      </w:pPr>
      <w:r>
        <w:rPr>
          <w:bCs/>
          <w:b/>
        </w:rPr>
        <w:t xml:space="preserve">Autres peptides à signaux de croissance.</w:t>
      </w:r>
      <w:r>
        <w:t xml:space="preserve"> </w:t>
      </w:r>
      <w:r>
        <w:t xml:space="preserve">Pour plusieurs peptides de la partie II, des questions similaires découlent du mécanisme d’action ou de données de laboratoire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Mécanisme</w:t>
            </w:r>
          </w:p>
        </w:tc>
        <w:tc>
          <w:tcPr/>
          <w:p>
            <w:pPr>
              <w:pStyle w:val="Compact"/>
              <w:jc w:val="left"/>
            </w:pPr>
            <w:r>
              <w:t xml:space="preserve">Nature de l’indice</w:t>
            </w:r>
          </w:p>
        </w:tc>
        <w:tc>
          <w:tcPr/>
          <w:p>
            <w:pPr>
              <w:pStyle w:val="Compact"/>
              <w:jc w:val="left"/>
            </w:pPr>
            <w:r>
              <w:t xml:space="preserve">Chapitre</w:t>
            </w:r>
          </w:p>
        </w:tc>
      </w:tr>
      <w:tr>
        <w:tc>
          <w:tcPr/>
          <w:p>
            <w:pPr>
              <w:pStyle w:val="Compact"/>
              <w:jc w:val="left"/>
            </w:pPr>
            <w:r>
              <w:t xml:space="preserve">Dihexa</w:t>
            </w:r>
          </w:p>
        </w:tc>
        <w:tc>
          <w:tcPr/>
          <w:p>
            <w:pPr>
              <w:pStyle w:val="Compact"/>
              <w:jc w:val="left"/>
            </w:pPr>
            <w:r>
              <w:t xml:space="preserve">renforce le signal c-Met, un moteur connu du cancer</w:t>
            </w:r>
          </w:p>
        </w:tc>
        <w:tc>
          <w:tcPr/>
          <w:p>
            <w:pPr>
              <w:pStyle w:val="Compact"/>
              <w:jc w:val="left"/>
            </w:pPr>
            <w:r>
              <w:t xml:space="preserve">uniquement théorique, pas de données humaines</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serait un activateur de la télomérase</w:t>
            </w:r>
          </w:p>
        </w:tc>
        <w:tc>
          <w:tcPr/>
          <w:p>
            <w:pPr>
              <w:pStyle w:val="Compact"/>
              <w:jc w:val="left"/>
            </w:pPr>
            <w:r>
              <w:t xml:space="preserve">culture cellulaire : télomères de cellules de cancer du sein également allongés</w:t>
            </w:r>
          </w:p>
        </w:tc>
        <w:tc>
          <w:tcPr/>
          <w:p>
            <w:pPr>
              <w:pStyle w:val="Compact"/>
              <w:jc w:val="left"/>
            </w:pPr>
            <w:r>
              <w:t xml:space="preserve">Epitalon</w:t>
            </w:r>
          </w:p>
        </w:tc>
      </w:tr>
      <w:tr>
        <w:tc>
          <w:tcPr/>
          <w:p>
            <w:pPr>
              <w:pStyle w:val="Compact"/>
              <w:jc w:val="left"/>
            </w:pPr>
            <w:r>
              <w:t xml:space="preserve">Humanine</w:t>
            </w:r>
          </w:p>
        </w:tc>
        <w:tc>
          <w:tcPr/>
          <w:p>
            <w:pPr>
              <w:pStyle w:val="Compact"/>
              <w:jc w:val="left"/>
            </w:pPr>
            <w:r>
              <w:t xml:space="preserve">protège les cellules contre la mort cellulaire</w:t>
            </w:r>
          </w:p>
        </w:tc>
        <w:tc>
          <w:tcPr/>
          <w:p>
            <w:pPr>
              <w:pStyle w:val="Compact"/>
              <w:jc w:val="left"/>
            </w:pPr>
            <w:r>
              <w:t xml:space="preserve">souris : croissance tumorale plus rapide, davantage de métastases</w:t>
            </w:r>
          </w:p>
        </w:tc>
        <w:tc>
          <w:tcPr/>
          <w:p>
            <w:pPr>
              <w:pStyle w:val="Compact"/>
              <w:jc w:val="left"/>
            </w:pPr>
            <w:r>
              <w:t xml:space="preserve">Humanine</w:t>
            </w:r>
          </w:p>
        </w:tc>
      </w:tr>
      <w:tr>
        <w:tc>
          <w:tcPr/>
          <w:p>
            <w:pPr>
              <w:pStyle w:val="Compact"/>
              <w:jc w:val="left"/>
            </w:pPr>
            <w:r>
              <w:t xml:space="preserve">LL-37</w:t>
            </w:r>
          </w:p>
        </w:tc>
        <w:tc>
          <w:tcPr/>
          <w:p>
            <w:pPr>
              <w:pStyle w:val="Compact"/>
              <w:jc w:val="left"/>
            </w:pPr>
            <w:r>
              <w:t xml:space="preserve">signaux inflammatoires et de croissance</w:t>
            </w:r>
          </w:p>
        </w:tc>
        <w:tc>
          <w:tcPr/>
          <w:p>
            <w:pPr>
              <w:pStyle w:val="Compact"/>
              <w:jc w:val="left"/>
            </w:pPr>
            <w:r>
              <w:t xml:space="preserve">laboratoire : effet favorisant ou inhibiteur selon le type de cancer</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formation de nouveaux vaisseaux en expérimentation animale</w:t>
            </w:r>
          </w:p>
        </w:tc>
        <w:tc>
          <w:tcPr/>
          <w:p>
            <w:pPr>
              <w:pStyle w:val="Compact"/>
              <w:jc w:val="left"/>
            </w:pPr>
            <w:r>
              <w:t xml:space="preserve">uniquement théorique</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agit sur le récepteur de l’EPO</w:t>
            </w:r>
          </w:p>
        </w:tc>
        <w:tc>
          <w:tcPr/>
          <w:p>
            <w:pPr>
              <w:pStyle w:val="Compact"/>
              <w:jc w:val="left"/>
            </w:pPr>
            <w:r>
              <w:t xml:space="preserve">théorique, par analogie avec l’EPO</w:t>
            </w:r>
          </w:p>
        </w:tc>
        <w:tc>
          <w:tcPr/>
          <w:p>
            <w:pPr>
              <w:pStyle w:val="Compact"/>
              <w:jc w:val="left"/>
            </w:pPr>
            <w:r>
              <w:t xml:space="preserve">ARA-290</w:t>
            </w:r>
          </w:p>
        </w:tc>
      </w:tr>
    </w:tbl>
    <w:p>
      <w:pPr>
        <w:pStyle w:val="BodyText"/>
      </w:pPr>
      <w:r>
        <w:t xml:space="preserve">Certains de ces indices sont concrets. Chez des souris atteintes d’un cancer du sein triple négatif, l’humanine administrée a réduit la mort cellulaire dans la tumeur, affaibli la chimiothérapie et accéléré la croissance tumorale et les métastases pulmonaires</w:t>
      </w:r>
      <w:r>
        <w:rPr>
          <w:rStyle w:val="FootnoteReference"/>
        </w:rPr>
        <w:footnoteReference w:id="2680"/>
      </w:r>
      <w:r>
        <w:t xml:space="preserve">. En cultures cellulaires, l’Epitalon a allongé les télomères de cellules saines par l’intermédiaire de l’enzyme télomérase, et ceux de cellules de cancer du sein par une autre voie</w:t>
      </w:r>
      <w:r>
        <w:rPr>
          <w:rStyle w:val="FootnoteReference"/>
        </w:rPr>
        <w:footnoteReference w:id="2681"/>
      </w:r>
      <w:r>
        <w:t xml:space="preserve"> </w:t>
      </w:r>
      <w:r>
        <w:t xml:space="preserve">; dans une étude chez la souris, le nombre de tumeurs spontanées n’a en revanche pas augmenté</w:t>
      </w:r>
      <w:r>
        <w:rPr>
          <w:rStyle w:val="FootnoteReference"/>
        </w:rPr>
        <w:footnoteReference w:id="2682"/>
      </w:r>
      <w:r>
        <w:t xml:space="preserve">. Pour le LL-37, une revue décrit des effets favorisants sur les tumeurs de l’ovaire, du poumon, du sein, de la prostate, du pancréas et de la peau, mais inhibiteurs sur les cancers colorectal et gastrique</w:t>
      </w:r>
      <w:r>
        <w:rPr>
          <w:rStyle w:val="FootnoteReference"/>
        </w:rPr>
        <w:footnoteReference w:id="2683"/>
      </w:r>
      <w:r>
        <w:t xml:space="preserve">. Pour le Dihexa, le lien avec le système c-Met est décrit</w:t>
      </w:r>
      <w:r>
        <w:rPr>
          <w:rStyle w:val="FootnoteReference"/>
        </w:rPr>
        <w:footnoteReference w:id="2684"/>
      </w:r>
      <w:r>
        <w:t xml:space="preserve"> </w:t>
      </w:r>
      <w:r>
        <w:t xml:space="preserve">; il n’existe pas d’études de cancérogénicité.</w:t>
      </w:r>
    </w:p>
    <w:p>
      <w:pPr>
        <w:pStyle w:val="BodyText"/>
      </w:pPr>
      <w:r>
        <w:t xml:space="preserve">Toutes ces observations proviennent d’expérimentations animales, de cultures cellulaires ou du mécanisme d’action. Aucune ne prouve un risque de cancer chez l’humain. Elles montrent cependant que « naturel », « endogène » ou « régénératif » ne signifie pas automatiquement « inoffensif » – et que, pour aucune de ces substances, il n’existe de données à long terme permettant de répondre à la question.</w:t>
      </w:r>
    </w:p>
    <w:bookmarkEnd w:id="2685"/>
    <w:bookmarkStart w:id="2690" w:name="X74c5dced8e383973fc34475980f63287fef2662"/>
    <w:p>
      <w:pPr>
        <w:pStyle w:val="Heading3"/>
      </w:pPr>
      <w:r>
        <w:t xml:space="preserve">Cellules pigmentaires : Melanotan, setmélanotide et afamélanotide</w:t>
      </w:r>
    </w:p>
    <w:p>
      <w:pPr>
        <w:pStyle w:val="FirstParagraph"/>
      </w:pPr>
      <w:r>
        <w:t xml:space="preserve">Les peptides de la mélanocortine stimulent les cellules pigmentaires (mélanocytes) de la peau. C’est l’effet recherché avec l’afamélanotide, un effet indésirable avec le setmélanotide et le brémélanotide, et la véritable raison de la vente du Melanotan II. Comme le mélanome naît des cellules pigmentaires, la question du cancer de la peau s’impose.</w:t>
      </w:r>
    </w:p>
    <w:p>
      <w:pPr>
        <w:pStyle w:val="BodyText"/>
      </w:pPr>
      <w:r>
        <w:t xml:space="preserve">Pour le</w:t>
      </w:r>
      <w:r>
        <w:t xml:space="preserve"> </w:t>
      </w:r>
      <w:r>
        <w:rPr>
          <w:bCs/>
          <w:b/>
        </w:rPr>
        <w:t xml:space="preserve">Melanotan II</w:t>
      </w:r>
      <w:r>
        <w:t xml:space="preserve">, non autorisé, il existe plusieurs rapports de cas de mélanomes découverts pendant ou peu après l’utilisation. Une revue a recensé quatre cas dans lesquels des mélanomes se sont développés à partir de grains de beauté existants, tout en soulignant l’absence de preuve concluante d’un lien</w:t>
      </w:r>
      <w:r>
        <w:rPr>
          <w:rStyle w:val="FootnoteReference"/>
        </w:rPr>
        <w:footnoteReference w:id="2686"/>
      </w:r>
      <w:r>
        <w:t xml:space="preserve">. Parmi 179 cas publiés d’apparition soudaine de grains de beauté, dont une partie a été attribuée au Melanotan, cinq étaient associés à un mélanome</w:t>
      </w:r>
      <w:r>
        <w:rPr>
          <w:rStyle w:val="FootnoteReference"/>
        </w:rPr>
        <w:footnoteReference w:id="2687"/>
      </w:r>
      <w:r>
        <w:t xml:space="preserve">. L’interprétation est difficile : de nombreuses personnes concernées fréquentaient en même temps des cabines de bronzage ou s’exposaient intensément au soleil, ce qui augmente le risque de mélanome indépendamment. Et les rapports de cas ne peuvent pas fournir de fréquence. Voir le chapitre Melanotan II.</w:t>
      </w:r>
    </w:p>
    <w:p>
      <w:pPr>
        <w:pStyle w:val="BodyText"/>
      </w:pPr>
      <w:r>
        <w:t xml:space="preserve">Pour l’</w:t>
      </w:r>
      <w:r>
        <w:rPr>
          <w:bCs/>
          <w:b/>
        </w:rPr>
        <w:t xml:space="preserve">afamélanotide</w:t>
      </w:r>
      <w:r>
        <w:t xml:space="preserve">, autorisé, des données plus systématiques sont disponibles. Dans une étude portant sur 15 personnes traitées et 103 grains de beauté, des modifications transitoires ont été observées en dermoscopie, qui avaient régressé au bout d’un an ; aucun signe de malignité ni de nouveaux grains de beauté n’a été trouvé</w:t>
      </w:r>
      <w:r>
        <w:rPr>
          <w:rStyle w:val="FootnoteReference"/>
        </w:rPr>
        <w:footnoteReference w:id="2688"/>
      </w:r>
      <w:r>
        <w:t xml:space="preserve">. Sous</w:t>
      </w:r>
      <w:r>
        <w:t xml:space="preserve"> </w:t>
      </w:r>
      <w:r>
        <w:rPr>
          <w:bCs/>
          <w:b/>
        </w:rPr>
        <w:t xml:space="preserve">setmélanotide</w:t>
      </w:r>
      <w:r>
        <w:t xml:space="preserve">, aucune lésion cutanée maligne n’est survenue dans une observation sur une durée allant jusqu’à 46 mois</w:t>
      </w:r>
      <w:r>
        <w:rPr>
          <w:rStyle w:val="FootnoteReference"/>
        </w:rPr>
        <w:footnoteReference w:id="2689"/>
      </w:r>
      <w:r>
        <w:t xml:space="preserve">. Ces données sont rassurantes, mais limitées et courtes au regard du temps de développement d’un mélanome. Les RCP prévoient des contrôles cutanés réguliers. Elles ne sont pas transposables au Melanotan II : substance différente, produits non contrôlés, souvent associés à un rayonnement UV.</w:t>
      </w:r>
    </w:p>
    <w:bookmarkEnd w:id="2690"/>
    <w:bookmarkStart w:id="2697" w:name="glp-1-et-les-cellules-c-de-la-thyroïde"/>
    <w:p>
      <w:pPr>
        <w:pStyle w:val="Heading3"/>
      </w:pPr>
      <w:r>
        <w:t xml:space="preserve">GLP-1 et les cellules C de la thyroïde</w:t>
      </w:r>
    </w:p>
    <w:p>
      <w:pPr>
        <w:pStyle w:val="FirstParagraph"/>
      </w:pPr>
      <w:r>
        <w:t xml:space="preserve">Chez le rat et la souris, les agonistes du récepteur du GLP-1 ont entraîné, dans des essais à long terme, des hyperplasies et des tumeurs des cellules C de la thyroïde. Le mécanisme est bien compris : les cellules C des rongeurs portent le récepteur du GLP-1 ; son activation augmente la sécrétion de calcitonine et la division cellulaire. Chez l’humain et le singe, le récepteur est nettement plus rare sur les cellules C. Des singes ayant reçu pendant 20 mois du liraglutide à une concentration plus de 60 fois supérieure à celle observée chez l’humain n’ont pas développé d’hyperplasie des cellules C</w:t>
      </w:r>
      <w:r>
        <w:rPr>
          <w:rStyle w:val="FootnoteReference"/>
        </w:rPr>
        <w:footnoteReference w:id="2691"/>
      </w:r>
      <w:r>
        <w:t xml:space="preserve">.</w:t>
      </w:r>
    </w:p>
    <w:p>
      <w:pPr>
        <w:pStyle w:val="BodyText"/>
      </w:pPr>
      <w:r>
        <w:t xml:space="preserve">Un effet chez l’humain n’est pas pour autant totalement exclu. Dans du tissu thyroïdien humain, une étude a trouvé le récepteur du GLP-1 dans tous les échantillons de carcinomes médullaires de la thyroïde et d’hyperplasies des cellules C, dans 18 % des carcinomes papillaires et dans une partie des cellules C de thyroïdes saines</w:t>
      </w:r>
      <w:r>
        <w:rPr>
          <w:rStyle w:val="FootnoteReference"/>
        </w:rPr>
        <w:footnoteReference w:id="2692"/>
      </w:r>
      <w:r>
        <w:t xml:space="preserve">.</w:t>
      </w:r>
    </w:p>
    <w:p>
      <w:pPr>
        <w:pStyle w:val="BodyText"/>
      </w:pPr>
      <w:r>
        <w:t xml:space="preserve">Les études chez l’humain ne donnent pas une image homogène :</w:t>
      </w:r>
    </w:p>
    <w:p>
      <w:pPr>
        <w:numPr>
          <w:ilvl w:val="0"/>
          <w:numId w:val="1339"/>
        </w:numPr>
        <w:pStyle w:val="Compact"/>
      </w:pPr>
      <w:r>
        <w:t xml:space="preserve">Dans l’étude LEADER, la calcitonine n’a pas augmenté sous liraglutide sur une durée allant jusqu’à cinq ans, et aucun carcinome médullaire n’est survenu</w:t>
      </w:r>
      <w:r>
        <w:rPr>
          <w:rStyle w:val="FootnoteReference"/>
        </w:rPr>
        <w:footnoteReference w:id="2693"/>
      </w:r>
      <w:r>
        <w:t xml:space="preserve">.</w:t>
      </w:r>
    </w:p>
    <w:p>
      <w:pPr>
        <w:numPr>
          <w:ilvl w:val="0"/>
          <w:numId w:val="1339"/>
        </w:numPr>
        <w:pStyle w:val="Compact"/>
      </w:pPr>
      <w:r>
        <w:t xml:space="preserve">Une étude cas-témoins française portant sur 2 562 cas a trouvé, après un à trois ans de traitement, un risque accru de cancer de la thyroïde dans son ensemble (hazard ratio 1,58) et de carcinome médullaire (1,78)</w:t>
      </w:r>
      <w:r>
        <w:rPr>
          <w:rStyle w:val="FootnoteReference"/>
        </w:rPr>
        <w:footnoteReference w:id="2694"/>
      </w:r>
      <w:r>
        <w:t xml:space="preserve">.</w:t>
      </w:r>
    </w:p>
    <w:p>
      <w:pPr>
        <w:numPr>
          <w:ilvl w:val="0"/>
          <w:numId w:val="1339"/>
        </w:numPr>
        <w:pStyle w:val="Compact"/>
      </w:pPr>
      <w:r>
        <w:t xml:space="preserve">Une étude de cohorte scandinave portant sur 145 410 personnes sous agonistes du récepteur du GLP-1 n’a trouvé aucun risque accru (hazard ratio 0,93 ; 1,33 contre 1,46 cas pour 10 000 personnes-années). Pour le carcinome médullaire, rare, l’estimation était très incertaine (hazard ratio 1,19 ; intervalle de confiance 0,37 à 3,86)</w:t>
      </w:r>
      <w:r>
        <w:rPr>
          <w:rStyle w:val="FootnoteReference"/>
        </w:rPr>
        <w:footnoteReference w:id="2695"/>
      </w:r>
      <w:r>
        <w:t xml:space="preserve">.</w:t>
      </w:r>
    </w:p>
    <w:p>
      <w:pPr>
        <w:numPr>
          <w:ilvl w:val="0"/>
          <w:numId w:val="1339"/>
        </w:numPr>
        <w:pStyle w:val="Compact"/>
      </w:pPr>
      <w:r>
        <w:t xml:space="preserve">Une méta-analyse de 50 études randomisées d’une durée d’au moins un an a montré un signal pour le cancer de la thyroïde (odds ratio 1,55), plus net dans les études plus longues</w:t>
      </w:r>
      <w:r>
        <w:rPr>
          <w:rStyle w:val="FootnoteReference"/>
        </w:rPr>
        <w:footnoteReference w:id="2696"/>
      </w:r>
      <w:r>
        <w:t xml:space="preserve">.</w:t>
      </w:r>
    </w:p>
    <w:p>
      <w:pPr>
        <w:pStyle w:val="FirstParagraph"/>
      </w:pPr>
      <w:r>
        <w:t xml:space="preserve">Comment concilier ces résultats ? Une partie du signal pourrait être due à des examens plus fréquents : une personne suivie de près pour un diabète ou une obésité passe plus souvent une échographie, lors de laquelle de petits carcinomes papillaires inoffensifs sont découverts. Un petit risque réel ne peut toutefois pas être exclu. Pour les personnes ayant un antécédent personnel ou familial de carcinome médullaire de la thyroïde ou un syndrome NEM 2, une contre-indication reste donc en vigueur. Voir le chapitre Liraglutide.</w:t>
      </w:r>
    </w:p>
    <w:bookmarkEnd w:id="2697"/>
    <w:bookmarkStart w:id="2701" w:name="pancréas"/>
    <w:p>
      <w:pPr>
        <w:pStyle w:val="Heading3"/>
      </w:pPr>
      <w:r>
        <w:t xml:space="preserve">Pancréas</w:t>
      </w:r>
    </w:p>
    <w:p>
      <w:pPr>
        <w:pStyle w:val="FirstParagraph"/>
      </w:pPr>
      <w:r>
        <w:t xml:space="preserve">Après les premières déclarations de pancréatites sous exénatide et liraglutide, on a aussi craint un risque accru de cancer du pancréas. Les données ne l’ont pas confirmé jusqu’à présent. Une méta-analyse de 62 études randomisées n’a trouvé aucun risque accru établi (risque relatif 1,30 ; intervalle de confiance 0,86 à 1,97) ; dans un sous-groupe d’études avec des médicaments supplémentaires, il était augmenté, sans médicaments supplémentaires, il ne l’était pas</w:t>
      </w:r>
      <w:r>
        <w:rPr>
          <w:rStyle w:val="FootnoteReference"/>
        </w:rPr>
        <w:footnoteReference w:id="2698"/>
      </w:r>
      <w:r>
        <w:t xml:space="preserve">. Les autrices et auteurs soulignent que de nombreuses études sans un seul événement n’ont pas du tout été prises en compte dans le calcul. Dans une grande étude de cohorte américaine, le cancer du pancréas était même plus rare sous agonistes du récepteur du GLP-1 que sous insuline (hazard ratio 0,41)</w:t>
      </w:r>
      <w:r>
        <w:rPr>
          <w:rStyle w:val="FootnoteReference"/>
        </w:rPr>
        <w:footnoteReference w:id="2699"/>
      </w:r>
      <w:r>
        <w:t xml:space="preserve"> </w:t>
      </w:r>
      <w:r>
        <w:t xml:space="preserve">– l’insuline étant toutefois souvent utilisée dans un diabète plus ancien et plus sévère.</w:t>
      </w:r>
    </w:p>
    <w:p>
      <w:pPr>
        <w:pStyle w:val="BodyText"/>
      </w:pPr>
      <w:r>
        <w:t xml:space="preserve">Pour les tumeurs neuroendocrines, un groupe rare de tumeurs qui naissent notamment dans le pancréas et portent parfois le récepteur du GLP-1, une revue conclut que les données disponibles ne montrent pas d’augmentation générale, mais qu’il subsiste des lacunes importantes, par exemple en cas de prédisposition héréditaire</w:t>
      </w:r>
      <w:r>
        <w:rPr>
          <w:rStyle w:val="FootnoteReference"/>
        </w:rPr>
        <w:footnoteReference w:id="2700"/>
      </w:r>
      <w:r>
        <w:t xml:space="preserve">.</w:t>
      </w:r>
    </w:p>
    <w:bookmarkEnd w:id="2701"/>
    <w:bookmarkStart w:id="2702" w:name="X8460b54bf81c6c48982610c99609b328535b653"/>
    <w:p>
      <w:pPr>
        <w:pStyle w:val="Heading3"/>
      </w:pPr>
      <w:r>
        <w:t xml:space="preserve">Ce que montrent les nouvelles méta-analyses et les grandes cohortes sur les GLP-1 et le cancer</w:t>
      </w:r>
    </w:p>
    <w:p>
      <w:pPr>
        <w:pStyle w:val="FirstParagraph"/>
      </w:pPr>
      <w:r>
        <w:t xml:space="preserve">Avec la large diffusion des médicaments GLP-1, plusieurs très grandes analyses sont parues depuis 2024. Elles dressent un tableau majoritairement rassurant, mais flou sur certains points.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Données</w:t>
            </w:r>
          </w:p>
        </w:tc>
        <w:tc>
          <w:tcPr/>
          <w:p>
            <w:pPr>
              <w:pStyle w:val="Compact"/>
              <w:jc w:val="left"/>
            </w:pPr>
            <w:r>
              <w:t xml:space="preserve">Résultat cancer dans son ensemble</w:t>
            </w:r>
          </w:p>
        </w:tc>
        <w:tc>
          <w:tcPr/>
          <w:p>
            <w:pPr>
              <w:pStyle w:val="Compact"/>
              <w:jc w:val="left"/>
            </w:pPr>
            <w:r>
              <w:t xml:space="preserve">Particularités</w:t>
            </w:r>
          </w:p>
        </w:tc>
      </w:tr>
      <w:tr>
        <w:tc>
          <w:tcPr/>
          <w:p>
            <w:pPr>
              <w:pStyle w:val="Compact"/>
              <w:jc w:val="left"/>
            </w:pPr>
            <w:r>
              <w:t xml:space="preserve">Silverii 2025, PMID 40437949</w:t>
            </w:r>
          </w:p>
        </w:tc>
        <w:tc>
          <w:tcPr/>
          <w:p>
            <w:pPr>
              <w:pStyle w:val="Compact"/>
              <w:jc w:val="left"/>
            </w:pPr>
            <w:r>
              <w:t xml:space="preserve">50 ECR, au moins 52 semaines</w:t>
            </w:r>
          </w:p>
        </w:tc>
        <w:tc>
          <w:tcPr/>
          <w:p>
            <w:pPr>
              <w:pStyle w:val="Compact"/>
              <w:jc w:val="left"/>
            </w:pPr>
            <w:r>
              <w:t xml:space="preserve">pas de différence (odds ratio 1,05)</w:t>
            </w:r>
          </w:p>
        </w:tc>
        <w:tc>
          <w:tcPr/>
          <w:p>
            <w:pPr>
              <w:pStyle w:val="Compact"/>
              <w:jc w:val="left"/>
            </w:pPr>
            <w:r>
              <w:t xml:space="preserve">thyroïde 1,55 ; utérus en cas d’obésité 0,24</w:t>
            </w:r>
          </w:p>
        </w:tc>
      </w:tr>
      <w:tr>
        <w:tc>
          <w:tcPr/>
          <w:p>
            <w:pPr>
              <w:pStyle w:val="Compact"/>
              <w:jc w:val="left"/>
            </w:pPr>
            <w:r>
              <w:t xml:space="preserve">Wang 2024, PMID 38967919</w:t>
            </w:r>
          </w:p>
        </w:tc>
        <w:tc>
          <w:tcPr/>
          <w:p>
            <w:pPr>
              <w:pStyle w:val="Compact"/>
              <w:jc w:val="left"/>
            </w:pPr>
            <w:r>
              <w:t xml:space="preserve">1 651 452 personnes atteintes de diabète de type 2</w:t>
            </w:r>
          </w:p>
        </w:tc>
        <w:tc>
          <w:tcPr/>
          <w:p>
            <w:pPr>
              <w:pStyle w:val="Compact"/>
              <w:jc w:val="left"/>
            </w:pPr>
            <w:r>
              <w:t xml:space="preserve">vs insuline, moins pour 10 types de cancer sur 13</w:t>
            </w:r>
          </w:p>
        </w:tc>
        <w:tc>
          <w:tcPr/>
          <w:p>
            <w:pPr>
              <w:pStyle w:val="Compact"/>
              <w:jc w:val="left"/>
            </w:pPr>
            <w:r>
              <w:t xml:space="preserve">vs metformine, plus de cancers du rein (1,54)</w:t>
            </w:r>
          </w:p>
        </w:tc>
      </w:tr>
      <w:tr>
        <w:tc>
          <w:tcPr/>
          <w:p>
            <w:pPr>
              <w:pStyle w:val="Compact"/>
              <w:jc w:val="left"/>
            </w:pPr>
            <w:r>
              <w:t xml:space="preserve">Dai 2025, PMID 40839273</w:t>
            </w:r>
          </w:p>
        </w:tc>
        <w:tc>
          <w:tcPr/>
          <w:p>
            <w:pPr>
              <w:pStyle w:val="Compact"/>
              <w:jc w:val="left"/>
            </w:pPr>
            <w:r>
              <w:t xml:space="preserve">86 632 adultes obèses</w:t>
            </w:r>
          </w:p>
        </w:tc>
        <w:tc>
          <w:tcPr/>
          <w:p>
            <w:pPr>
              <w:pStyle w:val="Compact"/>
              <w:jc w:val="left"/>
            </w:pPr>
            <w:r>
              <w:t xml:space="preserve">moins de cancers (hazard ratio 0,83)</w:t>
            </w:r>
          </w:p>
        </w:tc>
        <w:tc>
          <w:tcPr/>
          <w:p>
            <w:pPr>
              <w:pStyle w:val="Compact"/>
              <w:jc w:val="left"/>
            </w:pPr>
            <w:r>
              <w:t xml:space="preserve">cancer du rein à la limite de l’augmentation (1,38)</w:t>
            </w:r>
          </w:p>
        </w:tc>
      </w:tr>
      <w:tr>
        <w:tc>
          <w:tcPr/>
          <w:p>
            <w:pPr>
              <w:pStyle w:val="Compact"/>
              <w:jc w:val="left"/>
            </w:pPr>
            <w:r>
              <w:t xml:space="preserve">Hsu 2026, PMID 42252247</w:t>
            </w:r>
          </w:p>
        </w:tc>
        <w:tc>
          <w:tcPr/>
          <w:p>
            <w:pPr>
              <w:pStyle w:val="Compact"/>
              <w:jc w:val="left"/>
            </w:pPr>
            <w:r>
              <w:t xml:space="preserve">161 798 adultes obèses sans diabète</w:t>
            </w:r>
          </w:p>
        </w:tc>
        <w:tc>
          <w:tcPr/>
          <w:p>
            <w:pPr>
              <w:pStyle w:val="Compact"/>
              <w:jc w:val="left"/>
            </w:pPr>
            <w:r>
              <w:t xml:space="preserve">moins de cancers liés au surpoids (0,59)</w:t>
            </w:r>
          </w:p>
        </w:tc>
        <w:tc>
          <w:tcPr/>
          <w:p>
            <w:pPr>
              <w:pStyle w:val="Compact"/>
              <w:jc w:val="left"/>
            </w:pPr>
            <w:r>
              <w:t xml:space="preserve">suivi médian de 2 ans</w:t>
            </w:r>
          </w:p>
        </w:tc>
      </w:tr>
    </w:tbl>
    <w:p>
      <w:pPr>
        <w:pStyle w:val="BodyText"/>
      </w:pPr>
      <w:r>
        <w:t xml:space="preserve">Comment lire ces chiffres ?</w:t>
      </w:r>
    </w:p>
    <w:p>
      <w:pPr>
        <w:numPr>
          <w:ilvl w:val="0"/>
          <w:numId w:val="1340"/>
        </w:numPr>
        <w:pStyle w:val="Compact"/>
      </w:pPr>
      <w:r>
        <w:rPr>
          <w:bCs/>
          <w:b/>
        </w:rPr>
        <w:t xml:space="preserve">Les études randomisées</w:t>
      </w:r>
      <w:r>
        <w:t xml:space="preserve"> </w:t>
      </w:r>
      <w:r>
        <w:t xml:space="preserve">ne montrent globalement aucune influence sur le risque de cancer. C’est le résultat le plus fiable, mais les études sont trop courtes pour le cancer.</w:t>
      </w:r>
    </w:p>
    <w:p>
      <w:pPr>
        <w:numPr>
          <w:ilvl w:val="0"/>
          <w:numId w:val="1340"/>
        </w:numPr>
        <w:pStyle w:val="Compact"/>
      </w:pPr>
      <w:r>
        <w:rPr>
          <w:bCs/>
          <w:b/>
        </w:rPr>
        <w:t xml:space="preserve">Les grandes études observationnelles</w:t>
      </w:r>
      <w:r>
        <w:t xml:space="preserve"> </w:t>
      </w:r>
      <w:r>
        <w:t xml:space="preserve">montrent plutôt moins de cancers sous médicaments GLP-1. Cela concorde avec l’idée que la perte de poids réduit les cancers liés au surpoids. Mais cela peut aussi tenir au fait que les personnes qui reçoivent ces médicaments diffèrent à bien des égards des groupes de comparaison. Un suivi de deux ans est très court pour se prononcer sur la prévention du cancer.</w:t>
      </w:r>
    </w:p>
    <w:p>
      <w:pPr>
        <w:numPr>
          <w:ilvl w:val="0"/>
          <w:numId w:val="1340"/>
        </w:numPr>
        <w:pStyle w:val="Compact"/>
      </w:pPr>
      <w:r>
        <w:rPr>
          <w:bCs/>
          <w:b/>
        </w:rPr>
        <w:t xml:space="preserve">Le cancer du rein</w:t>
      </w:r>
      <w:r>
        <w:t xml:space="preserve"> </w:t>
      </w:r>
      <w:r>
        <w:t xml:space="preserve">apparaît dans deux études de cohorte comme signal possible. Reste à voir s’il s’agit d’un effet réel.</w:t>
      </w:r>
    </w:p>
    <w:p>
      <w:pPr>
        <w:numPr>
          <w:ilvl w:val="0"/>
          <w:numId w:val="1340"/>
        </w:numPr>
        <w:pStyle w:val="Compact"/>
      </w:pPr>
      <w:r>
        <w:rPr>
          <w:bCs/>
          <w:b/>
        </w:rPr>
        <w:t xml:space="preserve">Le cancer de la thyroïde</w:t>
      </w:r>
      <w:r>
        <w:t xml:space="preserve"> </w:t>
      </w:r>
      <w:r>
        <w:t xml:space="preserve">reste la question ouverte, comme décrit plus haut.</w:t>
      </w:r>
    </w:p>
    <w:p>
      <w:pPr>
        <w:pStyle w:val="FirstParagraph"/>
      </w:pPr>
      <w:r>
        <w:t xml:space="preserve">Les données disponibles ne permettent pas de dire si les médicaments GLP-1 protègent réellement contre le cancer. Quant à la question de savoir s’ils provoquent des cancers, selon les connaissances actuelles : pour la plupart des types de cancer, non ; pour la thyroïde et le rein, la question n’est pas définitivement tranchée. Pour les nouveaux agonistes multiples comme le rétatrutide, le survodutide ou le mazdutide, il y a encore trop peu d’années de traitement pour se prononcer spécifiquement.</w:t>
      </w:r>
    </w:p>
    <w:bookmarkEnd w:id="2702"/>
    <w:bookmarkStart w:id="2703" w:name="lessentiel-en-bref-5"/>
    <w:p>
      <w:pPr>
        <w:pStyle w:val="Heading3"/>
      </w:pPr>
      <w:r>
        <w:t xml:space="preserve">L’essentiel en bref</w:t>
      </w:r>
    </w:p>
    <w:p>
      <w:pPr>
        <w:numPr>
          <w:ilvl w:val="0"/>
          <w:numId w:val="1341"/>
        </w:numPr>
        <w:pStyle w:val="Compact"/>
      </w:pPr>
      <w:r>
        <w:t xml:space="preserve">Les meilleures données sur le risque de cancer concernent justement les peptides pour lesquels l’inquiétude semble la moins fondée : les médicaments GLP-1 autorisés. Pour la plupart des types de cancer, ils ne montrent pas de risque accru ; le signal thyroïdien n’est pas élucidé.</w:t>
      </w:r>
    </w:p>
    <w:p>
      <w:pPr>
        <w:numPr>
          <w:ilvl w:val="0"/>
          <w:numId w:val="1341"/>
        </w:numPr>
        <w:pStyle w:val="Compact"/>
      </w:pPr>
      <w:r>
        <w:t xml:space="preserve">Pour l’axe hormone de croissance-IGF-1, une association modérée entre des taux d’IGF-1 durablement plus élevés et certains types de cancer est bien établie. Pour les personnes en bonne santé qui élèvent artificiellement leur IGF-1 pendant des années, les études font défaut.</w:t>
      </w:r>
    </w:p>
    <w:p>
      <w:pPr>
        <w:numPr>
          <w:ilvl w:val="0"/>
          <w:numId w:val="1341"/>
        </w:numPr>
        <w:pStyle w:val="Compact"/>
      </w:pPr>
      <w:r>
        <w:t xml:space="preserve">Pour le BPC-157, le TB-500, l’Epitalon, l’humanine, le Dihexa et des substances similaires, il n’existe que des indices théoriques et issus de l’expérimentation animale – dans les deux sens. Il n’existe pas de données à long terme sur la cancérogenèse.</w:t>
      </w:r>
    </w:p>
    <w:p>
      <w:pPr>
        <w:numPr>
          <w:ilvl w:val="0"/>
          <w:numId w:val="1341"/>
        </w:numPr>
        <w:pStyle w:val="Compact"/>
      </w:pPr>
      <w:r>
        <w:t xml:space="preserve">Pour le Melanotan II, il existe des rapports de cas de mélanome, mais pas de données de fréquence. Pour l’afamélanotide autorisé, de petites études n’ont trouvé aucune modification maligne.</w:t>
      </w:r>
    </w:p>
    <w:p>
      <w:pPr>
        <w:numPr>
          <w:ilvl w:val="0"/>
          <w:numId w:val="1341"/>
        </w:numPr>
        <w:pStyle w:val="Compact"/>
      </w:pPr>
      <w:r>
        <w:t xml:space="preserve">Pour les personnes atteintes d’un cancer actif ou ayant eu un cancer, tous les peptides favorisant la croissance sont particulièrement problématiques sans accompagnement médical.</w:t>
      </w:r>
    </w:p>
    <w:bookmarkEnd w:id="2703"/>
    <w:bookmarkEnd w:id="2704"/>
    <w:bookmarkStart w:id="2735" w:name="réactions-immunitaires-et-anticorps"/>
    <w:p>
      <w:pPr>
        <w:pStyle w:val="Heading2"/>
      </w:pPr>
      <w:r>
        <w:t xml:space="preserve">Réactions immunitaires et anticorps</w:t>
      </w:r>
    </w:p>
    <w:p>
      <w:pPr>
        <w:pStyle w:val="FirstParagraph"/>
      </w:pPr>
      <w:r>
        <w:t xml:space="preserve">Le système immunitaire a pour mission de reconnaître ce qui est étranger. Les peptides se situent à cet égard à une frontière : beaucoup sont copiés sur des messagers de l’organisme, mais modifiés chimiquement pour agir plus longtemps. D’autres proviennent d’animaux, de bactéries ou du laboratoire. S’y ajoute le fait que la plupart des peptides sont injectés sous la peau – à un endroit où un nombre particulièrement élevé de cellules de défense guettent les intrus.</w:t>
      </w:r>
    </w:p>
    <w:p>
      <w:pPr>
        <w:pStyle w:val="BodyText"/>
      </w:pPr>
      <w:r>
        <w:t xml:space="preserve">Les réactions immunitaires aux peptides vont de rougeurs inoffensives au point d’injection à des réactions allergiques rares mettant la vie en danger, en passant par des anticorps que l’on ne remarque qu’au laboratoire. Ce chapitre classe ces réactions, compare les peptides et montre le rôle que jouent les impuretés.</w:t>
      </w:r>
    </w:p>
    <w:bookmarkStart w:id="2706" w:name="X66dc69874b5466c66edbc877531bb70368b274d"/>
    <w:p>
      <w:pPr>
        <w:pStyle w:val="Heading3"/>
      </w:pPr>
      <w:r>
        <w:t xml:space="preserve">Pourquoi les peptides peuvent déclencher une réaction immunitaire</w:t>
      </w:r>
    </w:p>
    <w:p>
      <w:pPr>
        <w:pStyle w:val="FirstParagraph"/>
      </w:pPr>
      <w:r>
        <w:t xml:space="preserve">Le fait que le système immunitaire considère un peptide comme étranger dépend de plusieurs facteurs :</w:t>
      </w:r>
    </w:p>
    <w:p>
      <w:pPr>
        <w:numPr>
          <w:ilvl w:val="0"/>
          <w:numId w:val="1342"/>
        </w:numPr>
        <w:pStyle w:val="Compact"/>
      </w:pPr>
      <w:r>
        <w:rPr>
          <w:bCs/>
          <w:b/>
        </w:rPr>
        <w:t xml:space="preserve">Origine et ressemblance avec ce qui est propre à l’organisme.</w:t>
      </w:r>
      <w:r>
        <w:t xml:space="preserve"> </w:t>
      </w:r>
      <w:r>
        <w:t xml:space="preserve">L’exénatide a été développé à partir d’un peptide présent dans la salive d’un lézard et diffère nettement du GLP-1 humain. Le liraglutide et le sémaglutide sont en revanche largement copiés sur l’hormone humaine.</w:t>
      </w:r>
    </w:p>
    <w:p>
      <w:pPr>
        <w:numPr>
          <w:ilvl w:val="0"/>
          <w:numId w:val="1342"/>
        </w:numPr>
        <w:pStyle w:val="Compact"/>
      </w:pPr>
      <w:r>
        <w:rPr>
          <w:bCs/>
          <w:b/>
        </w:rPr>
        <w:t xml:space="preserve">Taille et modifications.</w:t>
      </w:r>
      <w:r>
        <w:t xml:space="preserve"> </w:t>
      </w:r>
      <w:r>
        <w:t xml:space="preserve">Les molécules plus longues, les acides gras greffés, les segments de liaison ou les composants d’anticorps (comme dans le maridebart cafraglutide) offrent davantage de prise.</w:t>
      </w:r>
    </w:p>
    <w:p>
      <w:pPr>
        <w:numPr>
          <w:ilvl w:val="0"/>
          <w:numId w:val="1342"/>
        </w:numPr>
        <w:pStyle w:val="Compact"/>
      </w:pPr>
      <w:r>
        <w:rPr>
          <w:bCs/>
          <w:b/>
        </w:rPr>
        <w:t xml:space="preserve">Agrégation.</w:t>
      </w:r>
      <w:r>
        <w:t xml:space="preserve"> </w:t>
      </w:r>
      <w:r>
        <w:t xml:space="preserve">Les peptides peuvent s’agglomérer en agrégats plus gros, que le système immunitaire reconnaît plus facilement.</w:t>
      </w:r>
    </w:p>
    <w:p>
      <w:pPr>
        <w:numPr>
          <w:ilvl w:val="0"/>
          <w:numId w:val="1342"/>
        </w:numPr>
        <w:pStyle w:val="Compact"/>
      </w:pPr>
      <w:r>
        <w:rPr>
          <w:bCs/>
          <w:b/>
        </w:rPr>
        <w:t xml:space="preserve">Impuretés.</w:t>
      </w:r>
      <w:r>
        <w:t xml:space="preserve"> </w:t>
      </w:r>
      <w:r>
        <w:t xml:space="preserve">Même de petites quantités de fragments peptidiques mal synthétisés ou de composants bactériens peuvent déclencher une réaction de défense (voir plus bas).</w:t>
      </w:r>
    </w:p>
    <w:p>
      <w:pPr>
        <w:numPr>
          <w:ilvl w:val="0"/>
          <w:numId w:val="1342"/>
        </w:numPr>
        <w:pStyle w:val="Compact"/>
      </w:pPr>
      <w:r>
        <w:rPr>
          <w:bCs/>
          <w:b/>
        </w:rPr>
        <w:t xml:space="preserve">Fréquence et durée d’utilisation.</w:t>
      </w:r>
      <w:r>
        <w:t xml:space="preserve"> </w:t>
      </w:r>
      <w:r>
        <w:t xml:space="preserve">Une personne qui s’injecte un peptide de manière répétée pendant des mois donne au système immunitaire de nombreuses occasions d’y réagir.</w:t>
      </w:r>
    </w:p>
    <w:p>
      <w:pPr>
        <w:pStyle w:val="FirstParagraph"/>
      </w:pPr>
      <w:r>
        <w:t xml:space="preserve">Pour l’évaluation des anticorps dirigés contre les médicaments – les spécialistes parlent d’anticorps anti-médicament (ADA) – un langage commun s’est établi</w:t>
      </w:r>
      <w:r>
        <w:rPr>
          <w:rStyle w:val="FootnoteReference"/>
        </w:rPr>
        <w:footnoteReference w:id="2705"/>
      </w:r>
      <w:r>
        <w:t xml:space="preserve">. Quatre questions sont importantes : combien de personnes traitées forment des anticorps ? Quelle est leur quantité (le titre) ? Les anticorps inhibent-ils l’effet (anticorps neutralisants) ? Et réagissent-ils aussi avec l’hormone endogène (réactivité croisée) ? Ce dernier point serait le plus préoccupant : des anticorps qui bloquent non seulement le médicament mais aussi l’hormone propre de l’organisme pourraient laisser un trouble durable.</w:t>
      </w:r>
    </w:p>
    <w:bookmarkEnd w:id="2706"/>
    <w:bookmarkStart w:id="2709" w:name="Xcc36598c66c985bcb1a4fe6e38b364dcc440438"/>
    <w:p>
      <w:pPr>
        <w:pStyle w:val="Heading3"/>
      </w:pPr>
      <w:r>
        <w:t xml:space="preserve">Anticorps anti-médicament : ce que montrent les études</w:t>
      </w:r>
    </w:p>
    <w:p>
      <w:pPr>
        <w:pStyle w:val="FirstParagraph"/>
      </w:pPr>
      <w:r>
        <w:t xml:space="preserve">Pour les médicaments GLP-1 autorisés, des études systématiques sont disponibles. Elles montrent à quel point la fréquence d’apparition des anticorps varie – et qu’une fréquence élevée ne signifie pas automatiquement un problème clinique.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Substance</w:t>
            </w:r>
          </w:p>
        </w:tc>
        <w:tc>
          <w:tcPr/>
          <w:p>
            <w:pPr>
              <w:pStyle w:val="Compact"/>
              <w:jc w:val="left"/>
            </w:pPr>
            <w:r>
              <w:t xml:space="preserve">Anticorps chez</w:t>
            </w:r>
          </w:p>
        </w:tc>
        <w:tc>
          <w:tcPr/>
          <w:p>
            <w:pPr>
              <w:pStyle w:val="Compact"/>
              <w:jc w:val="left"/>
            </w:pPr>
            <w:r>
              <w:t xml:space="preserve">Conséquences</w:t>
            </w:r>
          </w:p>
        </w:tc>
        <w:tc>
          <w:tcPr/>
          <w:p>
            <w:pPr>
              <w:pStyle w:val="Compact"/>
              <w:jc w:val="left"/>
            </w:pPr>
            <w:r>
              <w:t xml:space="preserve">Source</w:t>
            </w:r>
          </w:p>
        </w:tc>
      </w:tr>
      <w:tr>
        <w:tc>
          <w:tcPr/>
          <w:p>
            <w:pPr>
              <w:pStyle w:val="Compact"/>
              <w:jc w:val="left"/>
            </w:pPr>
            <w:r>
              <w:t xml:space="preserve">Exénatide</w:t>
            </w:r>
          </w:p>
        </w:tc>
        <w:tc>
          <w:tcPr/>
          <w:p>
            <w:pPr>
              <w:pStyle w:val="Compact"/>
              <w:jc w:val="left"/>
            </w:pPr>
            <w:r>
              <w:t xml:space="preserve">61 % après 26 semaines (LEAD-6)</w:t>
            </w:r>
          </w:p>
        </w:tc>
        <w:tc>
          <w:tcPr/>
          <w:p>
            <w:pPr>
              <w:pStyle w:val="Compact"/>
              <w:jc w:val="left"/>
            </w:pPr>
            <w:r>
              <w:t xml:space="preserve">titres élevés : baisse moindre de l’HbA1c</w:t>
            </w:r>
          </w:p>
        </w:tc>
        <w:tc>
          <w:tcPr/>
          <w:p>
            <w:pPr>
              <w:pStyle w:val="Compact"/>
              <w:jc w:val="left"/>
            </w:pPr>
            <w:r>
              <w:t xml:space="preserve">Buse 2011, PMID 21450987</w:t>
            </w:r>
          </w:p>
        </w:tc>
      </w:tr>
      <w:tr>
        <w:tc>
          <w:tcPr/>
          <w:p>
            <w:pPr>
              <w:pStyle w:val="Compact"/>
              <w:jc w:val="left"/>
            </w:pPr>
            <w:r>
              <w:t xml:space="preserve">Liraglutide</w:t>
            </w:r>
          </w:p>
        </w:tc>
        <w:tc>
          <w:tcPr/>
          <w:p>
            <w:pPr>
              <w:pStyle w:val="Compact"/>
              <w:jc w:val="left"/>
            </w:pPr>
            <w:r>
              <w:t xml:space="preserve">8,3 à 8,7 %, titres faibles</w:t>
            </w:r>
          </w:p>
        </w:tc>
        <w:tc>
          <w:tcPr/>
          <w:p>
            <w:pPr>
              <w:pStyle w:val="Compact"/>
              <w:jc w:val="left"/>
            </w:pPr>
            <w:r>
              <w:t xml:space="preserve">pas d’atténuation de l’effet</w:t>
            </w:r>
          </w:p>
        </w:tc>
        <w:tc>
          <w:tcPr/>
          <w:p>
            <w:pPr>
              <w:pStyle w:val="Compact"/>
              <w:jc w:val="left"/>
            </w:pPr>
            <w:r>
              <w:t xml:space="preserve">Buse 2011, PMID 21450987</w:t>
            </w:r>
          </w:p>
        </w:tc>
      </w:tr>
      <w:tr>
        <w:tc>
          <w:tcPr/>
          <w:p>
            <w:pPr>
              <w:pStyle w:val="Compact"/>
              <w:jc w:val="left"/>
            </w:pPr>
            <w:r>
              <w:t xml:space="preserve">Dulaglutide</w:t>
            </w:r>
          </w:p>
        </w:tc>
        <w:tc>
          <w:tcPr/>
          <w:p>
            <w:pPr>
              <w:pStyle w:val="Compact"/>
              <w:jc w:val="left"/>
            </w:pPr>
            <w:r>
              <w:t xml:space="preserve">1,6 %, neutralisants 0,9 %</w:t>
            </w:r>
          </w:p>
        </w:tc>
        <w:tc>
          <w:tcPr/>
          <w:p>
            <w:pPr>
              <w:pStyle w:val="Compact"/>
              <w:jc w:val="left"/>
            </w:pPr>
            <w:r>
              <w:t xml:space="preserve">pas d’hypersensibilité chez les personnes positives aux anticorps</w:t>
            </w:r>
          </w:p>
        </w:tc>
        <w:tc>
          <w:tcPr/>
          <w:p>
            <w:pPr>
              <w:pStyle w:val="Compact"/>
              <w:jc w:val="left"/>
            </w:pPr>
            <w:r>
              <w:t xml:space="preserve">Milicevic 2016, PMID 26847401</w:t>
            </w:r>
          </w:p>
        </w:tc>
      </w:tr>
      <w:tr>
        <w:tc>
          <w:tcPr/>
          <w:p>
            <w:pPr>
              <w:pStyle w:val="Compact"/>
              <w:jc w:val="left"/>
            </w:pPr>
            <w:r>
              <w:t xml:space="preserve">Tirzépatide</w:t>
            </w:r>
          </w:p>
        </w:tc>
        <w:tc>
          <w:tcPr/>
          <w:p>
            <w:pPr>
              <w:pStyle w:val="Compact"/>
              <w:jc w:val="left"/>
            </w:pPr>
            <w:r>
              <w:t xml:space="preserve">51,1 %, neutralisants environ 2 %</w:t>
            </w:r>
          </w:p>
        </w:tc>
        <w:tc>
          <w:tcPr/>
          <w:p>
            <w:pPr>
              <w:pStyle w:val="Compact"/>
              <w:jc w:val="left"/>
            </w:pPr>
            <w:r>
              <w:t xml:space="preserve">pas d’atténuation de l’effet ; davantage de réactions cutanées et allergiques</w:t>
            </w:r>
          </w:p>
        </w:tc>
        <w:tc>
          <w:tcPr/>
          <w:p>
            <w:pPr>
              <w:pStyle w:val="Compact"/>
              <w:jc w:val="left"/>
            </w:pPr>
            <w:r>
              <w:t xml:space="preserve">Mullins 2024, PMID 37700637</w:t>
            </w:r>
          </w:p>
        </w:tc>
      </w:tr>
      <w:tr>
        <w:tc>
          <w:tcPr/>
          <w:p>
            <w:pPr>
              <w:pStyle w:val="Compact"/>
              <w:jc w:val="left"/>
            </w:pPr>
            <w:r>
              <w:t xml:space="preserve">Sermoréline</w:t>
            </w:r>
          </w:p>
        </w:tc>
        <w:tc>
          <w:tcPr/>
          <w:p>
            <w:pPr>
              <w:pStyle w:val="Compact"/>
              <w:jc w:val="left"/>
            </w:pPr>
            <w:r>
              <w:t xml:space="preserve">14 enfants sur 18</w:t>
            </w:r>
          </w:p>
        </w:tc>
        <w:tc>
          <w:tcPr/>
          <w:p>
            <w:pPr>
              <w:pStyle w:val="Compact"/>
              <w:jc w:val="left"/>
            </w:pPr>
            <w:r>
              <w:t xml:space="preserve">pas de conséquences visibles</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aucun en 12 semaines</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L’exénatide</w:t>
      </w:r>
      <w:r>
        <w:t xml:space="preserve"> </w:t>
      </w:r>
      <w:r>
        <w:t xml:space="preserve">est l’exemple type d’un peptide qui, en raison de son origine non humaine, suscite fréquemment des anticorps. Dans l’étude LEAD-6, 113 des 185 personnes traitées avaient des anticorps contre l’exénatide après 26 semaines ; des taux d’anticorps élevés s’accompagnaient d’une baisse significativement moindre de l’HbA1c. Après le passage au liraglutide, ces anticorps n’ont pas entravé l’effet ultérieur</w:t>
      </w:r>
      <w:r>
        <w:rPr>
          <w:rStyle w:val="FootnoteReference"/>
        </w:rPr>
        <w:footnoteReference w:id="2707"/>
      </w:r>
      <w:r>
        <w:t xml:space="preserve">.</w:t>
      </w:r>
    </w:p>
    <w:p>
      <w:pPr>
        <w:pStyle w:val="BodyText"/>
      </w:pPr>
      <w:r>
        <w:rPr>
          <w:bCs/>
          <w:b/>
        </w:rPr>
        <w:t xml:space="preserve">Le tirzépatide</w:t>
      </w:r>
      <w:r>
        <w:t xml:space="preserve"> </w:t>
      </w:r>
      <w:r>
        <w:t xml:space="preserve">montre qu’un peptide copié sur l’humain peut lui aussi être fréquemment reconnu. Dans sept études de phase 3 portant sur 5 025 participants évaluables, 51,1 % ont formé des anticorps pendant le traitement. Des anticorps neutralisant l’effet sur le récepteur du GIP ou du GLP-1 ont été trouvés chez 1,9 % et 2,1 % des participants, et des anticorps neutralisant aussi les hormones endogènes chez moins de 1 %. Cela n’a eu aucune influence sur les taux sanguins ni sur l’effet. Les participants positifs aux anticorps ont toutefois présenté plus souvent des réactions d’hypersensibilité et des réactions au point d’injection, le plus souvent légères à modérées</w:t>
      </w:r>
      <w:r>
        <w:rPr>
          <w:rStyle w:val="FootnoteReference"/>
        </w:rPr>
        <w:footnoteReference w:id="2708"/>
      </w:r>
      <w:r>
        <w:t xml:space="preserve">.</w:t>
      </w:r>
    </w:p>
    <w:p>
      <w:pPr>
        <w:pStyle w:val="BodyText"/>
      </w:pPr>
      <w:r>
        <w:t xml:space="preserve">Pour les substances plus récentes – rétatrutide, survodutide, mazdutide, cagrilintide, amycrétine et le maridebart cafraglutide, à base d’anticorps –, des analyses de synthèse comparables n’ont pas encore été publiées. Pour le maridebart cafraglutide, c’est particulièrement pertinent, car les médicaments à base d’anticorps peuvent avoir une immunogénicité propre (chapitre Maridebart cafraglutide).</w:t>
      </w:r>
    </w:p>
    <w:p>
      <w:pPr>
        <w:pStyle w:val="BodyText"/>
      </w:pPr>
      <w:r>
        <w:t xml:space="preserve">Pour la plupart des peptides du marché gris, il n’existe aucune donnée sur les anticorps. C’est le cas du BPC-157, du TB-500, du CJC-1295, de l’ipamoréline, du MOTS-c, de l’humanine, de l’Epitalon et de bien d’autres. Les chapitres consacrés au MOTS-c, à l’humanine et au FOXO4-DRI signalent que des anticorps sont envisageables en cas d’injections répétées, mais n’ont jamais été étudiés. Une personne qui s’injecte de telles substances pendant des mois ne peut donc pas savoir si son organisme forme des anticorps ni ce qu’ils provoquent.</w:t>
      </w:r>
    </w:p>
    <w:bookmarkEnd w:id="2709"/>
    <w:bookmarkStart w:id="2713" w:name="réactions-au-point-dinjection"/>
    <w:p>
      <w:pPr>
        <w:pStyle w:val="Heading3"/>
      </w:pPr>
      <w:r>
        <w:t xml:space="preserve">Réactions au point d’injection</w:t>
      </w:r>
    </w:p>
    <w:p>
      <w:pPr>
        <w:pStyle w:val="FirstParagraph"/>
      </w:pPr>
      <w:r>
        <w:t xml:space="preserve">Rougeur, démangeaisons, gonflement, petits hématomes ou nodules palpables au point d’injection sont les réactions immunitaires et tissulaires les plus fréquentes aux peptides injectés. Une méta-analyse de 14 études randomisées totalisant 4 861 participants a trouvé sous agonistes du récepteur du GLP-1 un risque environ trois fois et demie plus élevé de telles réactions par rapport aux groupes de comparaison (risque relatif 3,55). Dans la base de données américaine de pharmacovigilance, l’exénatide et le dulaglutide se sont particulièrement signalés par des saignements au point d’injection</w:t>
      </w:r>
      <w:r>
        <w:rPr>
          <w:rStyle w:val="FootnoteReference"/>
        </w:rPr>
        <w:footnoteReference w:id="2710"/>
      </w:r>
      <w:r>
        <w:t xml:space="preserve">.</w:t>
      </w:r>
    </w:p>
    <w:p>
      <w:pPr>
        <w:pStyle w:val="BodyText"/>
      </w:pPr>
      <w:r>
        <w:t xml:space="preserve">La fréquence varie considérablement d’un peptide à l’autre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Réactions au point d’injection</w:t>
            </w:r>
          </w:p>
        </w:tc>
        <w:tc>
          <w:tcPr/>
          <w:p>
            <w:pPr>
              <w:pStyle w:val="Compact"/>
              <w:jc w:val="left"/>
            </w:pPr>
            <w:r>
              <w:t xml:space="preserve">Source</w:t>
            </w:r>
          </w:p>
        </w:tc>
      </w:tr>
      <w:tr>
        <w:tc>
          <w:tcPr/>
          <w:p>
            <w:pPr>
              <w:pStyle w:val="Compact"/>
              <w:jc w:val="left"/>
            </w:pPr>
            <w:r>
              <w:t xml:space="preserve">Setmélanotide</w:t>
            </w:r>
          </w:p>
        </w:tc>
        <w:tc>
          <w:tcPr/>
          <w:p>
            <w:pPr>
              <w:pStyle w:val="Compact"/>
              <w:jc w:val="left"/>
            </w:pPr>
            <w:r>
              <w:t xml:space="preserve">96 % (méta-analyse, 7 études)</w:t>
            </w:r>
          </w:p>
        </w:tc>
        <w:tc>
          <w:tcPr/>
          <w:p>
            <w:pPr>
              <w:pStyle w:val="Compact"/>
              <w:jc w:val="left"/>
            </w:pPr>
            <w:r>
              <w:t xml:space="preserve">Sridharan 2026, PMID 39924461</w:t>
            </w:r>
          </w:p>
        </w:tc>
      </w:tr>
      <w:tr>
        <w:tc>
          <w:tcPr/>
          <w:p>
            <w:pPr>
              <w:pStyle w:val="Compact"/>
              <w:jc w:val="left"/>
            </w:pPr>
            <w:r>
              <w:t xml:space="preserve">Élamipretide (SS-31)</w:t>
            </w:r>
          </w:p>
        </w:tc>
        <w:tc>
          <w:tcPr/>
          <w:p>
            <w:pPr>
              <w:pStyle w:val="Compact"/>
              <w:jc w:val="left"/>
            </w:pPr>
            <w:r>
              <w:t xml:space="preserve">80 %, le plus souvent légères</w:t>
            </w:r>
          </w:p>
        </w:tc>
        <w:tc>
          <w:tcPr/>
          <w:p>
            <w:pPr>
              <w:pStyle w:val="Compact"/>
              <w:jc w:val="left"/>
            </w:pPr>
            <w:r>
              <w:t xml:space="preserve">Karaa 2020, PMID 32096613</w:t>
            </w:r>
          </w:p>
        </w:tc>
      </w:tr>
      <w:tr>
        <w:tc>
          <w:tcPr/>
          <w:p>
            <w:pPr>
              <w:pStyle w:val="Compact"/>
              <w:jc w:val="left"/>
            </w:pPr>
            <w:r>
              <w:t xml:space="preserve">Mécasermine</w:t>
            </w:r>
          </w:p>
        </w:tc>
        <w:tc>
          <w:tcPr/>
          <w:p>
            <w:pPr>
              <w:pStyle w:val="Compact"/>
              <w:jc w:val="left"/>
            </w:pPr>
            <w:r>
              <w:t xml:space="preserve">modifications du tissu adipeux chez 32 %</w:t>
            </w:r>
          </w:p>
        </w:tc>
        <w:tc>
          <w:tcPr/>
          <w:p>
            <w:pPr>
              <w:pStyle w:val="Compact"/>
              <w:jc w:val="left"/>
            </w:pPr>
            <w:r>
              <w:t xml:space="preserve">Chernausek 2007, PMID 17192294</w:t>
            </w:r>
          </w:p>
        </w:tc>
      </w:tr>
      <w:tr>
        <w:tc>
          <w:tcPr/>
          <w:p>
            <w:pPr>
              <w:pStyle w:val="Compact"/>
              <w:jc w:val="left"/>
            </w:pPr>
            <w:r>
              <w:t xml:space="preserve">Tirzépatide</w:t>
            </w:r>
          </w:p>
        </w:tc>
        <w:tc>
          <w:tcPr/>
          <w:p>
            <w:pPr>
              <w:pStyle w:val="Compact"/>
              <w:jc w:val="left"/>
            </w:pPr>
            <w:r>
              <w:t xml:space="preserve">2 à 7 %</w:t>
            </w:r>
          </w:p>
        </w:tc>
        <w:tc>
          <w:tcPr/>
          <w:p>
            <w:pPr>
              <w:pStyle w:val="Compact"/>
              <w:jc w:val="left"/>
            </w:pPr>
            <w:r>
              <w:t xml:space="preserve">Gupta 2026, PMID 42930571</w:t>
            </w:r>
          </w:p>
        </w:tc>
      </w:tr>
      <w:tr>
        <w:tc>
          <w:tcPr/>
          <w:p>
            <w:pPr>
              <w:pStyle w:val="Compact"/>
              <w:jc w:val="left"/>
            </w:pPr>
            <w:r>
              <w:t xml:space="preserve">Brémélanotide</w:t>
            </w:r>
          </w:p>
        </w:tc>
        <w:tc>
          <w:tcPr/>
          <w:p>
            <w:pPr>
              <w:pStyle w:val="Compact"/>
              <w:jc w:val="left"/>
            </w:pPr>
            <w:r>
              <w:t xml:space="preserve">5,4 % vs 0,5 % sous placebo</w:t>
            </w:r>
          </w:p>
        </w:tc>
        <w:tc>
          <w:tcPr/>
          <w:p>
            <w:pPr>
              <w:pStyle w:val="Compact"/>
              <w:jc w:val="left"/>
            </w:pPr>
            <w:r>
              <w:t xml:space="preserve">Clayton 2022, PMID 35147466</w:t>
            </w:r>
          </w:p>
        </w:tc>
      </w:tr>
    </w:tbl>
    <w:p>
      <w:pPr>
        <w:pStyle w:val="BodyText"/>
      </w:pPr>
      <w:r>
        <w:t xml:space="preserve">Avec la forme hebdomadaire de l’exénatide, de petits nodules se forment fréquemment, car les microsphères qui libèrent lentement la substance active sont dégradées sous la peau. Dans l’analyse à cinq ans de DURATION-1, ces réactions sont devenues plus rares avec le temps</w:t>
      </w:r>
      <w:r>
        <w:rPr>
          <w:rStyle w:val="FootnoteReference"/>
        </w:rPr>
        <w:footnoteReference w:id="2711"/>
      </w:r>
      <w:r>
        <w:t xml:space="preserve">. Avec la mécasermine, il s’agissait d’un épaississement du tissu adipeux au point d’injection (lipohypertrophie).</w:t>
      </w:r>
    </w:p>
    <w:p>
      <w:pPr>
        <w:pStyle w:val="BodyText"/>
      </w:pPr>
      <w:r>
        <w:t xml:space="preserve">Il est important de faire la distinction avec une</w:t>
      </w:r>
      <w:r>
        <w:t xml:space="preserve"> </w:t>
      </w:r>
      <w:r>
        <w:rPr>
          <w:bCs/>
          <w:b/>
        </w:rPr>
        <w:t xml:space="preserve">infection</w:t>
      </w:r>
      <w:r>
        <w:t xml:space="preserve">. Une rougeur qui s’étend sur plusieurs jours, devient chaude, douloureuse, purulente ou s’accompagne de fièvre n’est pas une réaction inoffensive. Après des injections d’Argireline dans le front et les tempes, une femme de 45 ans a développé des nodules et des abcès ; la cause était la bactérie difficile à traiter</w:t>
      </w:r>
      <w:r>
        <w:t xml:space="preserve"> </w:t>
      </w:r>
      <w:r>
        <w:rPr>
          <w:iCs/>
          <w:i/>
        </w:rPr>
        <w:t xml:space="preserve">Mycobacterium abscessus</w:t>
      </w:r>
      <w:r>
        <w:t xml:space="preserve">, et le traitement a duré cinq mois</w:t>
      </w:r>
      <w:r>
        <w:rPr>
          <w:rStyle w:val="FootnoteReference"/>
        </w:rPr>
        <w:footnoteReference w:id="2712"/>
      </w:r>
      <w:r>
        <w:t xml:space="preserve">. De telles infections ne proviennent généralement pas du peptide, mais de produits ou de procédés non stériles – pour en savoir plus, voir le chapitre « Produits du marché gris ».</w:t>
      </w:r>
    </w:p>
    <w:bookmarkEnd w:id="2713"/>
    <w:bookmarkStart w:id="2722" w:name="réactions-allergiques-et-anaphylaxie"/>
    <w:p>
      <w:pPr>
        <w:pStyle w:val="Heading3"/>
      </w:pPr>
      <w:r>
        <w:t xml:space="preserve">Réactions allergiques et anaphylaxie</w:t>
      </w:r>
    </w:p>
    <w:p>
      <w:pPr>
        <w:pStyle w:val="FirstParagraph"/>
      </w:pPr>
      <w:r>
        <w:t xml:space="preserve">Une anaphylaxie est une réaction allergique grave touchant l’ensemble de l’organisme, avec éruption cutanée, gonflements, détresse respiratoire et collapsus circulatoire. Elle est rare avec les médicaments peptidiques, mais elle existe.</w:t>
      </w:r>
    </w:p>
    <w:p>
      <w:pPr>
        <w:pStyle w:val="BodyText"/>
      </w:pPr>
      <w:r>
        <w:t xml:space="preserve">Pour les médicaments GLP-1, il existe à ce sujet de grandes études sur bases de données. Dans trois bases de données d’assurance américaines portant sur 696 089 nouvelles utilisatrices et nouveaux utilisateurs, la fréquence de l’anaphylaxie se situait selon la substance entre 1,0 (lixisénatide) et 6,0 (exénatide) cas pour 10 000 personnes-années ; les autrices et auteurs jugent l’anaphylaxie rare sous médicaments GLP-1</w:t>
      </w:r>
      <w:r>
        <w:rPr>
          <w:rStyle w:val="FootnoteReference"/>
        </w:rPr>
        <w:footnoteReference w:id="2714"/>
      </w:r>
      <w:r>
        <w:t xml:space="preserve">. Une étude menée au Royaume-Uni et aux États-Unis a comparé les agonistes du récepteur du GLP-1 à deux autres groupes d’antidiabétiques. Par rapport aux inhibiteurs de la DPP-4, le risque n’était pas augmenté de manière établie (hazard ratio 1,15) ; par rapport aux inhibiteurs du SGLT2, il l’était de 38 % (40,7 contre 29,4 cas pour 100 000 personnes-années)</w:t>
      </w:r>
      <w:r>
        <w:rPr>
          <w:rStyle w:val="FootnoteReference"/>
        </w:rPr>
        <w:footnoteReference w:id="2715"/>
      </w:r>
      <w:r>
        <w:t xml:space="preserve">. Il s’agit d’une hausse relative pour une réaction très rare en valeur absolue.</w:t>
      </w:r>
    </w:p>
    <w:p>
      <w:pPr>
        <w:pStyle w:val="BodyText"/>
      </w:pPr>
      <w:r>
        <w:t xml:space="preserve">Des cas isolés montrent à quoi ces réactions peuvent ressembler :</w:t>
      </w:r>
    </w:p>
    <w:p>
      <w:pPr>
        <w:numPr>
          <w:ilvl w:val="0"/>
          <w:numId w:val="1343"/>
        </w:numPr>
        <w:pStyle w:val="Compact"/>
      </w:pPr>
      <w:r>
        <w:t xml:space="preserve">Des rapports de cas décrivent une anaphylaxie sous la forme hebdomadaire de l’exénatide</w:t>
      </w:r>
      <w:r>
        <w:rPr>
          <w:rStyle w:val="FootnoteReference"/>
        </w:rPr>
        <w:footnoteReference w:id="2716"/>
      </w:r>
      <w:r>
        <w:t xml:space="preserve"> </w:t>
      </w:r>
      <w:r>
        <w:t xml:space="preserve">et une réaction allergique à l’exénatide et au lixisénatide, mais pas au liraglutide</w:t>
      </w:r>
      <w:r>
        <w:rPr>
          <w:rStyle w:val="FootnoteReference"/>
        </w:rPr>
        <w:footnoteReference w:id="2717"/>
      </w:r>
      <w:r>
        <w:t xml:space="preserve"> </w:t>
      </w:r>
      <w:r>
        <w:t xml:space="preserve">– un indice que les substances dérivées du lézard sont reconnues différemment de celles qui ressemblent à l’hormone humaine.</w:t>
      </w:r>
    </w:p>
    <w:p>
      <w:pPr>
        <w:numPr>
          <w:ilvl w:val="0"/>
          <w:numId w:val="1343"/>
        </w:numPr>
        <w:pStyle w:val="Compact"/>
      </w:pPr>
      <w:r>
        <w:t xml:space="preserve">Sous tirzépatide, une anaphylaxie biphasique a été décrite, dans laquelle les symptômes sont réapparus après une amélioration initiale</w:t>
      </w:r>
      <w:r>
        <w:rPr>
          <w:rStyle w:val="FootnoteReference"/>
        </w:rPr>
        <w:footnoteReference w:id="2718"/>
      </w:r>
      <w:r>
        <w:t xml:space="preserve">.</w:t>
      </w:r>
    </w:p>
    <w:p>
      <w:pPr>
        <w:numPr>
          <w:ilvl w:val="0"/>
          <w:numId w:val="1343"/>
        </w:numPr>
        <w:pStyle w:val="Compact"/>
      </w:pPr>
      <w:r>
        <w:t xml:space="preserve">Une femme de 50 ans a développé, quatre heures après sa première injection de sémaglutide provenant d’une pharmacie de préparations magistrales, un gonflement massif des lèvres, de la langue et de la gorge et a dû être ventilée pendant quatre jours. Ce n’est qu’ensuite qu’il est apparu qu’elle s’était injecté par erreur dix fois la quantité prévue</w:t>
      </w:r>
      <w:r>
        <w:rPr>
          <w:rStyle w:val="FootnoteReference"/>
        </w:rPr>
        <w:footnoteReference w:id="2719"/>
      </w:r>
      <w:r>
        <w:t xml:space="preserve">.</w:t>
      </w:r>
    </w:p>
    <w:p>
      <w:pPr>
        <w:numPr>
          <w:ilvl w:val="0"/>
          <w:numId w:val="1343"/>
        </w:numPr>
        <w:pStyle w:val="Compact"/>
      </w:pPr>
      <w:r>
        <w:t xml:space="preserve">Après une perfusion de Cerebrolysin, un homme de 85 ans a développé une anaphylaxie mettant sa vie en danger, confirmée en laboratoire</w:t>
      </w:r>
      <w:r>
        <w:rPr>
          <w:rStyle w:val="FootnoteReference"/>
        </w:rPr>
        <w:footnoteReference w:id="2720"/>
      </w:r>
      <w:r>
        <w:t xml:space="preserve">. Le Cerebrolysin est un mélange de peptides issus de cerveau de porc ; les extraits animaux comme celui-ci ou la thymaline apportent par principe davantage de protéines étrangères (chapitres Cerebrolysin, Thymaline).</w:t>
      </w:r>
    </w:p>
    <w:p>
      <w:pPr>
        <w:pStyle w:val="FirstParagraph"/>
      </w:pPr>
      <w:r>
        <w:t xml:space="preserve">Les allergies sont aussi possibles avec les peptides cosmétiques, bien que rares. Dans une petite étude avec une crème contenant notamment du palmitoyl pentapeptide-4, une suspicion de réaction allergique est survenue ; le composant responsable n’a pas pu être identifié</w:t>
      </w:r>
      <w:r>
        <w:rPr>
          <w:rStyle w:val="FootnoteReference"/>
        </w:rPr>
        <w:footnoteReference w:id="2721"/>
      </w:r>
      <w:r>
        <w:t xml:space="preserve">.</w:t>
      </w:r>
    </w:p>
    <w:p>
      <w:pPr>
        <w:pStyle w:val="BodyText"/>
      </w:pPr>
      <w:r>
        <w:t xml:space="preserve">Pour les peptides du marché gris, il n’existe pas de données de fréquence. Le risque d’une réaction allergique grave y est toutefois particulièrement présent, car l’utilisation se fait le plus souvent sans surveillance médicale et, en cas d’urgence, personne n’est là avec des médicaments d’urgence. Une détresse respiratoire, des gonflements du visage ou de la gorge et des troubles circulatoires après une injection sont toujours une urgence.</w:t>
      </w:r>
    </w:p>
    <w:bookmarkEnd w:id="2722"/>
    <w:bookmarkStart w:id="2727" w:name="réactions-inflammatoires-et-auto-immunes"/>
    <w:p>
      <w:pPr>
        <w:pStyle w:val="Heading3"/>
      </w:pPr>
      <w:r>
        <w:t xml:space="preserve">Réactions inflammatoires et auto-immunes</w:t>
      </w:r>
    </w:p>
    <w:p>
      <w:pPr>
        <w:pStyle w:val="FirstParagraph"/>
      </w:pPr>
      <w:r>
        <w:t xml:space="preserve">Certains peptides font eux-mêmes partie du système immunitaire. Cela les rend intéressants, mais aussi risqués.</w:t>
      </w:r>
    </w:p>
    <w:p>
      <w:pPr>
        <w:pStyle w:val="BodyText"/>
      </w:pPr>
      <w:r>
        <w:rPr>
          <w:bCs/>
          <w:b/>
        </w:rPr>
        <w:t xml:space="preserve">Le LL-37</w:t>
      </w:r>
      <w:r>
        <w:t xml:space="preserve"> </w:t>
      </w:r>
      <w:r>
        <w:t xml:space="preserve">est un peptide de défense endogène. Dans le psoriasis, il joue un rôle clé : il se lie au matériel génétique de l’organisme et le rend visible pour certaines cellules immunitaires, qui libèrent alors des messagers inflammatoires</w:t>
      </w:r>
      <w:r>
        <w:rPr>
          <w:rStyle w:val="FootnoteReference"/>
        </w:rPr>
        <w:footnoteReference w:id="2723"/>
      </w:r>
      <w:r>
        <w:t xml:space="preserve">. Chez deux tiers des personnes atteintes de psoriasis modéré à sévère, on a trouvé des lymphocytes T qui reconnaissent spécifiquement le LL-37 – il y agit donc comme un auto-antigène</w:t>
      </w:r>
      <w:r>
        <w:rPr>
          <w:rStyle w:val="FootnoteReference"/>
        </w:rPr>
        <w:footnoteReference w:id="2724"/>
      </w:r>
      <w:r>
        <w:t xml:space="preserve">. Après des injections de LL-37 dans des métastases cutanées, une patiente a présenté des lésions cutanées inflammatoires verruqueuses</w:t>
      </w:r>
      <w:r>
        <w:rPr>
          <w:rStyle w:val="FootnoteReference"/>
        </w:rPr>
        <w:footnoteReference w:id="2725"/>
      </w:r>
      <w:r>
        <w:t xml:space="preserve">. Pour les personnes atteintes de psoriasis, de rosacée ou d’autres maladies auto-immunes, c’est un indice à prendre au sérieux (chapitre LL-37).</w:t>
      </w:r>
    </w:p>
    <w:p>
      <w:pPr>
        <w:pStyle w:val="BodyText"/>
      </w:pPr>
      <w:r>
        <w:rPr>
          <w:bCs/>
          <w:b/>
        </w:rPr>
        <w:t xml:space="preserve">Les peptides immunostimulants</w:t>
      </w:r>
      <w:r>
        <w:t xml:space="preserve"> </w:t>
      </w:r>
      <w:r>
        <w:t xml:space="preserve">comme la thymosine alpha 1 et la thymaline sont censés stimuler les défenses. S’ils nuisent en cas de maladie auto-immune ou après une transplantation d’organe n’a pas été étudié (chapitres Thymosine alpha 1, Thymaline).</w:t>
      </w:r>
    </w:p>
    <w:p>
      <w:pPr>
        <w:pStyle w:val="BodyText"/>
      </w:pPr>
      <w:r>
        <w:t xml:space="preserve">Pour les médicaments GLP-1, une revue systématique décrit, outre les réactions cutanées légères fréquentes, des affections à médiation immunitaire rares mais potentiellement graves, dont des angio-œdèmes, des maladies auto-immunes bulleuses, des éruptions médicamenteuses et des vascularites</w:t>
      </w:r>
      <w:r>
        <w:rPr>
          <w:rStyle w:val="FootnoteReference"/>
        </w:rPr>
        <w:footnoteReference w:id="2726"/>
      </w:r>
      <w:r>
        <w:t xml:space="preserve">. Leur fréquence ne peut pas être déduite de rapports de cas.</w:t>
      </w:r>
    </w:p>
    <w:bookmarkEnd w:id="2727"/>
    <w:bookmarkStart w:id="2733" w:name="les-impuretés-comme-déclencheurs"/>
    <w:p>
      <w:pPr>
        <w:pStyle w:val="Heading3"/>
      </w:pPr>
      <w:r>
        <w:t xml:space="preserve">Les impuretés comme déclencheurs</w:t>
      </w:r>
    </w:p>
    <w:p>
      <w:pPr>
        <w:pStyle w:val="FirstParagraph"/>
      </w:pPr>
      <w:r>
        <w:t xml:space="preserve">Une partie des réactions immunitaires n’est pas due au peptide lui-même, mais à ce qui se retrouve en plus dans le flacon lors de sa fabrication.</w:t>
      </w:r>
    </w:p>
    <w:p>
      <w:pPr>
        <w:pStyle w:val="BodyText"/>
      </w:pPr>
      <w:r>
        <w:rPr>
          <w:bCs/>
          <w:b/>
        </w:rPr>
        <w:t xml:space="preserve">Peptides défectueux.</w:t>
      </w:r>
      <w:r>
        <w:t xml:space="preserve"> </w:t>
      </w:r>
      <w:r>
        <w:t xml:space="preserve">Lors de la synthèse chimique se forment des molécules dans lesquelles un acide aminé manque, apparaît en double ou est modifié chimiquement. De telles impuretés peuvent contenir de nouvelles structures reconnues par les lymphocytes T du système immunitaire. C’est pourquoi l’autorité américaine du médicament exige, pour les génériques de peptides synthétiques, des informations sur chaque nouvelle impureté par rapport à la préparation de référence</w:t>
      </w:r>
      <w:r>
        <w:rPr>
          <w:rStyle w:val="FootnoteReference"/>
        </w:rPr>
        <w:footnoteReference w:id="2728"/>
      </w:r>
      <w:r>
        <w:t xml:space="preserve">. Une étude portant sur des génériques du peptide antiostéoporotique tériparatide montre à quoi ressemble un tel contrôle : les impuretés y ont été évaluées par des méthodes informatiques, des tests de liaison et des essais avec des cellules immunitaires humaines</w:t>
      </w:r>
      <w:r>
        <w:rPr>
          <w:rStyle w:val="FootnoteReference"/>
        </w:rPr>
        <w:footnoteReference w:id="2729"/>
      </w:r>
      <w:r>
        <w:t xml:space="preserve">.</w:t>
      </w:r>
    </w:p>
    <w:p>
      <w:pPr>
        <w:pStyle w:val="BodyText"/>
      </w:pPr>
      <w:r>
        <w:rPr>
          <w:bCs/>
          <w:b/>
        </w:rPr>
        <w:t xml:space="preserve">Copies de GLP-1.</w:t>
      </w:r>
      <w:r>
        <w:t xml:space="preserve"> </w:t>
      </w:r>
      <w:r>
        <w:t xml:space="preserve">Une analyse proche d’un fabricant portant sur 16 copies injectables et 8 copies orales du sémaglutide a trouvé de nouvelles impuretés, dont des molécules protéiques plus grosses, ainsi que de nouveaux sites de reconnaissance par le système immunitaire prédits par des méthodes informatiques ; les copies du liraglutide montraient une tendance plus marquée à l’agrégation</w:t>
      </w:r>
      <w:r>
        <w:rPr>
          <w:rStyle w:val="FootnoteReference"/>
        </w:rPr>
        <w:footnoteReference w:id="2730"/>
      </w:r>
      <w:r>
        <w:t xml:space="preserve">. Il n’a pas été mesuré si ces différences provoquent réellement davantage d’anticorps chez l’humain. Une autre étude montre qu’une copie synthétique fabriquée avec soin n’est pas automatiquement plus problématique : un générique synthétique du liraglutide n’a pas stimulé davantage les cellules immunitaires humaines en laboratoire que l’original produit par génie génétique</w:t>
      </w:r>
      <w:r>
        <w:rPr>
          <w:rStyle w:val="FootnoteReference"/>
        </w:rPr>
        <w:footnoteReference w:id="2731"/>
      </w:r>
      <w:r>
        <w:t xml:space="preserve">. Ce qui est décisif n’est donc pas le mode de fabrication, mais le contrôle de la qualité.</w:t>
      </w:r>
    </w:p>
    <w:p>
      <w:pPr>
        <w:pStyle w:val="BodyText"/>
      </w:pPr>
      <w:r>
        <w:rPr>
          <w:bCs/>
          <w:b/>
        </w:rPr>
        <w:t xml:space="preserve">Endotoxines et germes.</w:t>
      </w:r>
      <w:r>
        <w:t xml:space="preserve"> </w:t>
      </w:r>
      <w:r>
        <w:t xml:space="preserve">Les endotoxines, composants de la paroi cellulaire des bactéries, activent directement le système immunitaire inné et peuvent déclencher fièvre, frissons et réactions circulatoires. Lors d’achats tests de sémaglutide auprès de pharmacies en ligne illégales, elles étaient détectables dans tous les échantillons (Ashraf 2024, PMID 39509151 ; détails dans la partie I). Un laboratoire de contrôle a détecté dans deux préparations peptidiques illégales pour injection la bactérie</w:t>
      </w:r>
      <w:r>
        <w:t xml:space="preserve"> </w:t>
      </w:r>
      <w:r>
        <w:rPr>
          <w:iCs/>
          <w:i/>
        </w:rPr>
        <w:t xml:space="preserve">Bacillus cereus</w:t>
      </w:r>
      <w:r>
        <w:t xml:space="preserve">, qui peut détruire les globules rouges</w:t>
      </w:r>
      <w:r>
        <w:rPr>
          <w:rStyle w:val="FootnoteReference"/>
        </w:rPr>
        <w:footnoteReference w:id="2732"/>
      </w:r>
      <w:r>
        <w:t xml:space="preserve">.</w:t>
      </w:r>
    </w:p>
    <w:p>
      <w:pPr>
        <w:pStyle w:val="BodyText"/>
      </w:pPr>
      <w:r>
        <w:t xml:space="preserve">Pour le marché gris, cela signifie : même si un peptide est en soi peu immunogène, le produit peut l’être. Et comme ni les profils d’impuretés ni les limites en endotoxines ne sont contrôlés pour la marchandise du marché gris, une réaction peut difficilement être attribuée après coup à un composant.</w:t>
      </w:r>
    </w:p>
    <w:bookmarkEnd w:id="2733"/>
    <w:bookmarkStart w:id="2734" w:name="ce-que-cela-signifie-en-pratique"/>
    <w:p>
      <w:pPr>
        <w:pStyle w:val="Heading3"/>
      </w:pPr>
      <w:r>
        <w:t xml:space="preserve">Ce que cela signifie en pratique</w:t>
      </w:r>
    </w:p>
    <w:p>
      <w:pPr>
        <w:numPr>
          <w:ilvl w:val="0"/>
          <w:numId w:val="1344"/>
        </w:numPr>
        <w:pStyle w:val="Compact"/>
      </w:pPr>
      <w:r>
        <w:t xml:space="preserve">Les anticorps dirigés contre les médicaments peptidiques sont fréquents, mais le plus souvent sans conséquence. Avec l’exénatide, des titres élevés peuvent atténuer l’effet ; avec le tirzépatide, ils s’accompagnent d’un peu plus de réactions cutanées et d’hypersensibilité.</w:t>
      </w:r>
    </w:p>
    <w:p>
      <w:pPr>
        <w:numPr>
          <w:ilvl w:val="0"/>
          <w:numId w:val="1344"/>
        </w:numPr>
        <w:pStyle w:val="Compact"/>
      </w:pPr>
      <w:r>
        <w:t xml:space="preserve">Les réactions au point d’injection sont la réaction immunitaire la plus fréquente, presque la règle pour certains peptides. Une rougeur croissante, de la chaleur, du pus ou de la fièvre évoquent en revanche une infection.</w:t>
      </w:r>
    </w:p>
    <w:p>
      <w:pPr>
        <w:numPr>
          <w:ilvl w:val="0"/>
          <w:numId w:val="1344"/>
        </w:numPr>
        <w:pStyle w:val="Compact"/>
      </w:pPr>
      <w:r>
        <w:t xml:space="preserve">L’anaphylaxie est très rare sous médicaments GLP-1 autorisés – de l’ordre de quelques cas pour 10 000 années de traitement. Il existe aussi des rapports de cas pour le tirzépatide, le Cerebrolysin et pour un surdosage accidentel.</w:t>
      </w:r>
    </w:p>
    <w:p>
      <w:pPr>
        <w:numPr>
          <w:ilvl w:val="0"/>
          <w:numId w:val="1344"/>
        </w:numPr>
        <w:pStyle w:val="Compact"/>
      </w:pPr>
      <w:r>
        <w:t xml:space="preserve">Pour la plupart des peptides du marché gris, les données sur les anticorps et les allergies font entièrement défaut. Les impuretés et les endotoxines y constituent un risque supplémentaire et incalculable.</w:t>
      </w:r>
    </w:p>
    <w:p>
      <w:pPr>
        <w:numPr>
          <w:ilvl w:val="0"/>
          <w:numId w:val="1344"/>
        </w:numPr>
        <w:pStyle w:val="Compact"/>
      </w:pPr>
      <w:r>
        <w:t xml:space="preserve">Si tu as déjà eu une réaction allergique à un peptide, signale-le lors de chaque traitement médical. Seul un médecin peut déterminer si des substances apparentées sont tolérées.</w:t>
      </w:r>
    </w:p>
    <w:bookmarkEnd w:id="2734"/>
    <w:bookmarkEnd w:id="2735"/>
    <w:bookmarkStart w:id="2779" w:name="Xa4dffeb30b03ab05b98d0000aca438a71984a46"/>
    <w:p>
      <w:pPr>
        <w:pStyle w:val="Heading2"/>
      </w:pPr>
      <w:r>
        <w:t xml:space="preserve">Produits du marché gris : ce que montrent les analyses de laboratoire</w:t>
      </w:r>
    </w:p>
    <w:p>
      <w:pPr>
        <w:pStyle w:val="FirstParagraph"/>
      </w:pPr>
      <w:r>
        <w:t xml:space="preserve">Dans la partie I, le chapitre « Le marché gris » a décrit ce que sont les « research peptides » et présenté quelques découvertes retentissantes : de la poudre de sémaglutide d’une pureté de 7,7 à 14,4 %, des flacons de Melanotan contenant moins de la moitié de la quantité indiquée, de l’Ozempic contrefait contenant de l’insuline. Ce chapitre va plus loin. Il demande qui analyse réellement ces produits, quels types de défauts se répètent d’une étude à l’autre, ce que ces analyses ne peuvent pas montrer – et ce que les données des centres antipoison révèlent sur les conséquences des erreurs de dosage avec les médicaments GLP-1.</w:t>
      </w:r>
    </w:p>
    <w:bookmarkStart w:id="2737" w:name="qui-analyse-les-produits-du-marché-gris"/>
    <w:p>
      <w:pPr>
        <w:pStyle w:val="Heading3"/>
      </w:pPr>
      <w:r>
        <w:t xml:space="preserve">Qui analyse les produits du marché gris</w:t>
      </w:r>
    </w:p>
    <w:p>
      <w:pPr>
        <w:pStyle w:val="FirstParagraph"/>
      </w:pPr>
      <w:r>
        <w:t xml:space="preserve">La plupart des données proviennent de trois sources.</w:t>
      </w:r>
    </w:p>
    <w:p>
      <w:pPr>
        <w:pStyle w:val="BodyText"/>
      </w:pPr>
      <w:r>
        <w:rPr>
          <w:bCs/>
          <w:b/>
        </w:rPr>
        <w:t xml:space="preserve">Les laboratoires officiels de contrôle des médicaments.</w:t>
      </w:r>
      <w:r>
        <w:t xml:space="preserve"> </w:t>
      </w:r>
      <w:r>
        <w:t xml:space="preserve">En Europe, ils collaborent au sein d’un réseau coordonné par la Direction européenne de la qualité du médicament. Ils analysent des échantillons saisis par les douanes, la police ou les autorités sanitaires. Un laboratoire belge a par exemple mis au point une méthode de criblage permettant d’identifier en une seule analyse 25 peptides différents dans des préparations injectables inconnues – y compris des peptides qui n’avaient encore jamais été saisis, mais qui étaient déjà discutés sur des forums Internet</w:t>
      </w:r>
      <w:r>
        <w:rPr>
          <w:rStyle w:val="FootnoteReference"/>
        </w:rPr>
        <w:footnoteReference w:id="2736"/>
      </w:r>
      <w:r>
        <w:t xml:space="preserve">.</w:t>
      </w:r>
    </w:p>
    <w:p>
      <w:pPr>
        <w:pStyle w:val="BodyText"/>
      </w:pPr>
      <w:r>
        <w:rPr>
          <w:bCs/>
          <w:b/>
        </w:rPr>
        <w:t xml:space="preserve">Les laboratoires antidopage et de police scientifique.</w:t>
      </w:r>
      <w:r>
        <w:t xml:space="preserve"> </w:t>
      </w:r>
      <w:r>
        <w:t xml:space="preserve">Ils analysent des marchandises saisies dans le milieu sportif afin de maintenir leurs méthodes de détection à jour. Les observations de Cologne, de Norvège et du Danemark présentées dans la partie I proviennent de cette source.</w:t>
      </w:r>
    </w:p>
    <w:p>
      <w:pPr>
        <w:pStyle w:val="BodyText"/>
      </w:pPr>
      <w:r>
        <w:rPr>
          <w:bCs/>
          <w:b/>
        </w:rPr>
        <w:t xml:space="preserve">Les achats tests réalisés par des groupes de recherche.</w:t>
      </w:r>
      <w:r>
        <w:t xml:space="preserve"> </w:t>
      </w:r>
      <w:r>
        <w:t xml:space="preserve">Ces groupes achètent de manière ciblée des produits auprès de vendeurs en ligne et vérifient ce qui leur parvient. Ces études sont plus rares, mais se rapprochent le plus de la situation des acheteuses et acheteurs.</w:t>
      </w:r>
    </w:p>
    <w:p>
      <w:pPr>
        <w:pStyle w:val="BodyText"/>
      </w:pPr>
      <w:r>
        <w:t xml:space="preserve">Les méthodes utilisées répondent à des questions différentes : la spectrométrie de masse montre</w:t>
      </w:r>
      <w:r>
        <w:t xml:space="preserve"> </w:t>
      </w:r>
      <w:r>
        <w:rPr>
          <w:iCs/>
          <w:i/>
        </w:rPr>
        <w:t xml:space="preserve">quelle</w:t>
      </w:r>
      <w:r>
        <w:t xml:space="preserve"> </w:t>
      </w:r>
      <w:r>
        <w:t xml:space="preserve">substance est présente ; la chromatographie en phase liquide mesure</w:t>
      </w:r>
      <w:r>
        <w:t xml:space="preserve"> </w:t>
      </w:r>
      <w:r>
        <w:rPr>
          <w:iCs/>
          <w:i/>
        </w:rPr>
        <w:t xml:space="preserve">combien</w:t>
      </w:r>
      <w:r>
        <w:t xml:space="preserve"> </w:t>
      </w:r>
      <w:r>
        <w:t xml:space="preserve">et</w:t>
      </w:r>
      <w:r>
        <w:t xml:space="preserve"> </w:t>
      </w:r>
      <w:r>
        <w:rPr>
          <w:iCs/>
          <w:i/>
        </w:rPr>
        <w:t xml:space="preserve">à quel degré de pureté</w:t>
      </w:r>
      <w:r>
        <w:t xml:space="preserve"> </w:t>
      </w:r>
      <w:r>
        <w:t xml:space="preserve">; des méthodes spécifiques détectent les métaux, les résidus de solvants, les bactéries ou les endotoxines. Aucun laboratoire ne contrôle tout en routine. Si un rapport ne détermine que l’identité, il ne dit rien des germes, et inversement.</w:t>
      </w:r>
    </w:p>
    <w:bookmarkEnd w:id="2737"/>
    <w:bookmarkStart w:id="2757" w:name="quatre-types-de-défauts-récurrents"/>
    <w:p>
      <w:pPr>
        <w:pStyle w:val="Heading3"/>
      </w:pPr>
      <w:r>
        <w:t xml:space="preserve">Quatre types de défauts récurrents</w:t>
      </w:r>
    </w:p>
    <w:p>
      <w:pPr>
        <w:pStyle w:val="FirstParagraph"/>
      </w:pPr>
      <w:r>
        <w:t xml:space="preserve">D’une analyse à l’autre, les observations peuvent être classées en quatre groupes.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 de défaut</w:t>
            </w:r>
          </w:p>
        </w:tc>
        <w:tc>
          <w:tcPr/>
          <w:p>
            <w:pPr>
              <w:pStyle w:val="Compact"/>
              <w:jc w:val="left"/>
            </w:pPr>
            <w:r>
              <w:t xml:space="preserve">Exemples tirés des analyses</w:t>
            </w:r>
          </w:p>
        </w:tc>
        <w:tc>
          <w:tcPr/>
          <w:p>
            <w:pPr>
              <w:pStyle w:val="Compact"/>
              <w:jc w:val="left"/>
            </w:pPr>
            <w:r>
              <w:t xml:space="preserve">Source</w:t>
            </w:r>
          </w:p>
        </w:tc>
      </w:tr>
      <w:tr>
        <w:tc>
          <w:tcPr/>
          <w:p>
            <w:pPr>
              <w:pStyle w:val="Compact"/>
              <w:jc w:val="left"/>
            </w:pPr>
            <w:r>
              <w:t xml:space="preserve">Substance erronée ou absente</w:t>
            </w:r>
          </w:p>
        </w:tc>
        <w:tc>
          <w:tcPr/>
          <w:p>
            <w:pPr>
              <w:pStyle w:val="Compact"/>
              <w:jc w:val="left"/>
            </w:pPr>
            <w:r>
              <w:t xml:space="preserve">9 échantillons saisis sur 36 sans peptide ni protéine</w:t>
            </w:r>
          </w:p>
        </w:tc>
        <w:tc>
          <w:tcPr/>
          <w:p>
            <w:pPr>
              <w:pStyle w:val="Compact"/>
              <w:jc w:val="left"/>
            </w:pPr>
            <w:r>
              <w:t xml:space="preserve">Høj 2021, PMID 33686802</w:t>
            </w:r>
          </w:p>
        </w:tc>
      </w:tr>
      <w:tr>
        <w:tc>
          <w:tcPr/>
          <w:p>
            <w:pPr>
              <w:pStyle w:val="Compact"/>
              <w:jc w:val="left"/>
            </w:pPr>
            <w:r>
              <w:t xml:space="preserve">Quantité erronée</w:t>
            </w:r>
          </w:p>
        </w:tc>
        <w:tc>
          <w:tcPr/>
          <w:p>
            <w:pPr>
              <w:pStyle w:val="Compact"/>
              <w:jc w:val="left"/>
            </w:pPr>
            <w:r>
              <w:t xml:space="preserve">seulement 41 % de 44 produits vendus sur Internet avec une quantité correcte de substance active</w:t>
            </w:r>
          </w:p>
        </w:tc>
        <w:tc>
          <w:tcPr/>
          <w:p>
            <w:pPr>
              <w:pStyle w:val="Compact"/>
              <w:jc w:val="left"/>
            </w:pPr>
            <w:r>
              <w:t xml:space="preserve">Van Wagoner 2017, PMID 29183075</w:t>
            </w:r>
          </w:p>
        </w:tc>
      </w:tr>
      <w:tr>
        <w:tc>
          <w:tcPr/>
          <w:p>
            <w:pPr>
              <w:pStyle w:val="Compact"/>
              <w:jc w:val="left"/>
            </w:pPr>
            <w:r>
              <w:t xml:space="preserve">Faible pureté, produits de dégradation</w:t>
            </w:r>
          </w:p>
        </w:tc>
        <w:tc>
          <w:tcPr/>
          <w:p>
            <w:pPr>
              <w:pStyle w:val="Compact"/>
              <w:jc w:val="left"/>
            </w:pPr>
            <w:r>
              <w:t xml:space="preserve">pureté de 5 à 75 % pour certains peptides</w:t>
            </w:r>
          </w:p>
        </w:tc>
        <w:tc>
          <w:tcPr/>
          <w:p>
            <w:pPr>
              <w:pStyle w:val="Compact"/>
              <w:jc w:val="left"/>
            </w:pPr>
            <w:r>
              <w:t xml:space="preserve">Janvier 2018, PMID 30029448</w:t>
            </w:r>
          </w:p>
        </w:tc>
      </w:tr>
      <w:tr>
        <w:tc>
          <w:tcPr/>
          <w:p>
            <w:pPr>
              <w:pStyle w:val="Compact"/>
              <w:jc w:val="left"/>
            </w:pPr>
            <w:r>
              <w:t xml:space="preserve">Substances associées dangereuses</w:t>
            </w:r>
          </w:p>
        </w:tc>
        <w:tc>
          <w:tcPr/>
          <w:p>
            <w:pPr>
              <w:pStyle w:val="Compact"/>
              <w:jc w:val="left"/>
            </w:pPr>
            <w:r>
              <w:t xml:space="preserve">arsenic et plomb, parfois jusqu’à dix fois la valeur limite</w:t>
            </w:r>
          </w:p>
        </w:tc>
        <w:tc>
          <w:tcPr/>
          <w:p>
            <w:pPr>
              <w:pStyle w:val="Compact"/>
              <w:jc w:val="left"/>
            </w:pPr>
            <w:r>
              <w:t xml:space="preserve">Janvier 2018, PMID 30029448</w:t>
            </w:r>
          </w:p>
        </w:tc>
      </w:tr>
    </w:tbl>
    <w:bookmarkStart w:id="2743" w:name="substance-erronée-ou-absente"/>
    <w:p>
      <w:pPr>
        <w:pStyle w:val="Heading4"/>
      </w:pPr>
      <w:r>
        <w:t xml:space="preserve">Substance erronée ou absente</w:t>
      </w:r>
    </w:p>
    <w:p>
      <w:pPr>
        <w:pStyle w:val="FirstParagraph"/>
      </w:pPr>
      <w:r>
        <w:t xml:space="preserve">En 2019, un laboratoire danois de police scientifique a reçu 36 échantillons saisis dans lesquels on soupçonnait la présence de peptides ou de protéines. 15 contenaient un produit dopant interdit, 12 une substance qui ne figurait pas sur la liste danoise des produits dopants et 9 ne contenaient aucun peptide ni protéine</w:t>
      </w:r>
      <w:r>
        <w:rPr>
          <w:rStyle w:val="FootnoteReference"/>
        </w:rPr>
        <w:footnoteReference w:id="2738"/>
      </w:r>
      <w:r>
        <w:t xml:space="preserve">. Lors d’une opération douanière à l’échelle européenne, les laboratoires ont signalé parmi les préparations injectables saisies de l’hormone de croissance, de la sermoréline, du Melanotan II et des préparations sans aucune substance active ; les envois étaient en moyenne trop importants pour un usage personnel et probablement destinés en partie à la revente</w:t>
      </w:r>
      <w:r>
        <w:rPr>
          <w:rStyle w:val="FootnoteReference"/>
        </w:rPr>
        <w:footnoteReference w:id="2739"/>
      </w:r>
      <w:r>
        <w:t xml:space="preserve">. Dans un cas belge, une préparation présumée être de l’IGF-1 contenait à la place un autre facteur de croissance, le facteur de croissance épidermique EGF</w:t>
      </w:r>
      <w:r>
        <w:rPr>
          <w:rStyle w:val="FootnoteReference"/>
        </w:rPr>
        <w:footnoteReference w:id="2740"/>
      </w:r>
      <w:r>
        <w:t xml:space="preserve">.</w:t>
      </w:r>
    </w:p>
    <w:p>
      <w:pPr>
        <w:pStyle w:val="BodyText"/>
      </w:pPr>
      <w:r>
        <w:t xml:space="preserve">Un laboratoire de lutte contre le dopage équin a analysé des produits proposés sur Internet sous les noms « TB500 », « TB1000 » et « SGF1000 ». Le contenu des produits TB ne correspondait pas systématiquement aux descriptions antérieures. Le « SGF1000 » se composait principalement de protéines du tissu conjonctif et du sang de mouton ; les composants prétendument favorables à la croissance étaient extrêmement dilués</w:t>
      </w:r>
      <w:r>
        <w:rPr>
          <w:rStyle w:val="FootnoteReference"/>
        </w:rPr>
        <w:footnoteReference w:id="2741"/>
      </w:r>
      <w:r>
        <w:t xml:space="preserve">.</w:t>
      </w:r>
    </w:p>
    <w:p>
      <w:pPr>
        <w:pStyle w:val="BodyText"/>
      </w:pPr>
      <w:r>
        <w:t xml:space="preserve">Une étude américaine montre à quel point l’étiquette et le contenu divergent souvent ; elle ne portait certes pas sur des peptides, mais sur des produits appelés SARM, qui empruntent le même circuit de distribution : sur 44 produits vendus sur Internet, seuls 52 % contenaient une substance active du groupe annoncé. 39 % contenaient d’autres substances non autorisées, dont le sécrétagogue de l’hormone de croissance ibutamorène, 9 % aucune substance active, et 25 % des substances non déclarées</w:t>
      </w:r>
      <w:r>
        <w:rPr>
          <w:rStyle w:val="FootnoteReference"/>
        </w:rPr>
        <w:footnoteReference w:id="2742"/>
      </w:r>
      <w:r>
        <w:t xml:space="preserve">.</w:t>
      </w:r>
    </w:p>
    <w:bookmarkEnd w:id="2743"/>
    <w:bookmarkStart w:id="2747" w:name="quantité-erronée"/>
    <w:p>
      <w:pPr>
        <w:pStyle w:val="Heading4"/>
      </w:pPr>
      <w:r>
        <w:t xml:space="preserve">Quantité erronée</w:t>
      </w:r>
    </w:p>
    <w:p>
      <w:pPr>
        <w:pStyle w:val="FirstParagraph"/>
      </w:pPr>
      <w:r>
        <w:t xml:space="preserve">Même lorsque la bonne substance se trouve dans le flacon, la quantité est souvent inexacte. Dans l’analyse américaine citée, la quantité de substance active mesurée ne correspondait à l’indication de l’étiquette que pour 18 des 44 produits (41 %)</w:t>
      </w:r>
      <w:r>
        <w:rPr>
          <w:rStyle w:val="FootnoteReference"/>
        </w:rPr>
        <w:footnoteReference w:id="2744"/>
      </w:r>
      <w:r>
        <w:t xml:space="preserve">. Un laboratoire de toxicologie français a analysé 75 médicaments issus du milieu du culturisme saisis sur le marché noir : 33 % étaient de qualité inférieure, c’est-à-dire mal dosés, 32 % falsifiés, c’est-à-dire avec un contenu différent de celui indiqué, et seulement 19 % correspondaient entièrement à l’original</w:t>
      </w:r>
      <w:r>
        <w:rPr>
          <w:rStyle w:val="FootnoteReference"/>
        </w:rPr>
        <w:footnoteReference w:id="2745"/>
      </w:r>
      <w:r>
        <w:t xml:space="preserve">. Une surveillance du marché européen menée pendant cinq ans sur 324 échantillons provenant de 13 pays a conclu, d’après les données quantitatives limitées, que la plupart des échantillons contenaient des quantités actives et que certains étaient même surdosés</w:t>
      </w:r>
      <w:r>
        <w:rPr>
          <w:rStyle w:val="FootnoteReference"/>
        </w:rPr>
        <w:footnoteReference w:id="2746"/>
      </w:r>
      <w:r>
        <w:t xml:space="preserve">.</w:t>
      </w:r>
    </w:p>
    <w:p>
      <w:pPr>
        <w:pStyle w:val="BodyText"/>
      </w:pPr>
      <w:r>
        <w:t xml:space="preserve">Les deux situations sont dangereuses : trop peu de substance active incite à « redoser » ; trop en provoque directement des effets indésirables plus importants. Pour les médicaments GLP-1, dont la tolérance dépend fortement d’une augmentation lente, une quantité inconnue est particulièrement problématique.</w:t>
      </w:r>
    </w:p>
    <w:bookmarkEnd w:id="2747"/>
    <w:bookmarkStart w:id="2752" w:name="Xd457d80b34f2a55cc9a261469e27173dc33f55a"/>
    <w:p>
      <w:pPr>
        <w:pStyle w:val="Heading4"/>
      </w:pPr>
      <w:r>
        <w:t xml:space="preserve">Faible pureté, produits de dégradation et variantes de synthèse</w:t>
      </w:r>
    </w:p>
    <w:p>
      <w:pPr>
        <w:pStyle w:val="FirstParagraph"/>
      </w:pPr>
      <w:r>
        <w:t xml:space="preserve">L’étude systématique la plus complète provient de Belgique. Le laboratoire de contrôle a acheté les dix médicaments peptidiques les plus contrefaits du marché belge auprès de trois pharmacies en ligne présumées illégales et les a analysés à la recherche de la substance active, des impuretés peptidiques, de petites substances organiques étrangères, de métaux et de résidus de solvants. La quantité par flacon variait fortement, et pour les peptides contenant l’acide aminé cystéine, la pureté se situait entre 5 et 75 %</w:t>
      </w:r>
      <w:r>
        <w:rPr>
          <w:rStyle w:val="FootnoteReference"/>
        </w:rPr>
        <w:footnoteReference w:id="2748"/>
      </w:r>
      <w:r>
        <w:t xml:space="preserve">.</w:t>
      </w:r>
    </w:p>
    <w:p>
      <w:pPr>
        <w:pStyle w:val="BodyText"/>
      </w:pPr>
      <w:r>
        <w:t xml:space="preserve">D’autres laboratoires ont trouvé dans des produits du marché noir dérivés de l’IGF-1 de nombreuses formes peptidiques oxydées, c’est-à-dire chimiquement modifiées</w:t>
      </w:r>
      <w:r>
        <w:rPr>
          <w:rStyle w:val="FootnoteReference"/>
        </w:rPr>
        <w:footnoteReference w:id="2749"/>
      </w:r>
      <w:r>
        <w:t xml:space="preserve">, et dans un échantillon saisi de Melanotan II une pureté de 30 %</w:t>
      </w:r>
      <w:r>
        <w:rPr>
          <w:rStyle w:val="FootnoteReference"/>
        </w:rPr>
        <w:footnoteReference w:id="2750"/>
      </w:r>
      <w:r>
        <w:t xml:space="preserve">. Dans des préparations saisies par la douane danoise, on a trouvé des variantes du GHRP-2, du GHRP-6, de l’ipamoréline et d’un fragment de GHRH, auxquelles un acide aminé glycine supplémentaire avait été ajouté en tête</w:t>
      </w:r>
      <w:r>
        <w:rPr>
          <w:rStyle w:val="FootnoteReference"/>
        </w:rPr>
        <w:footnoteReference w:id="2751"/>
      </w:r>
      <w:r>
        <w:t xml:space="preserve">. Ces « variantes de synthèse » visent probablement à contourner les contrôles antidopage. Leur effet et leur sécurité chez l’humain sont totalement inconnus.</w:t>
      </w:r>
    </w:p>
    <w:bookmarkEnd w:id="2752"/>
    <w:bookmarkStart w:id="2756" w:name="substances-associées-dangereuses"/>
    <w:p>
      <w:pPr>
        <w:pStyle w:val="Heading4"/>
      </w:pPr>
      <w:r>
        <w:t xml:space="preserve">Substances associées dangereuses</w:t>
      </w:r>
    </w:p>
    <w:p>
      <w:pPr>
        <w:pStyle w:val="FirstParagraph"/>
      </w:pPr>
      <w:r>
        <w:t xml:space="preserve">L’étude belge a mis en évidence les éléments toxiques arsenic et plomb. Un échantillon était contaminé par du plomb, plusieurs contenaient de l’arsenic à des concentrations allant jusqu’à dix fois la valeur limite internationale pour les médicaments injectables. L’analyse plus poussée a montré que l’arsenic était entièrement présent sous sa forme inorganique, la plus toxique. Les autrices et auteurs soulignent que l’arsenic est cancérogène et que le plomb s’accumule dans l’organisme – en cas d’utilisation répétée pendant des mois, un risque supplémentaire et insidieux</w:t>
      </w:r>
      <w:r>
        <w:rPr>
          <w:rStyle w:val="FootnoteReference"/>
        </w:rPr>
        <w:footnoteReference w:id="2753"/>
      </w:r>
      <w:r>
        <w:t xml:space="preserve">.</w:t>
      </w:r>
    </w:p>
    <w:p>
      <w:pPr>
        <w:pStyle w:val="BodyText"/>
      </w:pPr>
      <w:r>
        <w:t xml:space="preserve">S’y ajoutent des germes et des composants bactériens. Le même laboratoire a détecté dans deux préparations peptidiques illégales pour injection la bactérie</w:t>
      </w:r>
      <w:r>
        <w:t xml:space="preserve"> </w:t>
      </w:r>
      <w:r>
        <w:rPr>
          <w:iCs/>
          <w:i/>
        </w:rPr>
        <w:t xml:space="preserve">Bacillus cereus</w:t>
      </w:r>
      <w:r>
        <w:rPr>
          <w:rStyle w:val="FootnoteReference"/>
        </w:rPr>
        <w:footnoteReference w:id="2754"/>
      </w:r>
      <w:r>
        <w:t xml:space="preserve">. Lors des achats tests de sémaglutide évoqués dans la partie I, des endotoxines étaient détectables dans tous les échantillons</w:t>
      </w:r>
      <w:r>
        <w:rPr>
          <w:rStyle w:val="FootnoteReference"/>
        </w:rPr>
        <w:footnoteReference w:id="2755"/>
      </w:r>
      <w:r>
        <w:t xml:space="preserve">. La raison pour laquelle c’est pertinent pour le système immunitaire est décrite au chapitre « Réactions immunitaires et anticorps ».</w:t>
      </w:r>
    </w:p>
    <w:bookmarkEnd w:id="2756"/>
    <w:bookmarkEnd w:id="2757"/>
    <w:bookmarkStart w:id="2763" w:name="toujours-de-nouvelles-substances"/>
    <w:p>
      <w:pPr>
        <w:pStyle w:val="Heading3"/>
      </w:pPr>
      <w:r>
        <w:t xml:space="preserve">Toujours de nouvelles substances</w:t>
      </w:r>
    </w:p>
    <w:p>
      <w:pPr>
        <w:pStyle w:val="FirstParagraph"/>
      </w:pPr>
      <w:r>
        <w:t xml:space="preserve">Le marché gris réagit rapidement aux tendances. Une surveillance du marché européen portant sur 1 104 cas signalés dans 16 pays entre 2017 et 2019 a montré que 11 % des échantillons contenaient des molécules biologiques, surtout des « research peptides » ; c’était la deuxième catégorie la plus fréquente</w:t>
      </w:r>
      <w:r>
        <w:rPr>
          <w:rStyle w:val="FootnoteReference"/>
        </w:rPr>
        <w:footnoteReference w:id="2758"/>
      </w:r>
      <w:r>
        <w:t xml:space="preserve">. Des laboratoires belges ont identifié dans des préparations saisies le « peptide anti-âge » Epitalon</w:t>
      </w:r>
      <w:r>
        <w:rPr>
          <w:rStyle w:val="FootnoteReference"/>
        </w:rPr>
        <w:footnoteReference w:id="2759"/>
      </w:r>
      <w:r>
        <w:t xml:space="preserve"> </w:t>
      </w:r>
      <w:r>
        <w:t xml:space="preserve">ainsi que les peptides nootropes Selank et Semax ; le laboratoire a ensuite mis au point sa propre méthode de détection pour dix de ces peptides proposés sur Internet</w:t>
      </w:r>
      <w:r>
        <w:rPr>
          <w:rStyle w:val="FootnoteReference"/>
        </w:rPr>
        <w:footnoteReference w:id="2760"/>
      </w:r>
      <w:r>
        <w:t xml:space="preserve">. Entre-temps, des substances encore en cours d’essais cliniques sont également proposées, par exemple le rétatrutide et l’amycrétine (chapitres Rétatrutide, Amycrétine).</w:t>
      </w:r>
    </w:p>
    <w:p>
      <w:pPr>
        <w:pStyle w:val="BodyText"/>
      </w:pPr>
      <w:r>
        <w:t xml:space="preserve">Pour les laboratoires de contrôle, c’est une course contre la montre : une substance pour laquelle il n’existe pas encore de substance de référence ne peut pas être identifiée avec certitude. Pour les acheteuses et acheteurs, cela signifie que c’est sur les produits les plus récents que l’on sait le moins de choses quant au contenu et à la qualité.</w:t>
      </w:r>
    </w:p>
    <w:p>
      <w:pPr>
        <w:pStyle w:val="BodyText"/>
      </w:pPr>
      <w:r>
        <w:t xml:space="preserve">De plus en plus, des produits du marché gris apparaissent aussi sous des formes qui semblent plus anodines qu’une injection. Une étude américaine a recensé 24 patchs et un gel vendus comme compléments alimentaires et présentés comme du « GLP-1 naturel ». Aucun ne fournissait de certificat d’analyse, beaucoup faisaient une publicité trompeuse ; selon le droit américain, la vente de tels patchs comme compléments alimentaires est illicite</w:t>
      </w:r>
      <w:r>
        <w:rPr>
          <w:rStyle w:val="FootnoteReference"/>
        </w:rPr>
        <w:footnoteReference w:id="2761"/>
      </w:r>
      <w:r>
        <w:t xml:space="preserve">. Dans la surveillance du marché européen, 24 % des préparations de musculation étaient présentées comme des compléments alimentaires – les personnes qui les achètent ignorent souvent qu’elles prennent un médicament non autorisé</w:t>
      </w:r>
      <w:r>
        <w:rPr>
          <w:rStyle w:val="FootnoteReference"/>
        </w:rPr>
        <w:footnoteReference w:id="2762"/>
      </w:r>
      <w:r>
        <w:t xml:space="preserve">.</w:t>
      </w:r>
    </w:p>
    <w:bookmarkEnd w:id="2763"/>
    <w:bookmarkStart w:id="2764" w:name="ce-que-les-analyses-ne-montrent-pas"/>
    <w:p>
      <w:pPr>
        <w:pStyle w:val="Heading3"/>
      </w:pPr>
      <w:r>
        <w:t xml:space="preserve">Ce que les analyses ne montrent pas</w:t>
      </w:r>
    </w:p>
    <w:p>
      <w:pPr>
        <w:pStyle w:val="FirstParagraph"/>
      </w:pPr>
      <w:r>
        <w:t xml:space="preserve">Aussi nettes que soient les observations, elles ont leurs limites.</w:t>
      </w:r>
    </w:p>
    <w:p>
      <w:pPr>
        <w:numPr>
          <w:ilvl w:val="0"/>
          <w:numId w:val="1345"/>
        </w:numPr>
        <w:pStyle w:val="Compact"/>
      </w:pPr>
      <w:r>
        <w:rPr>
          <w:bCs/>
          <w:b/>
        </w:rPr>
        <w:t xml:space="preserve">Pas d’échantillon représentatif.</w:t>
      </w:r>
      <w:r>
        <w:t xml:space="preserve"> </w:t>
      </w:r>
      <w:r>
        <w:t xml:space="preserve">La marchandise saisie est une sélection de ce qui attire l’attention des douanes. Les achats tests ne portent le plus souvent que sur quelques vendeurs. On ne peut pas en déduire la part de produits défectueux sur l’ensemble du marché.</w:t>
      </w:r>
    </w:p>
    <w:p>
      <w:pPr>
        <w:numPr>
          <w:ilvl w:val="0"/>
          <w:numId w:val="1345"/>
        </w:numPr>
        <w:pStyle w:val="Compact"/>
      </w:pPr>
      <w:r>
        <w:rPr>
          <w:bCs/>
          <w:b/>
        </w:rPr>
        <w:t xml:space="preserve">Des instantanés.</w:t>
      </w:r>
      <w:r>
        <w:t xml:space="preserve"> </w:t>
      </w:r>
      <w:r>
        <w:t xml:space="preserve">Un vendeur dont la marchandise est correcte aujourd’hui peut livrer demain un autre lot. Les bons résultats d’une analyse ne valent pas pour le flacon suivant.</w:t>
      </w:r>
    </w:p>
    <w:p>
      <w:pPr>
        <w:numPr>
          <w:ilvl w:val="0"/>
          <w:numId w:val="1345"/>
        </w:numPr>
        <w:pStyle w:val="Compact"/>
      </w:pPr>
      <w:r>
        <w:rPr>
          <w:bCs/>
          <w:b/>
        </w:rPr>
        <w:t xml:space="preserve">Tout n’est pas contrôlé.</w:t>
      </w:r>
      <w:r>
        <w:t xml:space="preserve"> </w:t>
      </w:r>
      <w:r>
        <w:t xml:space="preserve">De nombreux rapports ne déterminent que l’identité de la substance active. La question de savoir si un produit au contenu « correct » était stérile et exempt d’endotoxines reste alors ouverte.</w:t>
      </w:r>
    </w:p>
    <w:p>
      <w:pPr>
        <w:numPr>
          <w:ilvl w:val="0"/>
          <w:numId w:val="1345"/>
        </w:numPr>
        <w:pStyle w:val="Compact"/>
      </w:pPr>
      <w:r>
        <w:rPr>
          <w:bCs/>
          <w:b/>
        </w:rPr>
        <w:t xml:space="preserve">Rien sur l’efficacité et la sécurité.</w:t>
      </w:r>
      <w:r>
        <w:t xml:space="preserve"> </w:t>
      </w:r>
      <w:r>
        <w:t xml:space="preserve">Même un produit pur n’est pas plus sûr que la substance active elle-même. Pour la plupart des peptides du marché gris, les études chez l’humain font défaut (voir partie II).</w:t>
      </w:r>
    </w:p>
    <w:bookmarkEnd w:id="2764"/>
    <w:bookmarkStart w:id="2776" w:name="X91922a9797ebcbf020af0eabe9180ac861a21d6"/>
    <w:p>
      <w:pPr>
        <w:pStyle w:val="Heading3"/>
      </w:pPr>
      <w:r>
        <w:t xml:space="preserve">Médicaments GLP-1 : ce que rapportent les centres antipoison</w:t>
      </w:r>
    </w:p>
    <w:p>
      <w:pPr>
        <w:pStyle w:val="FirstParagraph"/>
      </w:pPr>
      <w:r>
        <w:t xml:space="preserve">Pour les médicaments GLP-1, il existe une source de données supplémentaire qui montre ce qui tourne réellement mal lors de l’utilisation : les appels aux centres antipoison. Aux États-Unis, ils sont recueillis dans une base de données nationale. Ces données ne distinguent pas toujours entre l’original, la préparation magistrale et la marchandise du marché gris, mais elles montrent l’ordre de grandeur des problèmes.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Étude</w:t>
            </w:r>
          </w:p>
        </w:tc>
        <w:tc>
          <w:tcPr/>
          <w:p>
            <w:pPr>
              <w:pStyle w:val="Compact"/>
              <w:jc w:val="left"/>
            </w:pPr>
            <w:r>
              <w:t xml:space="preserve">Période et volume</w:t>
            </w:r>
          </w:p>
        </w:tc>
        <w:tc>
          <w:tcPr/>
          <w:p>
            <w:pPr>
              <w:pStyle w:val="Compact"/>
              <w:jc w:val="left"/>
            </w:pPr>
            <w:r>
              <w:t xml:space="preserve">Principales observations</w:t>
            </w:r>
          </w:p>
        </w:tc>
      </w:tr>
      <w:tr>
        <w:tc>
          <w:tcPr/>
          <w:p>
            <w:pPr>
              <w:pStyle w:val="Compact"/>
              <w:jc w:val="left"/>
            </w:pPr>
            <w:r>
              <w:t xml:space="preserve">Gaw 2024, PMID 38421490</w:t>
            </w:r>
          </w:p>
        </w:tc>
        <w:tc>
          <w:tcPr/>
          <w:p>
            <w:pPr>
              <w:pStyle w:val="Compact"/>
              <w:jc w:val="left"/>
            </w:pPr>
            <w:r>
              <w:t xml:space="preserve">États-Unis, 2017–2022, 5 713 cas</w:t>
            </w:r>
          </w:p>
        </w:tc>
        <w:tc>
          <w:tcPr/>
          <w:p>
            <w:pPr>
              <w:pStyle w:val="Compact"/>
              <w:jc w:val="left"/>
            </w:pPr>
            <w:r>
              <w:t xml:space="preserve">79,9 % d’erreurs d’utilisation ; 6,2 % d’évolutions graves, un décès</w:t>
            </w:r>
          </w:p>
        </w:tc>
      </w:tr>
      <w:tr>
        <w:tc>
          <w:tcPr/>
          <w:p>
            <w:pPr>
              <w:pStyle w:val="Compact"/>
              <w:jc w:val="left"/>
            </w:pPr>
            <w:r>
              <w:t xml:space="preserve">Miller 2026, PMID 41634285</w:t>
            </w:r>
          </w:p>
        </w:tc>
        <w:tc>
          <w:tcPr/>
          <w:p>
            <w:pPr>
              <w:pStyle w:val="Compact"/>
              <w:jc w:val="left"/>
            </w:pPr>
            <w:r>
              <w:t xml:space="preserve">États-Unis, 2012–2023, 10 033 cas</w:t>
            </w:r>
          </w:p>
        </w:tc>
        <w:tc>
          <w:tcPr/>
          <w:p>
            <w:pPr>
              <w:pStyle w:val="Compact"/>
              <w:jc w:val="left"/>
            </w:pPr>
            <w:r>
              <w:t xml:space="preserve">davantage de cas après l’autorisation dans l’obésité, part avec contact médical ou hospitalier passant de 23,0 à 33,5 %</w:t>
            </w:r>
          </w:p>
        </w:tc>
      </w:tr>
      <w:tr>
        <w:tc>
          <w:tcPr/>
          <w:p>
            <w:pPr>
              <w:pStyle w:val="Compact"/>
              <w:jc w:val="left"/>
            </w:pPr>
            <w:r>
              <w:t xml:space="preserve">Senthilkumar 2026, PMID 41784916</w:t>
            </w:r>
          </w:p>
        </w:tc>
        <w:tc>
          <w:tcPr/>
          <w:p>
            <w:pPr>
              <w:pStyle w:val="Compact"/>
              <w:jc w:val="left"/>
            </w:pPr>
            <w:r>
              <w:t xml:space="preserve">États-Unis, 2017–2024, 13 924 cas</w:t>
            </w:r>
          </w:p>
        </w:tc>
        <w:tc>
          <w:tcPr/>
          <w:p>
            <w:pPr>
              <w:pStyle w:val="Compact"/>
              <w:jc w:val="left"/>
            </w:pPr>
            <w:r>
              <w:t xml:space="preserve">91,7 % sans conséquence ou avec des conséquences légères ; 42 évolutions graves, deux décès</w:t>
            </w:r>
          </w:p>
        </w:tc>
      </w:tr>
      <w:tr>
        <w:tc>
          <w:tcPr/>
          <w:p>
            <w:pPr>
              <w:pStyle w:val="Compact"/>
              <w:jc w:val="left"/>
            </w:pPr>
            <w:r>
              <w:t xml:space="preserve">Ho 2025, PMID 40371098</w:t>
            </w:r>
          </w:p>
        </w:tc>
        <w:tc>
          <w:tcPr/>
          <w:p>
            <w:pPr>
              <w:pStyle w:val="Compact"/>
              <w:jc w:val="left"/>
            </w:pPr>
            <w:r>
              <w:t xml:space="preserve">Californie, 2017–2023, 1 047 cas</w:t>
            </w:r>
          </w:p>
        </w:tc>
        <w:tc>
          <w:tcPr/>
          <w:p>
            <w:pPr>
              <w:pStyle w:val="Compact"/>
              <w:jc w:val="left"/>
            </w:pPr>
            <w:r>
              <w:t xml:space="preserve">21,0 % aux urgences, 4,4 % hospitalisés ; hypoglycémie chez 3,8 %</w:t>
            </w:r>
          </w:p>
        </w:tc>
      </w:tr>
    </w:tbl>
    <w:p>
      <w:pPr>
        <w:pStyle w:val="BodyText"/>
      </w:pPr>
      <w:r>
        <w:t xml:space="preserve">Plusieurs schémas se dégagent :</w:t>
      </w:r>
    </w:p>
    <w:p>
      <w:pPr>
        <w:pStyle w:val="BodyText"/>
      </w:pPr>
      <w:r>
        <w:rPr>
          <w:bCs/>
          <w:b/>
        </w:rPr>
        <w:t xml:space="preserve">Le nombre de cas a fortement augmenté avec la diffusion.</w:t>
      </w:r>
      <w:r>
        <w:t xml:space="preserve"> </w:t>
      </w:r>
      <w:r>
        <w:t xml:space="preserve">De 2021 à 2022, le taux de cas signalés par million d’habitants a augmenté de 80,9 %</w:t>
      </w:r>
      <w:r>
        <w:rPr>
          <w:rStyle w:val="FootnoteReference"/>
        </w:rPr>
        <w:footnoteReference w:id="2765"/>
      </w:r>
      <w:r>
        <w:t xml:space="preserve">. Entre 2017 et 2024, il a augmenté au total de 1 830,8 %</w:t>
      </w:r>
      <w:r>
        <w:rPr>
          <w:rStyle w:val="FootnoteReference"/>
        </w:rPr>
        <w:footnoteReference w:id="2766"/>
      </w:r>
      <w:r>
        <w:t xml:space="preserve">.</w:t>
      </w:r>
    </w:p>
    <w:p>
      <w:pPr>
        <w:pStyle w:val="BodyText"/>
      </w:pPr>
      <w:r>
        <w:rPr>
          <w:bCs/>
          <w:b/>
        </w:rPr>
        <w:t xml:space="preserve">La plupart des cas sont des erreurs d’utilisation.</w:t>
      </w:r>
      <w:r>
        <w:t xml:space="preserve"> </w:t>
      </w:r>
      <w:r>
        <w:t xml:space="preserve">Dans toutes les analyses, les erreurs involontaires lors de l’utilisation prédominaient, par exemple une dose doublée ou mal mesurée</w:t>
      </w:r>
      <w:r>
        <w:rPr>
          <w:rStyle w:val="FootnoteReference"/>
        </w:rPr>
        <w:footnoteReference w:id="2767"/>
      </w:r>
      <w:r>
        <w:t xml:space="preserve">. Dans l’analyse d’un seul centre, 21 % des cas étaient dus à des erreurs lors de la première utilisation du stylo prérempli</w:t>
      </w:r>
      <w:r>
        <w:rPr>
          <w:rStyle w:val="FootnoteReference"/>
        </w:rPr>
        <w:footnoteReference w:id="2768"/>
      </w:r>
      <w:r>
        <w:t xml:space="preserve">. Des erreurs surviennent donc aussi avec des produits autorisés. Dans l’analyse californienne, 36 cas concernaient des préparations magistrales ; pour celles-ci, des erreurs de mesure ou d’injection étaient en cause dans 91,7 % des cas</w:t>
      </w:r>
      <w:r>
        <w:rPr>
          <w:rStyle w:val="FootnoteReference"/>
        </w:rPr>
        <w:footnoteReference w:id="2769"/>
      </w:r>
      <w:r>
        <w:t xml:space="preserve">. Cela concorde avec les rapports de cas de confusion entre millilitres, « unités » et milligrammes avec des flacons, décrits dans la partie I.</w:t>
      </w:r>
    </w:p>
    <w:p>
      <w:pPr>
        <w:pStyle w:val="BodyText"/>
      </w:pPr>
      <w:r>
        <w:rPr>
          <w:bCs/>
          <w:b/>
        </w:rPr>
        <w:t xml:space="preserve">Les conséquences sont le plus souvent légères, mais pas toujours.</w:t>
      </w:r>
      <w:r>
        <w:t xml:space="preserve"> </w:t>
      </w:r>
      <w:r>
        <w:t xml:space="preserve">Les nausées et les vomissements sont au premier plan. Une minorité non négligeable nécessite toutefois un traitement médical, et il y a eu des décès</w:t>
      </w:r>
      <w:r>
        <w:rPr>
          <w:rStyle w:val="FootnoteReference"/>
        </w:rPr>
        <w:footnoteReference w:id="2770"/>
      </w:r>
      <w:r>
        <w:t xml:space="preserve">. Des hypoglycémies sont survenues dans 3,4 %</w:t>
      </w:r>
      <w:r>
        <w:rPr>
          <w:rStyle w:val="FootnoteReference"/>
        </w:rPr>
        <w:footnoteReference w:id="2771"/>
      </w:r>
      <w:r>
        <w:t xml:space="preserve"> </w:t>
      </w:r>
      <w:r>
        <w:t xml:space="preserve">à 3,8 %</w:t>
      </w:r>
      <w:r>
        <w:rPr>
          <w:rStyle w:val="FootnoteReference"/>
        </w:rPr>
        <w:footnoteReference w:id="2772"/>
      </w:r>
      <w:r>
        <w:t xml:space="preserve"> </w:t>
      </w:r>
      <w:r>
        <w:t xml:space="preserve">des cas ; dans une autre analyse, l’hypoglycémie était rare, mais survenait aussi après l’utilisation d’un médicament GLP-1 seul</w:t>
      </w:r>
      <w:r>
        <w:rPr>
          <w:rStyle w:val="FootnoteReference"/>
        </w:rPr>
        <w:footnoteReference w:id="2773"/>
      </w:r>
      <w:r>
        <w:t xml:space="preserve">. La gravité possible d’un surdosage est illustrée par le cas, décrit au chapitre « Réactions immunitaires », d’une femme qui, après une dose accidentellement décuplée provenant d’une pharmacie de préparations magistrales, a dû être ventilée en raison d’un gonflement massif de la gorge et a en outre développé une hypoglycémie</w:t>
      </w:r>
      <w:r>
        <w:rPr>
          <w:rStyle w:val="FootnoteReference"/>
        </w:rPr>
        <w:footnoteReference w:id="2774"/>
      </w:r>
      <w:r>
        <w:t xml:space="preserve">.</w:t>
      </w:r>
    </w:p>
    <w:p>
      <w:pPr>
        <w:pStyle w:val="BodyText"/>
      </w:pPr>
      <w:r>
        <w:rPr>
          <w:bCs/>
          <w:b/>
        </w:rPr>
        <w:t xml:space="preserve">Les adolescents constituent un groupe à risque à part.</w:t>
      </w:r>
      <w:r>
        <w:t xml:space="preserve"> </w:t>
      </w:r>
      <w:r>
        <w:t xml:space="preserve">Chez les enfants et adolescents de 6 à 17 ans, le taux de cas a augmenté le plus fortement entre 2017 et 2024. Ils ont été plus souvent hospitalisés que les adultes (risque relatif 2,66), et leurs cas résultaient nettement plus souvent d’un mésusage intentionnel (risque relatif 8,12)</w:t>
      </w:r>
      <w:r>
        <w:rPr>
          <w:rStyle w:val="FootnoteReference"/>
        </w:rPr>
        <w:footnoteReference w:id="2775"/>
      </w:r>
      <w:r>
        <w:t xml:space="preserve">. Pour en savoir plus, voir le chapitre suivant.</w:t>
      </w:r>
    </w:p>
    <w:bookmarkEnd w:id="2776"/>
    <w:bookmarkStart w:id="2777" w:name="ce-qui-en-découle"/>
    <w:p>
      <w:pPr>
        <w:pStyle w:val="Heading3"/>
      </w:pPr>
      <w:r>
        <w:t xml:space="preserve">Ce qui en découle</w:t>
      </w:r>
    </w:p>
    <w:p>
      <w:pPr>
        <w:pStyle w:val="FirstParagraph"/>
      </w:pPr>
      <w:r>
        <w:t xml:space="preserve">Les analyses de laboratoire et les données des centres antipoison décrivent les deux faces d’un même problème. Les analyses montrent que les produits du marché gris peuvent s’écarter de l’étiquette à tous les égards imaginables : par la substance, la quantité, la pureté et les substances toxiques associées. Les données des centres antipoison montrent que, même avec des produits contrôlés, les erreurs de mesure sont fréquentes – et que les flacons qu’il faut d’abord reconstituer et pour lesquels il faut convertir les doses sont particulièrement sujets aux erreurs.</w:t>
      </w:r>
    </w:p>
    <w:p>
      <w:pPr>
        <w:pStyle w:val="BodyText"/>
      </w:pPr>
      <w:r>
        <w:t xml:space="preserve">En combinant les deux, on obtient un risque qu’aucune étude sur une substance active ne peut décrire : la personne qui s’injecte un peptide du marché gris ne connaît ni le contenu ni la quantité, et chaque écart est encore amplifié par d’éventuelles erreurs de calcul de sa part. Les données de sécurité des études d’autorisation décrites dans la partie II ne s’appliquent pas à ces produits.</w:t>
      </w:r>
    </w:p>
    <w:bookmarkEnd w:id="2777"/>
    <w:bookmarkStart w:id="2778" w:name="lessentiel-en-bref-6"/>
    <w:p>
      <w:pPr>
        <w:pStyle w:val="Heading3"/>
      </w:pPr>
      <w:r>
        <w:t xml:space="preserve">L’essentiel en bref</w:t>
      </w:r>
    </w:p>
    <w:p>
      <w:pPr>
        <w:numPr>
          <w:ilvl w:val="0"/>
          <w:numId w:val="1346"/>
        </w:numPr>
        <w:pStyle w:val="Compact"/>
      </w:pPr>
      <w:r>
        <w:t xml:space="preserve">Les laboratoires officiels, de police scientifique et antidopage trouvent régulièrement dans les peptides du marché gris des substances erronées, des quantités erronées, une faible pureté et des variantes de synthèse.</w:t>
      </w:r>
    </w:p>
    <w:p>
      <w:pPr>
        <w:numPr>
          <w:ilvl w:val="0"/>
          <w:numId w:val="1346"/>
        </w:numPr>
        <w:pStyle w:val="Compact"/>
      </w:pPr>
      <w:r>
        <w:t xml:space="preserve">Une analyse systématique belge a en outre trouvé de l’arsenic et du plomb, parfois jusqu’à dix fois la valeur limite pour les injectables, ainsi que des bactéries dans des préparations injectables.</w:t>
      </w:r>
    </w:p>
    <w:p>
      <w:pPr>
        <w:numPr>
          <w:ilvl w:val="0"/>
          <w:numId w:val="1346"/>
        </w:numPr>
        <w:pStyle w:val="Compact"/>
      </w:pPr>
      <w:r>
        <w:t xml:space="preserve">De nouveaux « research peptides » apparaissent plus vite que les laboratoires de contrôle ne peuvent mettre au point des méthodes de détection.</w:t>
      </w:r>
    </w:p>
    <w:p>
      <w:pPr>
        <w:numPr>
          <w:ilvl w:val="0"/>
          <w:numId w:val="1346"/>
        </w:numPr>
        <w:pStyle w:val="Compact"/>
      </w:pPr>
      <w:r>
        <w:t xml:space="preserve">Les analyses sont des instantanés ; un bon résultat ne vaut pas pour le lot suivant.</w:t>
      </w:r>
    </w:p>
    <w:p>
      <w:pPr>
        <w:numPr>
          <w:ilvl w:val="0"/>
          <w:numId w:val="1346"/>
        </w:numPr>
        <w:pStyle w:val="Compact"/>
      </w:pPr>
      <w:r>
        <w:t xml:space="preserve">Aux États-Unis, le nombre d’appels aux centres antipoison concernant les médicaments GLP-1 a fortement augmenté. La plupart des cas sont des erreurs d’utilisation aux conséquences légères, une minorité évolue gravement. Pour les préparations magistrales, presque tous les cas étaient dus à des erreurs de mesure.</w:t>
      </w:r>
    </w:p>
    <w:bookmarkEnd w:id="2778"/>
    <w:bookmarkEnd w:id="2779"/>
    <w:bookmarkStart w:id="2824" w:name="X506819627faffd5f7a46946c3f8c75fc2f9abac"/>
    <w:p>
      <w:pPr>
        <w:pStyle w:val="Heading2"/>
      </w:pPr>
      <w:r>
        <w:t xml:space="preserve">Interactions et groupes à risque particulier</w:t>
      </w:r>
    </w:p>
    <w:p>
      <w:pPr>
        <w:pStyle w:val="FirstParagraph"/>
      </w:pPr>
      <w:r>
        <w:t xml:space="preserve">Les études sur lesquelles repose l’autorisation d’un médicament excluent presque toujours certaines personnes : les femmes enceintes, les enfants, les personnes très âgées ou atteintes de plusieurs maladies, les personnes souffrant de troubles du comportement alimentaire ou de troubles psychiques graves. Ce qui vaut pour les participants aux études ne peut donc être transposé à ces groupes que de manière limitée. S’y ajoutent les interactions avec d’autres médicaments et des situations comme une anesthésie, dans lesquelles un effet par ailleurs anodin peut soudain devenir dangereux.</w:t>
      </w:r>
    </w:p>
    <w:p>
      <w:pPr>
        <w:pStyle w:val="BodyText"/>
      </w:pPr>
      <w:r>
        <w:t xml:space="preserve">Ce chapitre rassemble ces questions. Il ne remplace ni un conseil médical ni le RCP. Pour les médicaments autorisés, le RCP régit de manière contraignante les contre-indications et les interactions ; pour les peptides non autorisés, il n’existe en règle générale aucune donnée sur ces groupes.</w:t>
      </w:r>
    </w:p>
    <w:bookmarkStart w:id="2785" w:name="grossesse-et-allaitement"/>
    <w:p>
      <w:pPr>
        <w:pStyle w:val="Heading3"/>
      </w:pPr>
      <w:r>
        <w:t xml:space="preserve">Grossesse et allaitement</w:t>
      </w:r>
    </w:p>
    <w:p>
      <w:pPr>
        <w:pStyle w:val="FirstParagraph"/>
      </w:pPr>
      <w:r>
        <w:t xml:space="preserve">Pour presque tous les peptides de ce livre, la règle est la suivante : ils n’ont pas été étudiés pendant la grossesse ou n’y sont pas indiqués. Les RCP des médicaments GLP-1 prévoient de ne pas les utiliser pendant la grossesse et de les arrêter suffisamment tôt avant une grossesse planifiée (chapitres Sémaglutide, Tirzépatide). Pour le maridebart cafraglutide, c’est particulièrement important, car son effet a persisté dans une étude précoce jusqu’à 150 jours après la dernière dose (chapitre Maridebart cafraglutide).</w:t>
      </w:r>
    </w:p>
    <w:p>
      <w:pPr>
        <w:pStyle w:val="BodyText"/>
      </w:pPr>
      <w:r>
        <w:t xml:space="preserve">Comme les médicaments GLP-1 sont utilisés chez de nombreuses femmes en âge de procréer et qu’une perte de poids peut améliorer la fertilité, des grossesses non planifiées surviennent malgré tout sous traitement. Pour cette situation, on dispose désormais de données, majoritairement rassurantes :</w:t>
      </w:r>
    </w:p>
    <w:p>
      <w:pPr>
        <w:numPr>
          <w:ilvl w:val="0"/>
          <w:numId w:val="1347"/>
        </w:numPr>
        <w:pStyle w:val="Compact"/>
      </w:pPr>
      <w:r>
        <w:t xml:space="preserve">Dans une grande étude menée dans quatre pays nordiques, aux États-Unis et en Israël, le taux de malformations majeures chez les enfants de femmes atteintes de diabète de type 2 ayant reçu des agonistes du récepteur du GLP-1 autour de la conception n’était pas plus élevé que sous insuline (risque relatif ajusté 0,95)</w:t>
      </w:r>
      <w:r>
        <w:rPr>
          <w:rStyle w:val="FootnoteReference"/>
        </w:rPr>
        <w:footnoteReference w:id="2780"/>
      </w:r>
      <w:r>
        <w:t xml:space="preserve">.</w:t>
      </w:r>
    </w:p>
    <w:p>
      <w:pPr>
        <w:numPr>
          <w:ilvl w:val="0"/>
          <w:numId w:val="1347"/>
        </w:numPr>
        <w:pStyle w:val="Compact"/>
      </w:pPr>
      <w:r>
        <w:t xml:space="preserve">Une analyse de six centres d’information sur les médicaments pendant la grossesse a trouvé, pour 168 grossesses avec exposition au GLP-1 au premier trimestre, des malformations majeures dans 2,6 % des cas, contre 2,3 % et 3,9 % dans les groupes de comparaison</w:t>
      </w:r>
      <w:r>
        <w:rPr>
          <w:rStyle w:val="FootnoteReference"/>
        </w:rPr>
        <w:footnoteReference w:id="2781"/>
      </w:r>
      <w:r>
        <w:t xml:space="preserve">.</w:t>
      </w:r>
    </w:p>
    <w:p>
      <w:pPr>
        <w:numPr>
          <w:ilvl w:val="0"/>
          <w:numId w:val="1347"/>
        </w:numPr>
        <w:pStyle w:val="Compact"/>
      </w:pPr>
      <w:r>
        <w:t xml:space="preserve">Une étude américaine portant sur 3 572 grossesses a comparé des femmes qui avaient continué à se procurer le médicament pendant le premier trimestre à des femmes qui l’avaient arrêté. Aucun risque nettement accru de fausse couche ou de mortinaissance, de troubles de la croissance ou de malformations n’a été trouvé ; les estimations concernant les malformations étaient toutefois si imprécises qu’une différence importante ne peut pas non plus être exclue</w:t>
      </w:r>
      <w:r>
        <w:rPr>
          <w:rStyle w:val="FootnoteReference"/>
        </w:rPr>
        <w:footnoteReference w:id="2782"/>
      </w:r>
      <w:r>
        <w:t xml:space="preserve">.</w:t>
      </w:r>
    </w:p>
    <w:p>
      <w:pPr>
        <w:numPr>
          <w:ilvl w:val="0"/>
          <w:numId w:val="1347"/>
        </w:numPr>
        <w:pStyle w:val="Compact"/>
      </w:pPr>
      <w:r>
        <w:t xml:space="preserve">Une méta-analyse de sept études de cohorte portant sur plus de 40 000 grossesses exposées n’a trouvé aucune augmentation statistiquement établie des malformations majeures ; un signal concernant les malformations des voies urinaires ne reposait que sur des données non ajustées. Les autrices et auteurs jugent faible le niveau de certitude des preuves</w:t>
      </w:r>
      <w:r>
        <w:rPr>
          <w:rStyle w:val="FootnoteReference"/>
        </w:rPr>
        <w:footnoteReference w:id="2783"/>
      </w:r>
      <w:r>
        <w:t xml:space="preserve">.</w:t>
      </w:r>
    </w:p>
    <w:p>
      <w:pPr>
        <w:pStyle w:val="FirstParagraph"/>
      </w:pPr>
      <w:r>
        <w:t xml:space="preserve">Ces données aident à évaluer une exposition</w:t>
      </w:r>
      <w:r>
        <w:t xml:space="preserve"> </w:t>
      </w:r>
      <w:r>
        <w:rPr>
          <w:iCs/>
          <w:i/>
        </w:rPr>
        <w:t xml:space="preserve">accidentelle</w:t>
      </w:r>
      <w:r>
        <w:t xml:space="preserve">. Elles ne prouvent pas qu’une utilisation planifiée pendant la grossesse serait sûre. Pour l’allaitement, les données sont encore plus minces ; une petite étude portant sur dix femmes et consacrée au passage du brémélanotide dans le lait maternel a été achevée</w:t>
      </w:r>
      <w:r>
        <w:rPr>
          <w:rStyle w:val="FootnoteReference"/>
        </w:rPr>
        <w:footnoteReference w:id="2784"/>
      </w:r>
      <w:r>
        <w:t xml:space="preserve">.</w:t>
      </w:r>
    </w:p>
    <w:p>
      <w:pPr>
        <w:pStyle w:val="BodyText"/>
      </w:pPr>
      <w:r>
        <w:t xml:space="preserve">Certains peptides sont dangereux pendant la grossesse en raison de leur principe d’action. L’ocytocine déclenche les contractions ; une utilisation en spray nasal en dehors de tout contrôle médical est risquée pendant la grossesse (chapitre Ocytocine). Pour les peptides du marché gris comme le BPC-157, le TB-500, l’Epitalon ou les sécrétagogues de l’hormone de croissance, il n’existe aucune donnée sur la grossesse et l’allaitement.</w:t>
      </w:r>
    </w:p>
    <w:bookmarkEnd w:id="2785"/>
    <w:bookmarkStart w:id="2790" w:name="contraception-orale-et-vidange-gastrique"/>
    <w:p>
      <w:pPr>
        <w:pStyle w:val="Heading3"/>
      </w:pPr>
      <w:r>
        <w:t xml:space="preserve">Contraception orale et vidange gastrique</w:t>
      </w:r>
    </w:p>
    <w:p>
      <w:pPr>
        <w:pStyle w:val="FirstParagraph"/>
      </w:pPr>
      <w:r>
        <w:t xml:space="preserve">Les médicaments GLP-1, les analogues de l’amyline comme le pramlintide et aussi le brémélanotide ralentissent la vidange de l’estomac. De ce fait, des comprimés pris en même temps peuvent passer dans le sang plus tard ou en quantité différente. Cela concerne surtout les médicaments pour lesquels un début d’action rapide ou un taux sanguin régulier est important.</w:t>
      </w:r>
    </w:p>
    <w:p>
      <w:pPr>
        <w:pStyle w:val="BodyText"/>
      </w:pPr>
      <w:r>
        <w:t xml:space="preserve">La pilule contraceptive a été étudiée de manière particulièrement précise. Pour le sémaglutide, une étude portant sur 43 femmes n’a trouvé aucune diminution de l’absorption des deux hormones d’une pilule combinée courante ; le taux du progestatif était même supérieur de 20 % sous sémaglutide</w:t>
      </w:r>
      <w:r>
        <w:rPr>
          <w:rStyle w:val="FootnoteReference"/>
        </w:rPr>
        <w:footnoteReference w:id="2786"/>
      </w:r>
      <w:r>
        <w:t xml:space="preserve">. Pour le tirzépatide, il en va autrement : une revue de six études n’a trouvé une réduction significative de la quantité d’hormones absorbée que pour le tirzépatide, et pas pour les autres agonistes du récepteur du GLP-1. Comme explication, les autrices et auteurs citent le ralentissement plus marqué de la vidange gastrique après la première dose et après les augmentations de dose</w:t>
      </w:r>
      <w:r>
        <w:rPr>
          <w:rStyle w:val="FootnoteReference"/>
        </w:rPr>
        <w:footnoteReference w:id="2787"/>
      </w:r>
      <w:r>
        <w:t xml:space="preserve">. Le RCP du tirzépatide comporte donc une mise en garde spécifique concernant la contraception orale ; les détails y figurent et devraient être discutés avec la ou le médecin.</w:t>
      </w:r>
    </w:p>
    <w:p>
      <w:pPr>
        <w:pStyle w:val="BodyText"/>
      </w:pPr>
      <w:r>
        <w:t xml:space="preserve">Indépendamment de la substance, la règle est la suivante : des vomissements ou une diarrhée importants – fréquents avec les médicaments GLP-1 – peuvent compromettre l’absorption de n’importe quel comprimé, y compris de la pilule.</w:t>
      </w:r>
    </w:p>
    <w:p>
      <w:pPr>
        <w:pStyle w:val="BodyText"/>
      </w:pPr>
      <w:r>
        <w:t xml:space="preserve">Autres interactions connues en un coup d’œil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Interaction</w:t>
            </w:r>
          </w:p>
        </w:tc>
        <w:tc>
          <w:tcPr/>
          <w:p>
            <w:pPr>
              <w:pStyle w:val="Compact"/>
              <w:jc w:val="left"/>
            </w:pPr>
            <w:r>
              <w:t xml:space="preserve">Importance</w:t>
            </w:r>
          </w:p>
        </w:tc>
        <w:tc>
          <w:tcPr/>
          <w:p>
            <w:pPr>
              <w:pStyle w:val="Compact"/>
              <w:jc w:val="left"/>
            </w:pPr>
            <w:r>
              <w:t xml:space="preserve">Chapitre</w:t>
            </w:r>
          </w:p>
        </w:tc>
      </w:tr>
      <w:tr>
        <w:tc>
          <w:tcPr/>
          <w:p>
            <w:pPr>
              <w:pStyle w:val="Compact"/>
              <w:jc w:val="left"/>
            </w:pPr>
            <w:r>
              <w:t xml:space="preserve">Médicaments GLP-1, pramlintide</w:t>
            </w:r>
          </w:p>
        </w:tc>
        <w:tc>
          <w:tcPr/>
          <w:p>
            <w:pPr>
              <w:pStyle w:val="Compact"/>
              <w:jc w:val="left"/>
            </w:pPr>
            <w:r>
              <w:t xml:space="preserve">absorption retardée des comprimés</w:t>
            </w:r>
          </w:p>
        </w:tc>
        <w:tc>
          <w:tcPr/>
          <w:p>
            <w:pPr>
              <w:pStyle w:val="Compact"/>
              <w:jc w:val="left"/>
            </w:pPr>
            <w:r>
              <w:t xml:space="preserve">à prendre en compte pour les médicaments à marge thérapeutique étroite</w:t>
            </w:r>
          </w:p>
        </w:tc>
        <w:tc>
          <w:tcPr/>
          <w:p>
            <w:pPr>
              <w:pStyle w:val="Compact"/>
              <w:jc w:val="left"/>
            </w:pPr>
            <w:r>
              <w:t xml:space="preserve">Sémaglutide, Pramlintide</w:t>
            </w:r>
          </w:p>
        </w:tc>
      </w:tr>
      <w:tr>
        <w:tc>
          <w:tcPr/>
          <w:p>
            <w:pPr>
              <w:pStyle w:val="Compact"/>
              <w:jc w:val="left"/>
            </w:pPr>
            <w:r>
              <w:t xml:space="preserve">Tirzépatide</w:t>
            </w:r>
          </w:p>
        </w:tc>
        <w:tc>
          <w:tcPr/>
          <w:p>
            <w:pPr>
              <w:pStyle w:val="Compact"/>
              <w:jc w:val="left"/>
            </w:pPr>
            <w:r>
              <w:t xml:space="preserve">moins d’hormones absorbées à partir de la pilule</w:t>
            </w:r>
          </w:p>
        </w:tc>
        <w:tc>
          <w:tcPr/>
          <w:p>
            <w:pPr>
              <w:pStyle w:val="Compact"/>
              <w:jc w:val="left"/>
            </w:pPr>
            <w:r>
              <w:t xml:space="preserve">mise en garde dans le RCP</w:t>
            </w:r>
          </w:p>
        </w:tc>
        <w:tc>
          <w:tcPr/>
          <w:p>
            <w:pPr>
              <w:pStyle w:val="Compact"/>
              <w:jc w:val="left"/>
            </w:pPr>
            <w:r>
              <w:t xml:space="preserve">Tirzépatide</w:t>
            </w:r>
          </w:p>
        </w:tc>
      </w:tr>
      <w:tr>
        <w:tc>
          <w:tcPr/>
          <w:p>
            <w:pPr>
              <w:pStyle w:val="Compact"/>
              <w:jc w:val="left"/>
            </w:pPr>
            <w:r>
              <w:t xml:space="preserve">Brémélanotide</w:t>
            </w:r>
          </w:p>
        </w:tc>
        <w:tc>
          <w:tcPr/>
          <w:p>
            <w:pPr>
              <w:pStyle w:val="Compact"/>
              <w:jc w:val="left"/>
            </w:pPr>
            <w:r>
              <w:t xml:space="preserve">taux plus faibles d’indométacine et de naltrexone</w:t>
            </w:r>
          </w:p>
        </w:tc>
        <w:tc>
          <w:tcPr/>
          <w:p>
            <w:pPr>
              <w:pStyle w:val="Compact"/>
              <w:jc w:val="left"/>
            </w:pPr>
            <w:r>
              <w:t xml:space="preserve">l’effet de ces médicaments peut diminuer</w:t>
            </w:r>
          </w:p>
        </w:tc>
        <w:tc>
          <w:tcPr/>
          <w:p>
            <w:pPr>
              <w:pStyle w:val="Compact"/>
              <w:jc w:val="left"/>
            </w:pPr>
            <w:r>
              <w:t xml:space="preserve">Brémélanotide</w:t>
            </w:r>
          </w:p>
        </w:tc>
      </w:tr>
      <w:tr>
        <w:tc>
          <w:tcPr/>
          <w:p>
            <w:pPr>
              <w:pStyle w:val="Compact"/>
              <w:jc w:val="left"/>
            </w:pPr>
            <w:r>
              <w:t xml:space="preserve">Macimoréline</w:t>
            </w:r>
          </w:p>
        </w:tc>
        <w:tc>
          <w:tcPr/>
          <w:p>
            <w:pPr>
              <w:pStyle w:val="Compact"/>
              <w:jc w:val="left"/>
            </w:pPr>
            <w:r>
              <w:t xml:space="preserve">allonge l’intervalle QT</w:t>
            </w:r>
          </w:p>
        </w:tc>
        <w:tc>
          <w:tcPr/>
          <w:p>
            <w:pPr>
              <w:pStyle w:val="Compact"/>
              <w:jc w:val="left"/>
            </w:pPr>
            <w:r>
              <w:t xml:space="preserve">prudence avec d’autres médicaments allongeant le QT</w:t>
            </w:r>
          </w:p>
        </w:tc>
        <w:tc>
          <w:tcPr/>
          <w:p>
            <w:pPr>
              <w:pStyle w:val="Compact"/>
              <w:jc w:val="left"/>
            </w:pPr>
            <w:r>
              <w:t xml:space="preserve">Macimoréline</w:t>
            </w:r>
          </w:p>
        </w:tc>
      </w:tr>
      <w:tr>
        <w:tc>
          <w:tcPr/>
          <w:p>
            <w:pPr>
              <w:pStyle w:val="Compact"/>
              <w:jc w:val="left"/>
            </w:pPr>
            <w:r>
              <w:t xml:space="preserve">Orforglipron</w:t>
            </w:r>
          </w:p>
        </w:tc>
        <w:tc>
          <w:tcPr/>
          <w:p>
            <w:pPr>
              <w:pStyle w:val="Compact"/>
              <w:jc w:val="left"/>
            </w:pPr>
            <w:r>
              <w:t xml:space="preserve">métabolisé par des enzymes hépatiques</w:t>
            </w:r>
          </w:p>
        </w:tc>
        <w:tc>
          <w:tcPr/>
          <w:p>
            <w:pPr>
              <w:pStyle w:val="Compact"/>
              <w:jc w:val="left"/>
            </w:pPr>
            <w:r>
              <w:t xml:space="preserve">interactions possibles avec d’autres médicaments</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sédatifs et somnifères, alcool</w:t>
            </w:r>
          </w:p>
        </w:tc>
        <w:tc>
          <w:tcPr/>
          <w:p>
            <w:pPr>
              <w:pStyle w:val="Compact"/>
              <w:jc w:val="left"/>
            </w:pPr>
            <w:r>
              <w:t xml:space="preserve">non étudié</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coagulation sanguine (données animales uniquement)</w:t>
            </w:r>
          </w:p>
        </w:tc>
        <w:tc>
          <w:tcPr/>
          <w:p>
            <w:pPr>
              <w:pStyle w:val="Compact"/>
              <w:jc w:val="left"/>
            </w:pPr>
            <w:r>
              <w:t xml:space="preserve">inconnu sous anticoagulants</w:t>
            </w:r>
          </w:p>
        </w:tc>
        <w:tc>
          <w:tcPr/>
          <w:p>
            <w:pPr>
              <w:pStyle w:val="Compact"/>
              <w:jc w:val="left"/>
            </w:pPr>
            <w:r>
              <w:t xml:space="preserve">BPC-157</w:t>
            </w:r>
          </w:p>
        </w:tc>
      </w:tr>
    </w:tbl>
    <w:p>
      <w:pPr>
        <w:pStyle w:val="BodyText"/>
      </w:pPr>
      <w:r>
        <w:t xml:space="preserve">L’interaction du brémélanotide avec l’indométacine et la naltrexone est décrite dans les données d’autorisation</w:t>
      </w:r>
      <w:r>
        <w:rPr>
          <w:rStyle w:val="FootnoteReference"/>
        </w:rPr>
        <w:footnoteReference w:id="2788"/>
      </w:r>
      <w:r>
        <w:t xml:space="preserve">. L’allongement du QT par la macimoréline a été mesuré dans une étude ECG approfondie</w:t>
      </w:r>
      <w:r>
        <w:rPr>
          <w:rStyle w:val="FootnoteReference"/>
        </w:rPr>
        <w:footnoteReference w:id="2789"/>
      </w:r>
      <w:r>
        <w:t xml:space="preserve">.</w:t>
      </w:r>
    </w:p>
    <w:bookmarkEnd w:id="2790"/>
    <w:bookmarkStart w:id="2795" w:name="anesthésie-gastroscopie-et-inhalation"/>
    <w:p>
      <w:pPr>
        <w:pStyle w:val="Heading3"/>
      </w:pPr>
      <w:r>
        <w:t xml:space="preserve">Anesthésie, gastroscopie et inhalation</w:t>
      </w:r>
    </w:p>
    <w:p>
      <w:pPr>
        <w:pStyle w:val="FirstParagraph"/>
      </w:pPr>
      <w:r>
        <w:t xml:space="preserve">Avant une anesthésie, l’estomac doit être vide. La raison : si du contenu gastrique passe dans les voies respiratoires pendant l’anesthésie (inhalation ou aspiration), une pneumonie grave peut s’ensuivre. Comme les médicaments GLP-1 ralentissent la vidange gastrique, l’estomac peut encore contenir des résidus alimentaires malgré un jeûne conforme aux règles.</w:t>
      </w:r>
    </w:p>
    <w:p>
      <w:pPr>
        <w:pStyle w:val="BodyText"/>
      </w:pPr>
      <w:r>
        <w:t xml:space="preserve">Les études à ce sujet dressent un tableau en deux volets :</w:t>
      </w:r>
    </w:p>
    <w:p>
      <w:pPr>
        <w:numPr>
          <w:ilvl w:val="0"/>
          <w:numId w:val="1348"/>
        </w:numPr>
        <w:pStyle w:val="Compact"/>
      </w:pPr>
      <w:r>
        <w:rPr>
          <w:bCs/>
          <w:b/>
        </w:rPr>
        <w:t xml:space="preserve">Davantage de résidus dans l’estomac, c’est bien établi.</w:t>
      </w:r>
      <w:r>
        <w:t xml:space="preserve"> </w:t>
      </w:r>
      <w:r>
        <w:t xml:space="preserve">Une méta-analyse de 23 études observationnelles portant sur 262 018 personnes ayant eu une gastroscopie a trouvé sous agonistes du récepteur du GLP-1 un risque environ quatre fois et demie plus élevé de résidus alimentaires dans l’estomac (odds ratio 4,54) et, de même, davantage d’examens interrompus prématurément. Les pneumopathies d’inhalation n’étaient pas plus fréquentes (odds ratio 0,96)</w:t>
      </w:r>
      <w:r>
        <w:rPr>
          <w:rStyle w:val="FootnoteReference"/>
        </w:rPr>
        <w:footnoteReference w:id="2791"/>
      </w:r>
      <w:r>
        <w:t xml:space="preserve">.</w:t>
      </w:r>
    </w:p>
    <w:p>
      <w:pPr>
        <w:numPr>
          <w:ilvl w:val="0"/>
          <w:numId w:val="1348"/>
        </w:numPr>
        <w:pStyle w:val="Compact"/>
      </w:pPr>
      <w:r>
        <w:t xml:space="preserve">Dans une étude par échographie gastrique avant des interventions programmées, 49 % des personnes sous sémaglutide avaient un « estomac plein », mais seulement 18 % des témoins comparables ; des résidus alimentaires solides ont été trouvés chez 42 % contre 7 %. C’était le cas même lorsqu’une dose avait été sautée avant l’opération</w:t>
      </w:r>
      <w:r>
        <w:rPr>
          <w:rStyle w:val="FootnoteReference"/>
        </w:rPr>
        <w:footnoteReference w:id="2792"/>
      </w:r>
      <w:r>
        <w:t xml:space="preserve">.</w:t>
      </w:r>
    </w:p>
    <w:p>
      <w:pPr>
        <w:numPr>
          <w:ilvl w:val="0"/>
          <w:numId w:val="1348"/>
        </w:numPr>
        <w:pStyle w:val="Compact"/>
      </w:pPr>
      <w:r>
        <w:rPr>
          <w:bCs/>
          <w:b/>
        </w:rPr>
        <w:t xml:space="preserve">Les inhalations réelles sont rares.</w:t>
      </w:r>
      <w:r>
        <w:t xml:space="preserve"> </w:t>
      </w:r>
      <w:r>
        <w:t xml:space="preserve">Dans une grande étude américaine sur base de données portant sur 296 389 paires de personnes atteintes de diabète de type 2, les complications respiratoires après une opération étaient même plus rares sous agonistes du récepteur du GLP-1 (0,09 % contre 0,34 %), les inhalations survenant chez 0,01 % contre 0,03 %. Les autrices et auteurs soulignent qu’on ignore si des mesures de précaution avaient déjà été prises dans ces cas</w:t>
      </w:r>
      <w:r>
        <w:rPr>
          <w:rStyle w:val="FootnoteReference"/>
        </w:rPr>
        <w:footnoteReference w:id="2793"/>
      </w:r>
      <w:r>
        <w:t xml:space="preserve">.</w:t>
      </w:r>
    </w:p>
    <w:p>
      <w:pPr>
        <w:pStyle w:val="FirstParagraph"/>
      </w:pPr>
      <w:r>
        <w:t xml:space="preserve">Les taux d’inhalation sont peut-être faibles parce que les équipes d’anesthésie connaissent le risque et adaptent leur pratique. Une grande étude en Chine doit déterminer si une pause du médicament avant une gastroscopie réduit le problème</w:t>
      </w:r>
      <w:r>
        <w:rPr>
          <w:rStyle w:val="FootnoteReference"/>
        </w:rPr>
        <w:footnoteReference w:id="2794"/>
      </w:r>
      <w:r>
        <w:t xml:space="preserve">. Pour les personnes traitées, cela signifie avant tout : avant toute opération, anesthésie ou gastroscopie, signale que tu utilises un médicament GLP-1 – même s’il provient d’une pharmacie de préparations magistrales ou du marché gris. La conduite à tenir avec le médicament avant l’intervention est décidée par l’équipe soignante selon les recommandations en vigueur. Une personne qui ne considère pas un produit du marché gris comme un médicament et ne le mentionne donc pas prive l’équipe d’anesthésie de cette possibilité.</w:t>
      </w:r>
    </w:p>
    <w:bookmarkEnd w:id="2795"/>
    <w:bookmarkStart w:id="2798" w:name="X90e6a040287e7e894686ccf0a92a4f3cb73c3c2"/>
    <w:p>
      <w:pPr>
        <w:pStyle w:val="Heading3"/>
      </w:pPr>
      <w:r>
        <w:t xml:space="preserve">Association avec des antidiabétiques et hypoglycémie</w:t>
      </w:r>
    </w:p>
    <w:p>
      <w:pPr>
        <w:pStyle w:val="FirstParagraph"/>
      </w:pPr>
      <w:r>
        <w:t xml:space="preserve">Comme décrit au chapitre « Effets indésirables par système d’organes », les médicaments GLP-1 seuls ne provoquent guère d’hypoglycémies dangereuses. Cela change en association avec l’insuline ou les sulfamides hypoglycémiants, qui abaissent la glycémie indépendamment de sa valeur du moment. Dans une étude avec l’exénatide ajouté à la metformine et à un sulfamide hypoglycémiant, des hypoglycémies légères à modérées sont survenues chez jusqu’à 28 % des participants, contre 13 % sous placebo ; avec une faible dose de sulfamide hypoglycémiant, elles étaient plus rares</w:t>
      </w:r>
      <w:r>
        <w:rPr>
          <w:rStyle w:val="FootnoteReference"/>
        </w:rPr>
        <w:footnoteReference w:id="2796"/>
      </w:r>
      <w:r>
        <w:t xml:space="preserve">. Avec le pramlintide, utilisé avec l’insuline, les hypoglycémies sévères ont été plus fréquentes que sous placebo</w:t>
      </w:r>
      <w:r>
        <w:rPr>
          <w:rStyle w:val="FootnoteReference"/>
        </w:rPr>
        <w:footnoteReference w:id="2797"/>
      </w:r>
      <w:r>
        <w:t xml:space="preserve">. C’est pourquoi les RCP prévoient de réévaluer la dose des autres antidiabétiques au début du traitement ; la mise en œuvre relève du médecin.</w:t>
      </w:r>
    </w:p>
    <w:p>
      <w:pPr>
        <w:pStyle w:val="BodyText"/>
      </w:pPr>
      <w:r>
        <w:t xml:space="preserve">Pour plusieurs peptides non autorisés, une baisse supplémentaire de la glycémie est théoriquement envisageable, par exemple pour le MOTS-c ou l’IGF-1 LR3 (chapitres MOTS-c, IGF-1 LR3). Cela n’a pas été étudié. À l’inverse, les peptides de l’axe de l’hormone de croissance peuvent augmenter la glycémie et déséquilibrer un traitement antidiabétique en cours (chapitres Ibutamorène, Tésamoréline).</w:t>
      </w:r>
    </w:p>
    <w:bookmarkEnd w:id="2798"/>
    <w:bookmarkStart w:id="2803" w:name="enfants-et-adolescents-3"/>
    <w:p>
      <w:pPr>
        <w:pStyle w:val="Heading3"/>
      </w:pPr>
      <w:r>
        <w:t xml:space="preserve">Enfants et adolescents</w:t>
      </w:r>
    </w:p>
    <w:p>
      <w:pPr>
        <w:pStyle w:val="FirstParagraph"/>
      </w:pPr>
      <w:r>
        <w:t xml:space="preserve">Le sémaglutide et le liraglutide sont également autorisés dans l’UE et aux États-Unis chez les adolescents obèses à partir de douze ans. Les études d’autorisation montrent un profil d’effets indésirables similaire à celui des adultes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w:t>
            </w:r>
          </w:p>
        </w:tc>
        <w:tc>
          <w:tcPr/>
          <w:p>
            <w:pPr>
              <w:pStyle w:val="Compact"/>
              <w:jc w:val="left"/>
            </w:pPr>
            <w:r>
              <w:t xml:space="preserve">Troubles gastro-intestinaux</w:t>
            </w:r>
          </w:p>
        </w:tc>
        <w:tc>
          <w:tcPr/>
          <w:p>
            <w:pPr>
              <w:pStyle w:val="Compact"/>
              <w:jc w:val="left"/>
            </w:pPr>
            <w:r>
              <w:t xml:space="preserve">Autres observations</w:t>
            </w:r>
          </w:p>
        </w:tc>
      </w:tr>
      <w:tr>
        <w:tc>
          <w:tcPr/>
          <w:p>
            <w:pPr>
              <w:pStyle w:val="Compact"/>
              <w:jc w:val="left"/>
            </w:pPr>
            <w:r>
              <w:t xml:space="preserve">STEP TEENS (Weghuber 2022), PMID 36322838</w:t>
            </w:r>
          </w:p>
        </w:tc>
        <w:tc>
          <w:tcPr/>
          <w:p>
            <w:pPr>
              <w:pStyle w:val="Compact"/>
              <w:jc w:val="left"/>
            </w:pPr>
            <w:r>
              <w:t xml:space="preserve">201 adolescents, sémaglutide, 68 semaines</w:t>
            </w:r>
          </w:p>
        </w:tc>
        <w:tc>
          <w:tcPr/>
          <w:p>
            <w:pPr>
              <w:pStyle w:val="Compact"/>
              <w:jc w:val="left"/>
            </w:pPr>
            <w:r>
              <w:t xml:space="preserve">62 % vs 42 %</w:t>
            </w:r>
          </w:p>
        </w:tc>
        <w:tc>
          <w:tcPr/>
          <w:p>
            <w:pPr>
              <w:pStyle w:val="Compact"/>
              <w:jc w:val="left"/>
            </w:pPr>
            <w:r>
              <w:t xml:space="preserve">calculs biliaires chez 4 % ; événements graves 11 % vs 9 %</w:t>
            </w:r>
          </w:p>
        </w:tc>
      </w:tr>
      <w:tr>
        <w:tc>
          <w:tcPr/>
          <w:p>
            <w:pPr>
              <w:pStyle w:val="Compact"/>
              <w:jc w:val="left"/>
            </w:pPr>
            <w:r>
              <w:t xml:space="preserve">SCALE Teens (Kelly 2020), PMID 32233338</w:t>
            </w:r>
          </w:p>
        </w:tc>
        <w:tc>
          <w:tcPr/>
          <w:p>
            <w:pPr>
              <w:pStyle w:val="Compact"/>
              <w:jc w:val="left"/>
            </w:pPr>
            <w:r>
              <w:t xml:space="preserve">251 adolescents, liraglutide, 56 semaines</w:t>
            </w:r>
          </w:p>
        </w:tc>
        <w:tc>
          <w:tcPr/>
          <w:p>
            <w:pPr>
              <w:pStyle w:val="Compact"/>
              <w:jc w:val="left"/>
            </w:pPr>
            <w:r>
              <w:t xml:space="preserve">64,8 % vs 36,5 %</w:t>
            </w:r>
          </w:p>
        </w:tc>
        <w:tc>
          <w:tcPr/>
          <w:p>
            <w:pPr>
              <w:pStyle w:val="Compact"/>
              <w:jc w:val="left"/>
            </w:pPr>
            <w:r>
              <w:t xml:space="preserve">arrêt pour effets indésirables 10,4 % vs 0 %</w:t>
            </w:r>
          </w:p>
        </w:tc>
      </w:tr>
    </w:tbl>
    <w:p>
      <w:pPr>
        <w:pStyle w:val="BodyText"/>
      </w:pPr>
      <w:r>
        <w:t xml:space="preserve">Dans l’étude sur le liraglutide, l’IMC a de nouveau augmenté plus fortement après l’arrêt que sous placebo, et un suicide est survenu dans le groupe liraglutide, que les investigateurs ont jugé probablement non lié au traitement</w:t>
      </w:r>
      <w:r>
        <w:rPr>
          <w:rStyle w:val="FootnoteReference"/>
        </w:rPr>
        <w:footnoteReference w:id="2799"/>
      </w:r>
      <w:r>
        <w:t xml:space="preserve">. Une méta-analyse de neuf études randomisées et de deux études observationnelles chez des adolescents n’a globalement trouvé aucune augmentation des comportements suicidaires ou de la dépression</w:t>
      </w:r>
      <w:r>
        <w:rPr>
          <w:rStyle w:val="FootnoteReference"/>
        </w:rPr>
        <w:footnoteReference w:id="2800"/>
      </w:r>
      <w:r>
        <w:t xml:space="preserve">.</w:t>
      </w:r>
    </w:p>
    <w:p>
      <w:pPr>
        <w:pStyle w:val="BodyText"/>
      </w:pPr>
      <w:r>
        <w:t xml:space="preserve">Les données des centres antipoison américains donnent une autre image. Chez les enfants et adolescents de 6 à 17 ans, les cas signalés impliquant des médicaments GLP-1 ont augmenté le plus fortement entre 2017 et 2024. Ils ont été plus souvent hospitalisés que les adultes (risque relatif 2,66), ont vomi plus souvent, et leurs cas résultaient environ huit fois plus souvent d’un mésusage intentionnel</w:t>
      </w:r>
      <w:r>
        <w:rPr>
          <w:rStyle w:val="FootnoteReference"/>
        </w:rPr>
        <w:footnoteReference w:id="2801"/>
      </w:r>
      <w:r>
        <w:t xml:space="preserve">. Cela suggère que des adolescents utilisent ces médicaments en partie en dehors d’un traitement médical.</w:t>
      </w:r>
    </w:p>
    <w:p>
      <w:pPr>
        <w:pStyle w:val="BodyText"/>
      </w:pPr>
      <w:r>
        <w:t xml:space="preserve">Pour les peptides issus du milieu du fitness et du culturisme, on ignore à quel point ils sont répandus chez les adolescents. Une revue signale la publicité sur les réseaux sociaux et des indices d’une utilisation croissante, y compris par de jeunes sportifs amateurs, mais souligne que les études sur la fréquence font défaut</w:t>
      </w:r>
      <w:r>
        <w:rPr>
          <w:rStyle w:val="FootnoteReference"/>
        </w:rPr>
        <w:footnoteReference w:id="2802"/>
      </w:r>
      <w:r>
        <w:t xml:space="preserve">. Pour les adolescents, dont la croissance et le système hormonal ne sont pas encore achevés, intervenir sur l’axe de l’hormone de croissance ou des hormones sexuelles avec des substances non autorisées est particulièrement risqué. Les peptides autorisés chez l’enfant – par exemple la mécasermine en cas de déficit sévère en IGF-1 – sont utilisés exclusivement sous contrôle d’un médecin spécialiste (chapitre Mécasermine).</w:t>
      </w:r>
    </w:p>
    <w:bookmarkEnd w:id="2803"/>
    <w:bookmarkStart w:id="2806" w:name="personnes-âgées"/>
    <w:p>
      <w:pPr>
        <w:pStyle w:val="Heading3"/>
      </w:pPr>
      <w:r>
        <w:t xml:space="preserve">Personnes âgées</w:t>
      </w:r>
    </w:p>
    <w:p>
      <w:pPr>
        <w:pStyle w:val="FirstParagraph"/>
      </w:pPr>
      <w:r>
        <w:t xml:space="preserve">Avec l’âge, le risque que des effets indésirables évoluent plus gravement augmente. Pour les personnes âgées, quatre points sont surtout importants en ce qui concerne les peptides :</w:t>
      </w:r>
    </w:p>
    <w:p>
      <w:pPr>
        <w:numPr>
          <w:ilvl w:val="0"/>
          <w:numId w:val="1349"/>
        </w:numPr>
        <w:pStyle w:val="Compact"/>
      </w:pPr>
      <w:r>
        <w:rPr>
          <w:bCs/>
          <w:b/>
        </w:rPr>
        <w:t xml:space="preserve">Perte de liquide.</w:t>
      </w:r>
      <w:r>
        <w:t xml:space="preserve"> </w:t>
      </w:r>
      <w:r>
        <w:t xml:space="preserve">Les vomissements et la diarrhée sous médicaments GLP-1 peuvent, chez les personnes âgées, entraîner plus rapidement une déshydratation et des problèmes rénaux.</w:t>
      </w:r>
    </w:p>
    <w:p>
      <w:pPr>
        <w:numPr>
          <w:ilvl w:val="0"/>
          <w:numId w:val="1349"/>
        </w:numPr>
        <w:pStyle w:val="Compact"/>
      </w:pPr>
      <w:r>
        <w:rPr>
          <w:bCs/>
          <w:b/>
        </w:rPr>
        <w:t xml:space="preserve">Masse musculaire.</w:t>
      </w:r>
      <w:r>
        <w:t xml:space="preserve"> </w:t>
      </w:r>
      <w:r>
        <w:t xml:space="preserve">Une personne qui a déjà peu de muscles supporte mal d’en perdre davantage (voir la section suivante).</w:t>
      </w:r>
    </w:p>
    <w:p>
      <w:pPr>
        <w:numPr>
          <w:ilvl w:val="0"/>
          <w:numId w:val="1349"/>
        </w:numPr>
        <w:pStyle w:val="Compact"/>
      </w:pPr>
      <w:r>
        <w:rPr>
          <w:bCs/>
          <w:b/>
        </w:rPr>
        <w:t xml:space="preserve">Rétention d’eau et cœur.</w:t>
      </w:r>
      <w:r>
        <w:t xml:space="preserve"> </w:t>
      </w:r>
      <w:r>
        <w:t xml:space="preserve">Chez des personnes âgées en bonne santé, l’hormone de croissance a plus souvent entraîné des œdèmes, des douleurs articulaires et un syndrome du canal carpien</w:t>
      </w:r>
      <w:r>
        <w:rPr>
          <w:rStyle w:val="FootnoteReference"/>
        </w:rPr>
        <w:footnoteReference w:id="2804"/>
      </w:r>
      <w:r>
        <w:t xml:space="preserve">. Une étude avec l’ibutamorène chez des personnes âgées après une fracture de la hanche a été interrompue en raison d’un signal d’insuffisance cardiaque</w:t>
      </w:r>
      <w:r>
        <w:rPr>
          <w:rStyle w:val="FootnoteReference"/>
        </w:rPr>
        <w:footnoteReference w:id="2805"/>
      </w:r>
      <w:r>
        <w:t xml:space="preserve">. Les peptides promus justement comme produits « anti-âge » sont donc plutôt une charge pour un cœur âgé.</w:t>
      </w:r>
    </w:p>
    <w:p>
      <w:pPr>
        <w:numPr>
          <w:ilvl w:val="0"/>
          <w:numId w:val="1349"/>
        </w:numPr>
        <w:pStyle w:val="Compact"/>
      </w:pPr>
      <w:r>
        <w:rPr>
          <w:bCs/>
          <w:b/>
        </w:rPr>
        <w:t xml:space="preserve">Polymédication.</w:t>
      </w:r>
      <w:r>
        <w:t xml:space="preserve"> </w:t>
      </w:r>
      <w:r>
        <w:t xml:space="preserve">Les personnes âgées prennent souvent de nombreux médicaments en même temps. La vidange gastrique ralentie peut modifier leur absorption, et les associations avec des hypoglycémiants augmentent le risque d’hypoglycémie et de chutes.</w:t>
      </w:r>
    </w:p>
    <w:bookmarkEnd w:id="2806"/>
    <w:bookmarkStart w:id="2811" w:name="X8433223607be483a78a6f61bb672b51a045f99d"/>
    <w:p>
      <w:pPr>
        <w:pStyle w:val="Heading3"/>
      </w:pPr>
      <w:r>
        <w:t xml:space="preserve">Perte musculaire en cas de forte perte de poids</w:t>
      </w:r>
    </w:p>
    <w:p>
      <w:pPr>
        <w:pStyle w:val="FirstParagraph"/>
      </w:pPr>
      <w:r>
        <w:t xml:space="preserve">Lors de toute perte de poids, on perd, outre de la graisse, de la masse maigre, qui comprend les muscles, les organes et l’eau. Pour les médicaments GLP-1 très efficaces, la question est de savoir si cette part est anormalement élevée et si elle est nocive.</w:t>
      </w:r>
    </w:p>
    <w:p>
      <w:pPr>
        <w:numPr>
          <w:ilvl w:val="0"/>
          <w:numId w:val="1350"/>
        </w:numPr>
        <w:pStyle w:val="Compact"/>
      </w:pPr>
      <w:r>
        <w:t xml:space="preserve">Dans une sous-étude de SURMOUNT-1 portant sur 160 participants, le poids perdu sous tirzépatide se composait d’environ 75 % de graisse et de 25 % de masse maigre – dans la même proportion que sous placebo, mais pour une perte totale nettement plus importante. Ces proportions restaient similaires dans la plupart des sous-groupes, y compris par tranche d’âge</w:t>
      </w:r>
      <w:r>
        <w:rPr>
          <w:rStyle w:val="FootnoteReference"/>
        </w:rPr>
        <w:footnoteReference w:id="2807"/>
      </w:r>
      <w:r>
        <w:t xml:space="preserve">.</w:t>
      </w:r>
    </w:p>
    <w:p>
      <w:pPr>
        <w:numPr>
          <w:ilvl w:val="0"/>
          <w:numId w:val="1350"/>
        </w:numPr>
        <w:pStyle w:val="Compact"/>
      </w:pPr>
      <w:r>
        <w:t xml:space="preserve">Une méta-analyse en réseau de 22 études a également trouvé qu’environ 25 % de la perte de poids correspondait à de la masse maigre. Le sémaglutide et le tirzépatide entraînaient la plus forte perte de poids, mais figuraient aussi parmi les substances sous lesquelles la perte de masse maigre était la plus importante</w:t>
      </w:r>
      <w:r>
        <w:rPr>
          <w:rStyle w:val="FootnoteReference"/>
        </w:rPr>
        <w:footnoteReference w:id="2808"/>
      </w:r>
      <w:r>
        <w:t xml:space="preserve">.</w:t>
      </w:r>
    </w:p>
    <w:p>
      <w:pPr>
        <w:numPr>
          <w:ilvl w:val="0"/>
          <w:numId w:val="1350"/>
        </w:numPr>
        <w:pStyle w:val="Compact"/>
      </w:pPr>
      <w:r>
        <w:t xml:space="preserve">Une revue systématique de 35 études a abouti à une part un peu plus élevée : en médiane, 28,3 % de la perte de poids concernait des paramètres liés aux muscles, et dans 65 % des études, la part dépassait une valeur de référence d’environ 25 %. Aucune étude n’avait mesuré objectivement la capacité physique</w:t>
      </w:r>
      <w:r>
        <w:rPr>
          <w:rStyle w:val="FootnoteReference"/>
        </w:rPr>
        <w:footnoteReference w:id="2809"/>
      </w:r>
      <w:r>
        <w:t xml:space="preserve">.</w:t>
      </w:r>
    </w:p>
    <w:p>
      <w:pPr>
        <w:numPr>
          <w:ilvl w:val="0"/>
          <w:numId w:val="1350"/>
        </w:numPr>
        <w:pStyle w:val="Compact"/>
      </w:pPr>
      <w:r>
        <w:t xml:space="preserve">Une autre méta-analyse souligne l’autre aspect : comme la graisse diminue plus fortement que les muscles, la</w:t>
      </w:r>
      <w:r>
        <w:t xml:space="preserve"> </w:t>
      </w:r>
      <w:r>
        <w:rPr>
          <w:iCs/>
          <w:i/>
        </w:rPr>
        <w:t xml:space="preserve">part</w:t>
      </w:r>
      <w:r>
        <w:t xml:space="preserve"> </w:t>
      </w:r>
      <w:r>
        <w:t xml:space="preserve">de masse maigre dans le poids corporel a augmenté de 1,81 point de pourcentage. Les autrices et auteurs recommandent d’accompagner le traitement de programmes nutritionnels et d’activité physique</w:t>
      </w:r>
      <w:r>
        <w:rPr>
          <w:rStyle w:val="FootnoteReference"/>
        </w:rPr>
        <w:footnoteReference w:id="2810"/>
      </w:r>
      <w:r>
        <w:t xml:space="preserve">.</w:t>
      </w:r>
    </w:p>
    <w:p>
      <w:pPr>
        <w:pStyle w:val="FirstParagraph"/>
      </w:pPr>
      <w:r>
        <w:t xml:space="preserve">En résumé : la perte musculaire sous médicaments GLP-1 ne semble pas, rapportée à la perte totale, sensiblement plus importante qu’avec d’autres formes de réduction pondérale – mais en kilogrammes absolus, elle est considérable en raison de l’ampleur de la perte. Ses conséquences sur la force, les chutes ou l’autonomie n’ont pas été étudiées. Pour les personnes âgées, les personnes ayant peu de masse musculaire et les personnes fragiles, c’est une question ouverte. L’influence des associations avec le cagrilintide sur la perte musculaire est en cours d’étude (chapitre Cagrilintide).</w:t>
      </w:r>
    </w:p>
    <w:bookmarkEnd w:id="2811"/>
    <w:bookmarkStart w:id="2816" w:name="troubles-du-comportement-alimentaire"/>
    <w:p>
      <w:pPr>
        <w:pStyle w:val="Heading3"/>
      </w:pPr>
      <w:r>
        <w:t xml:space="preserve">Troubles du comportement alimentaire</w:t>
      </w:r>
    </w:p>
    <w:p>
      <w:pPr>
        <w:pStyle w:val="FirstParagraph"/>
      </w:pPr>
      <w:r>
        <w:t xml:space="preserve">Les médicaments GLP-1 atténuent l’appétit et la sensation de faim. Pour les personnes atteintes d’anorexie mentale ou de boulimie, c’est précisément cet effet qui peut être dangereux : il peut renforcer un comportement alimentaire restrictif et aggraver la maladie. Un rapport de cas décrit un mésusage du sémaglutide dans une anorexie atypique</w:t>
      </w:r>
      <w:r>
        <w:rPr>
          <w:rStyle w:val="FootnoteReference"/>
        </w:rPr>
        <w:footnoteReference w:id="2812"/>
      </w:r>
      <w:r>
        <w:t xml:space="preserve">, et une étude transversale américaine a examiné la fréquence de l’usage et du mésusage des médicaments GLP-1 chez les personnes atteintes de troubles du comportement alimentaire</w:t>
      </w:r>
      <w:r>
        <w:rPr>
          <w:rStyle w:val="FootnoteReference"/>
        </w:rPr>
        <w:footnoteReference w:id="2813"/>
      </w:r>
      <w:r>
        <w:t xml:space="preserve">.</w:t>
      </w:r>
    </w:p>
    <w:p>
      <w:pPr>
        <w:pStyle w:val="BodyText"/>
      </w:pPr>
      <w:r>
        <w:t xml:space="preserve">Un panel de 45 spécialistes et personnes concernées a élaboré des recommandations par consensus en 2026. Selon celles-ci, il faudrait, avant de commencer un traitement par GLP-1, rechercher les troubles du comportement alimentaire actuels et passés à l’aide d’un bref questionnaire validé, surveiller les symptômes au cours du traitement et, en cas d’anorexie, d’anorexie atypique ou de boulimie active avec forte restriction alimentaire, ne pas utiliser ces médicaments en règle générale. La prudence serait également de mise en cas d’antécédents de troubles du comportement alimentaire</w:t>
      </w:r>
      <w:r>
        <w:rPr>
          <w:rStyle w:val="FootnoteReference"/>
        </w:rPr>
        <w:footnoteReference w:id="2814"/>
      </w:r>
      <w:r>
        <w:t xml:space="preserve">.</w:t>
      </w:r>
    </w:p>
    <w:p>
      <w:pPr>
        <w:pStyle w:val="BodyText"/>
      </w:pPr>
      <w:r>
        <w:t xml:space="preserve">Pour l’hyperphagie boulimique (binge eating disorder), dans laquelle des crises de boulimie surviennent sans comportements compensatoires, il existe en revanche de premiers indices que les médicaments GLP-1 pourraient réduire les crises</w:t>
      </w:r>
      <w:r>
        <w:rPr>
          <w:rStyle w:val="FootnoteReference"/>
        </w:rPr>
        <w:footnoteReference w:id="2815"/>
      </w:r>
      <w:r>
        <w:t xml:space="preserve">. Cela montre l’importance d’un diagnostic précis. Avec le marché gris et les fournisseurs en ligne offrant peu d’accompagnement médical, c’est précisément ce questionnement qui disparaît.</w:t>
      </w:r>
    </w:p>
    <w:bookmarkEnd w:id="2816"/>
    <w:bookmarkStart w:id="2822" w:name="X7c9941d6e84219d904cdf8dd315d4df0c170b35"/>
    <w:p>
      <w:pPr>
        <w:pStyle w:val="Heading3"/>
      </w:pPr>
      <w:r>
        <w:t xml:space="preserve">Sport de compétition et contrôles antidopage</w:t>
      </w:r>
    </w:p>
    <w:p>
      <w:pPr>
        <w:pStyle w:val="FirstParagraph"/>
      </w:pPr>
      <w:r>
        <w:t xml:space="preserve">Pour les sportives et sportifs soumis à des contrôles antidopage, la situation est particulièrement délicate en ce qui concerne les peptides. Selon la liste des interdictions de l’Agence mondiale antidopage (WADA), la situation est en gros la suivante :</w:t>
      </w:r>
    </w:p>
    <w:p>
      <w:pPr>
        <w:numPr>
          <w:ilvl w:val="0"/>
          <w:numId w:val="1351"/>
        </w:numPr>
        <w:pStyle w:val="Compact"/>
      </w:pPr>
      <w:r>
        <w:rPr>
          <w:bCs/>
          <w:b/>
        </w:rPr>
        <w:t xml:space="preserve">Interdits (S2, hormones peptidiques et facteurs de croissance) :</w:t>
      </w:r>
      <w:r>
        <w:t xml:space="preserve"> </w:t>
      </w:r>
      <w:r>
        <w:t xml:space="preserve">tous les sécrétagogues de l’hormone de croissance et les dérivés de l’IGF-1, la thymosine bêta 4 et le TB-500, l’ARA-290, chez les hommes la gonadoréline et les libérateurs de LH comme la kisspeptine.</w:t>
      </w:r>
    </w:p>
    <w:p>
      <w:pPr>
        <w:numPr>
          <w:ilvl w:val="0"/>
          <w:numId w:val="1351"/>
        </w:numPr>
        <w:pStyle w:val="Compact"/>
      </w:pPr>
      <w:r>
        <w:rPr>
          <w:bCs/>
          <w:b/>
        </w:rPr>
        <w:t xml:space="preserve">Interdits (S0, substances non approuvées) :</w:t>
      </w:r>
      <w:r>
        <w:t xml:space="preserve"> </w:t>
      </w:r>
      <w:r>
        <w:t xml:space="preserve">les substances sans autorisation comme médicament à usage humain, par exemple le BPC-157, le Melanotan II et les agonistes multiples GLP-1 encore à l’étude comme le rétatrutide.</w:t>
      </w:r>
    </w:p>
    <w:p>
      <w:pPr>
        <w:numPr>
          <w:ilvl w:val="0"/>
          <w:numId w:val="1351"/>
        </w:numPr>
        <w:pStyle w:val="Compact"/>
      </w:pPr>
      <w:r>
        <w:rPr>
          <w:bCs/>
          <w:b/>
        </w:rPr>
        <w:t xml:space="preserve">Interdit (S4) :</w:t>
      </w:r>
      <w:r>
        <w:t xml:space="preserve"> </w:t>
      </w:r>
      <w:r>
        <w:t xml:space="preserve">le MOTS-c en tant qu’activateur de l’enzyme AMPK.</w:t>
      </w:r>
    </w:p>
    <w:p>
      <w:pPr>
        <w:numPr>
          <w:ilvl w:val="0"/>
          <w:numId w:val="1351"/>
        </w:numPr>
        <w:pStyle w:val="Compact"/>
      </w:pPr>
      <w:r>
        <w:rPr>
          <w:bCs/>
          <w:b/>
        </w:rPr>
        <w:t xml:space="preserve">Non interdits :</w:t>
      </w:r>
      <w:r>
        <w:t xml:space="preserve"> </w:t>
      </w:r>
      <w:r>
        <w:t xml:space="preserve">les médicaments GLP-1 autorisés. Le sémaglutide et le tirzépatide ont toutefois été inclus dans le programme de surveillance de la WADA afin de détecter un éventuel usage abusif ; des laboratoires ont déjà mis au point des méthodes de détection dans le sang et les gouttes de sang séché</w:t>
      </w:r>
      <w:r>
        <w:rPr>
          <w:rStyle w:val="FootnoteReference"/>
        </w:rPr>
        <w:footnoteReference w:id="2817"/>
      </w:r>
      <w:r>
        <w:t xml:space="preserve">.</w:t>
      </w:r>
    </w:p>
    <w:p>
      <w:pPr>
        <w:pStyle w:val="FirstParagraph"/>
      </w:pPr>
      <w:r>
        <w:t xml:space="preserve">Les détails figurent dans les chapitres respectifs. Trois points sont importants pour l’ensemble des peptides.</w:t>
      </w:r>
    </w:p>
    <w:p>
      <w:pPr>
        <w:pStyle w:val="BodyText"/>
      </w:pPr>
      <w:r>
        <w:rPr>
          <w:bCs/>
          <w:b/>
        </w:rPr>
        <w:t xml:space="preserve">Produits contaminés.</w:t>
      </w:r>
      <w:r>
        <w:t xml:space="preserve"> </w:t>
      </w:r>
      <w:r>
        <w:t xml:space="preserve">Un sportif est responsable de toute substance interdite présente dans son organisme – même si elle provient d’un produit mal étiqueté. Les analyses de laboratoire du chapitre « Produits du marché gris » montrent que la marchandise du marché gris contient souvent d’autres substances ou des substances supplémentaires, et que des substances interdites apparaissent aussi dans des produits présentés comme compléments alimentaires</w:t>
      </w:r>
      <w:r>
        <w:rPr>
          <w:rStyle w:val="FootnoteReference"/>
        </w:rPr>
        <w:footnoteReference w:id="2818"/>
      </w:r>
      <w:r>
        <w:t xml:space="preserve">.</w:t>
      </w:r>
    </w:p>
    <w:p>
      <w:pPr>
        <w:pStyle w:val="BodyText"/>
      </w:pPr>
      <w:r>
        <w:rPr>
          <w:bCs/>
          <w:b/>
        </w:rPr>
        <w:t xml:space="preserve">Variantes de synthèse.</w:t>
      </w:r>
      <w:r>
        <w:t xml:space="preserve"> </w:t>
      </w:r>
      <w:r>
        <w:t xml:space="preserve">Des peptides modifiés comme le Gly-GHRP-2 ou la Gly-ipamoréline visent probablement à contourner les contrôles</w:t>
      </w:r>
      <w:r>
        <w:rPr>
          <w:rStyle w:val="FootnoteReference"/>
        </w:rPr>
        <w:footnoteReference w:id="2819"/>
      </w:r>
      <w:r>
        <w:t xml:space="preserve">. Leur effet et leur sécurité sont totalement inconnus. L’expérience montre que les laboratoires antidopage adaptent leurs méthodes ; les échantillons sont en outre conservés à long terme et peuvent être réanalysés ultérieurement.</w:t>
      </w:r>
    </w:p>
    <w:p>
      <w:pPr>
        <w:pStyle w:val="BodyText"/>
      </w:pPr>
      <w:r>
        <w:rPr>
          <w:bCs/>
          <w:b/>
        </w:rPr>
        <w:t xml:space="preserve">Bénéfice douteux.</w:t>
      </w:r>
      <w:r>
        <w:t xml:space="preserve"> </w:t>
      </w:r>
      <w:r>
        <w:t xml:space="preserve">Une revue des médicaments incrétiniques dans le sport conclut que les études cliniques ne montrent pas d’amélioration homogène de la performance physique chez l’humain et que 20 à 30 % de la perte de poids correspond à de la masse maigre</w:t>
      </w:r>
      <w:r>
        <w:rPr>
          <w:rStyle w:val="FootnoteReference"/>
        </w:rPr>
        <w:footnoteReference w:id="2820"/>
      </w:r>
      <w:r>
        <w:t xml:space="preserve">. Pour les peptides régénératifs et les sécrétagogues de l’hormone de croissance, une revue de médecine du sport conclut qu’ils restent expérimentaux, avec un profil de sécurité incertain, une qualité de produit douteuse et des interdictions antidopage étendues</w:t>
      </w:r>
      <w:r>
        <w:rPr>
          <w:rStyle w:val="FootnoteReference"/>
        </w:rPr>
        <w:footnoteReference w:id="2821"/>
      </w:r>
      <w:r>
        <w:t xml:space="preserve">.</w:t>
      </w:r>
    </w:p>
    <w:bookmarkEnd w:id="2822"/>
    <w:bookmarkStart w:id="2823" w:name="lessentiel-en-bref-7"/>
    <w:p>
      <w:pPr>
        <w:pStyle w:val="Heading3"/>
      </w:pPr>
      <w:r>
        <w:t xml:space="preserve">L’essentiel en bref</w:t>
      </w:r>
    </w:p>
    <w:p>
      <w:pPr>
        <w:numPr>
          <w:ilvl w:val="0"/>
          <w:numId w:val="1352"/>
        </w:numPr>
        <w:pStyle w:val="Compact"/>
      </w:pPr>
      <w:r>
        <w:t xml:space="preserve">Pendant la grossesse, presque tous les peptides n’ont pas été étudiés ou ne sont pas indiqués. Pour une exposition accidentelle aux médicaments GLP-1, les données sont majoritairement rassurantes, mais incertaines.</w:t>
      </w:r>
    </w:p>
    <w:p>
      <w:pPr>
        <w:numPr>
          <w:ilvl w:val="0"/>
          <w:numId w:val="1352"/>
        </w:numPr>
        <w:pStyle w:val="Compact"/>
      </w:pPr>
      <w:r>
        <w:t xml:space="preserve">Le tirzépatide peut réduire l’absorption de la pilule ; ce n’est pas le cas du sémaglutide. Les vomissements et la diarrhée compromettent la prise de tout comprimé.</w:t>
      </w:r>
    </w:p>
    <w:p>
      <w:pPr>
        <w:numPr>
          <w:ilvl w:val="0"/>
          <w:numId w:val="1352"/>
        </w:numPr>
        <w:pStyle w:val="Compact"/>
      </w:pPr>
      <w:r>
        <w:t xml:space="preserve">Sous médicaments GLP-1, l’estomac reste plus souvent plein. Avant une anesthésie ou une gastroscopie, l’équipe soignante doit en être informée.</w:t>
      </w:r>
    </w:p>
    <w:p>
      <w:pPr>
        <w:numPr>
          <w:ilvl w:val="0"/>
          <w:numId w:val="1352"/>
        </w:numPr>
        <w:pStyle w:val="Compact"/>
      </w:pPr>
      <w:r>
        <w:t xml:space="preserve">En association avec l’insuline ou les sulfamides hypoglycémiants, le risque d’hypoglycémie augmente.</w:t>
      </w:r>
    </w:p>
    <w:p>
      <w:pPr>
        <w:numPr>
          <w:ilvl w:val="0"/>
          <w:numId w:val="1352"/>
        </w:numPr>
        <w:pStyle w:val="Compact"/>
      </w:pPr>
      <w:r>
        <w:t xml:space="preserve">Les adolescents se distinguent dans les données des centres antipoison par un mésusage intentionnel ; en cas de troubles du comportement alimentaire, les médicaments GLP-1 ne devraient en règle générale pas être utilisés.</w:t>
      </w:r>
    </w:p>
    <w:p>
      <w:pPr>
        <w:numPr>
          <w:ilvl w:val="0"/>
          <w:numId w:val="1352"/>
        </w:numPr>
        <w:pStyle w:val="Compact"/>
      </w:pPr>
      <w:r>
        <w:t xml:space="preserve">Environ un quart de la perte de poids sous médicaments GLP-1 correspond à de la masse maigre ; la question de ses conséquences fonctionnelles reste ouverte.</w:t>
      </w:r>
    </w:p>
    <w:p>
      <w:pPr>
        <w:numPr>
          <w:ilvl w:val="0"/>
          <w:numId w:val="1352"/>
        </w:numPr>
        <w:pStyle w:val="Compact"/>
      </w:pPr>
      <w:r>
        <w:t xml:space="preserve">Pour les sportives et sportifs, la plupart des peptides sont interdits, et les produits du marché gris comportent en outre le risque de produits dopants non déclarés.</w:t>
      </w:r>
    </w:p>
    <w:bookmarkEnd w:id="2823"/>
    <w:bookmarkEnd w:id="2824"/>
    <w:bookmarkEnd w:id="2825"/>
    <w:bookmarkStart w:id="2977" w:name="partie-v-avenir"/>
    <w:p>
      <w:pPr>
        <w:pStyle w:val="Heading1"/>
      </w:pPr>
      <w:r>
        <w:t xml:space="preserve">Partie V – Avenir</w:t>
      </w:r>
    </w:p>
    <w:p>
      <w:pPr>
        <w:pStyle w:val="FirstParagraph"/>
      </w:pPr>
      <w:r>
        <w:t xml:space="preserve">Les parties précédentes ont décrit ce que l’on sait aujourd’hui des peptides. Cette dernière partie regarde vers l’avant : quelles substances se trouvent dans les grandes études qui s’achèveront au cours des prochaines années ? Les injections seront-elles remplacées par des comprimés ? Que signifie l’expiration des brevets pour les prix et l’approvisionnement ? Et quelles évolutions peut-on attendre d’ici 2035 ?</w:t>
      </w:r>
    </w:p>
    <w:p>
      <w:pPr>
        <w:pStyle w:val="BodyText"/>
      </w:pPr>
      <w:r>
        <w:t xml:space="preserve">Dans ce livre, les affirmations sur l’avenir sont strictement séparées. Est</w:t>
      </w:r>
      <w:r>
        <w:t xml:space="preserve"> </w:t>
      </w:r>
      <w:r>
        <w:rPr>
          <w:bCs/>
          <w:b/>
        </w:rPr>
        <w:t xml:space="preserve">établi</w:t>
      </w:r>
      <w:r>
        <w:t xml:space="preserve"> </w:t>
      </w:r>
      <w:r>
        <w:t xml:space="preserve">ce qui est inscrit dans un registre d’études, publié dans une étude évaluée par des pairs ou décidé par les autorités. Même cela n’est qu’un instantané : des études sont prolongées, réduites ou interrompues, et les dates de fin prévues se décalent souvent de plusieurs années. Tout le reste est une</w:t>
      </w:r>
      <w:r>
        <w:t xml:space="preserve"> </w:t>
      </w:r>
      <w:r>
        <w:rPr>
          <w:bCs/>
          <w:b/>
        </w:rPr>
        <w:t xml:space="preserve">appréciation de l’auteur</w:t>
      </w:r>
      <w:r>
        <w:t xml:space="preserve"> </w:t>
      </w:r>
      <w:r>
        <w:t xml:space="preserve">et est expressément désigné comme tel. Les recherches reflètent la situation d’octobre 2026.</w:t>
      </w:r>
    </w:p>
    <w:bookmarkStart w:id="2867" w:name="le-pipeline-ce-qui-est-en-phase-2-et-3"/>
    <w:p>
      <w:pPr>
        <w:pStyle w:val="Heading2"/>
      </w:pPr>
      <w:r>
        <w:t xml:space="preserve">Le pipeline : ce qui est en phase 2 et 3</w:t>
      </w:r>
    </w:p>
    <w:p>
      <w:pPr>
        <w:pStyle w:val="FirstParagraph"/>
      </w:pPr>
      <w:r>
        <w:t xml:space="preserve">L’industrie pharmaceutique appelle « pipeline » l’ensemble des substances en cours de développement. Les étapes sont expliquées dans la partie I : en</w:t>
      </w:r>
      <w:r>
        <w:t xml:space="preserve"> </w:t>
      </w:r>
      <w:r>
        <w:rPr>
          <w:bCs/>
          <w:b/>
        </w:rPr>
        <w:t xml:space="preserve">phase 1</w:t>
      </w:r>
      <w:r>
        <w:t xml:space="preserve">, une substance est le plus souvent testée chez quelques personnes en bonne santé pour sa tolérance, en</w:t>
      </w:r>
      <w:r>
        <w:t xml:space="preserve"> </w:t>
      </w:r>
      <w:r>
        <w:rPr>
          <w:bCs/>
          <w:b/>
        </w:rPr>
        <w:t xml:space="preserve">phase 2</w:t>
      </w:r>
      <w:r>
        <w:t xml:space="preserve"> </w:t>
      </w:r>
      <w:r>
        <w:t xml:space="preserve">chez quelques centaines de malades pour son efficacité et la dose appropriée, en</w:t>
      </w:r>
      <w:r>
        <w:t xml:space="preserve"> </w:t>
      </w:r>
      <w:r>
        <w:rPr>
          <w:bCs/>
          <w:b/>
        </w:rPr>
        <w:t xml:space="preserve">phase 3</w:t>
      </w:r>
      <w:r>
        <w:t xml:space="preserve"> </w:t>
      </w:r>
      <w:r>
        <w:t xml:space="preserve">chez des milliers de personnes en vue de l’autorisation. La</w:t>
      </w:r>
      <w:r>
        <w:t xml:space="preserve"> </w:t>
      </w:r>
      <w:r>
        <w:rPr>
          <w:bCs/>
          <w:b/>
        </w:rPr>
        <w:t xml:space="preserve">phase 4</w:t>
      </w:r>
      <w:r>
        <w:t xml:space="preserve"> </w:t>
      </w:r>
      <w:r>
        <w:t xml:space="preserve">désigne les études portant sur des médicaments déjà autorisés. Pour savoir ce qui pourrait arriver sur le marché au cours des cinq prochaines années, il faut surtout regarder la phase 3.</w:t>
      </w:r>
    </w:p>
    <w:bookmarkStart w:id="2828" w:name="comment-lanalyse-a-été-réalisée"/>
    <w:p>
      <w:pPr>
        <w:pStyle w:val="Heading3"/>
      </w:pPr>
      <w:r>
        <w:t xml:space="preserve">Comment l’analyse a été réalisée</w:t>
      </w:r>
    </w:p>
    <w:p>
      <w:pPr>
        <w:pStyle w:val="FirstParagraph"/>
      </w:pPr>
      <w:r>
        <w:t xml:space="preserve">La base est constituée des listes du registre ClinicalTrials.gov, interrogé en octobre 2026 pour les 58 substances de ce livre (voir la méthodologie en annexe). Un petit programme d’analyse en a extrait toutes les inscriptions qui</w:t>
      </w:r>
    </w:p>
    <w:p>
      <w:pPr>
        <w:numPr>
          <w:ilvl w:val="0"/>
          <w:numId w:val="1353"/>
        </w:numPr>
        <w:pStyle w:val="Compact"/>
      </w:pPr>
      <w:r>
        <w:t xml:space="preserve">décrivent une étude</w:t>
      </w:r>
      <w:r>
        <w:t xml:space="preserve"> </w:t>
      </w:r>
      <w:r>
        <w:rPr>
          <w:bCs/>
          <w:b/>
        </w:rPr>
        <w:t xml:space="preserve">interventionnelle</w:t>
      </w:r>
      <w:r>
        <w:t xml:space="preserve">, c’est-à-dire une étude dans laquelle une substance est administrée de manière ciblée (pas une simple observation), et</w:t>
      </w:r>
    </w:p>
    <w:p>
      <w:pPr>
        <w:numPr>
          <w:ilvl w:val="0"/>
          <w:numId w:val="1353"/>
        </w:numPr>
        <w:pStyle w:val="Compact"/>
      </w:pPr>
      <w:r>
        <w:t xml:space="preserve">sont signalées comme</w:t>
      </w:r>
      <w:r>
        <w:t xml:space="preserve"> </w:t>
      </w:r>
      <w:r>
        <w:rPr>
          <w:bCs/>
          <w:b/>
        </w:rPr>
        <w:t xml:space="preserve">en cours</w:t>
      </w:r>
      <w:r>
        <w:t xml:space="preserve"> </w:t>
      </w:r>
      <w:r>
        <w:t xml:space="preserve">: en recrutement, active sans recrutement supplémentaire, pas encore en recrutement ou participation uniquement sur invitation.</w:t>
      </w:r>
    </w:p>
    <w:p>
      <w:pPr>
        <w:pStyle w:val="FirstParagraph"/>
      </w:pPr>
      <w:r>
        <w:t xml:space="preserve">Les études qui apparaissent sous plusieurs substances – par exemple une comparaison du rétatrutide avec le tirzépatide – n’ont été comptées qu’une seule fois.</w:t>
      </w:r>
    </w:p>
    <w:p>
      <w:pPr>
        <w:pStyle w:val="BodyText"/>
      </w:pPr>
      <w:r>
        <w:rPr>
          <w:bCs/>
          <w:b/>
        </w:rPr>
        <w:t xml:space="preserve">Ce qui a été exclu – et pourquoi :</w:t>
      </w:r>
    </w:p>
    <w:p>
      <w:pPr>
        <w:numPr>
          <w:ilvl w:val="0"/>
          <w:numId w:val="1354"/>
        </w:numPr>
        <w:pStyle w:val="Compact"/>
      </w:pPr>
      <w:r>
        <w:rPr>
          <w:bCs/>
          <w:b/>
        </w:rPr>
        <w:t xml:space="preserve">Huit inscriptions du promoteur « Hudson Biotech »</w:t>
      </w:r>
      <w:r>
        <w:t xml:space="preserve"> </w:t>
      </w:r>
      <w:r>
        <w:t xml:space="preserve">(une chacune pour le BPC-157, le GHK-Cu, le Melanotan II, le MOTS-c, le rétatrutide, le TB-500, la tésamoréline et le tirzépatide). Une inscription de ce promoteur se désigne dans sa propre description comme un exemple fictif (voir les chapitres BPC-157 et TB-500). Aucune de ces inscriptions n’est considérée dans ce livre comme une véritable étude.</w:t>
      </w:r>
    </w:p>
    <w:p>
      <w:pPr>
        <w:numPr>
          <w:ilvl w:val="0"/>
          <w:numId w:val="1354"/>
        </w:numPr>
        <w:pStyle w:val="Compact"/>
      </w:pPr>
      <w:r>
        <w:rPr>
          <w:bCs/>
          <w:b/>
        </w:rPr>
        <w:t xml:space="preserve">Les 1 000 résultats pour le terme de recherche « Gonadorelin ».</w:t>
      </w:r>
      <w:r>
        <w:t xml:space="preserve"> </w:t>
      </w:r>
      <w:r>
        <w:t xml:space="preserve">Ils concernent dans leur immense majorité des dérivés synthétiques de l’hormone GnRH (par exemple la leuproréline ou la triptoréline) dans le traitement des cancers de la prostate et du sein ou en médecine de la reproduction – donc d’autres médicaments. Les quelques inscriptions concernant la GnRH naturelle sont discutées au chapitre Gonadoréline ; aucune n’est une étude de phase 3 en cours.</w:t>
      </w:r>
    </w:p>
    <w:p>
      <w:pPr>
        <w:pStyle w:val="FirstParagraph"/>
      </w:pPr>
      <w:r>
        <w:rPr>
          <w:bCs/>
          <w:b/>
        </w:rPr>
        <w:t xml:space="preserve">Ce qui n’a pas été exclu, mais vérifié :</w:t>
      </w:r>
      <w:r>
        <w:t xml:space="preserve"> </w:t>
      </w:r>
      <w:r>
        <w:t xml:space="preserve">pour le glutathion, le collagène et la carnosine, les termes de recherche sont si généraux que de nombreux résultats ne mentionnent la substance que comme composant d’un mélange, comme comparateur ou comme paramètre mesuré. Ainsi, une grande étude sur la dengue apparaît sous le glutathion, parce que la N-acétylcystéine – un précurseur du glutathion – y est testée</w:t>
      </w:r>
      <w:r>
        <w:rPr>
          <w:rStyle w:val="FootnoteReference"/>
        </w:rPr>
        <w:footnoteReference w:id="2826"/>
      </w:r>
      <w:r>
        <w:t xml:space="preserve">. Sous le larazotide apparaissent deux études portant sur une tout autre substance contre la maladie de Fabry</w:t>
      </w:r>
      <w:r>
        <w:rPr>
          <w:rStyle w:val="FootnoteReference"/>
        </w:rPr>
        <w:footnoteReference w:id="2827"/>
      </w:r>
      <w:r>
        <w:t xml:space="preserve">. Ces résultats sont inclus dans les chiffres globaux, mais ne sont pas comptés comme études sur des peptides dans l’évaluation.</w:t>
      </w:r>
    </w:p>
    <w:p>
      <w:pPr>
        <w:pStyle w:val="BodyText"/>
      </w:pPr>
      <w:r>
        <w:rPr>
          <w:bCs/>
          <w:b/>
        </w:rPr>
        <w:t xml:space="preserve">Deux limites de l’analyse :</w:t>
      </w:r>
      <w:r>
        <w:t xml:space="preserve"> </w:t>
      </w:r>
      <w:r>
        <w:t xml:space="preserve">premièrement, tous les promoteurs ne signalent pas rapidement la fin de leur étude ; certaines inscriptions dont la date de fin est 2025 figurent encore comme « en cours » dans le registre. Deuxièmement, la requête ne couvre que les 58 substances de ce livre. Les nouvelles molécules sans chapitre propre n’apparaissent que si elles sont comparées à l’une de ces substances. C’est pourquoi une recherche ciblée supplémentaire a été menée pour les nouveaux principes d’action présentés plus bas.</w:t>
      </w:r>
    </w:p>
    <w:bookmarkEnd w:id="2828"/>
    <w:bookmarkStart w:id="2836" w:name="le-résultat-en-chiffres"/>
    <w:p>
      <w:pPr>
        <w:pStyle w:val="Heading3"/>
      </w:pPr>
      <w:r>
        <w:t xml:space="preserve">Le résultat en chiffres</w:t>
      </w:r>
    </w:p>
    <w:p>
      <w:pPr>
        <w:pStyle w:val="FirstParagraph"/>
      </w:pPr>
      <w:r>
        <w:t xml:space="preserve">Après les exclusions, il restait 730 études interventionnelles en cours. Parmi elles, 568 – un peu plus des trois quarts – concernent des substances du groupe A (métabolisme et poids).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études en cours au total</w:t>
            </w:r>
          </w:p>
        </w:tc>
        <w:tc>
          <w:tcPr/>
          <w:p>
            <w:pPr>
              <w:pStyle w:val="Compact"/>
              <w:jc w:val="left"/>
            </w:pPr>
            <w:r>
              <w:t xml:space="preserve">dont groupe A</w:t>
            </w:r>
          </w:p>
        </w:tc>
      </w:tr>
      <w:tr>
        <w:tc>
          <w:tcPr/>
          <w:p>
            <w:pPr>
              <w:pStyle w:val="Compact"/>
              <w:jc w:val="left"/>
            </w:pPr>
            <w:r>
              <w:t xml:space="preserve">Phase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Phase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Phase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Phase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Phase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Phase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sans indication de phase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Sur les 157 études de phase 3 en cours, 68 recrutaient encore, 54 étaient actives sans nouvelles inclusions et 35 n’avaient pas encore commencé. Si l’on ajoute les études combinées de phase 2/3, on obtient 176 études à un stade avancé ; 157 d’entre elles (142 en phase 3, 15 en phase 2/3) – près de neuf sur dix – relèvent du groupe A.</w:t>
      </w:r>
    </w:p>
    <w:p>
      <w:pPr>
        <w:pStyle w:val="BodyText"/>
      </w:pPr>
      <w:r>
        <w:t xml:space="preserve">Dans le groupe A, environ une de ces études avancées sur trois est portée par des universités et des cliniques, les autres par des entreprises. Les dates de fin prévues se répartissent ainsi : 21 études doivent s’achever en 2026, 49 en 2027, 41 en 2028 et 44 entre 2029 et 2033. La véritable vague de nouveaux résultats est donc attendue en 2027 et 2028.</w:t>
      </w:r>
    </w:p>
    <w:p>
      <w:pPr>
        <w:pStyle w:val="BodyText"/>
      </w:pPr>
      <w:r>
        <w:rPr>
          <w:bCs/>
          <w:b/>
        </w:rPr>
        <w:t xml:space="preserve">Les groupes B à F</w:t>
      </w:r>
      <w:r>
        <w:t xml:space="preserve"> </w:t>
      </w:r>
      <w:r>
        <w:t xml:space="preserve">présentent un tout autre visage. Après examen des inscriptions, il ne reste que cinq études de phase 3 en cours dans lesquelles une substance de ce livre est réellement le produit testé : la thymosine alpha 1 après chirurgie d’un cancer colorectal</w:t>
      </w:r>
      <w:r>
        <w:rPr>
          <w:rStyle w:val="FootnoteReference"/>
        </w:rPr>
        <w:footnoteReference w:id="2829"/>
      </w:r>
      <w:r>
        <w:t xml:space="preserve">, un collyre de thymosine bêta 4 dans la kératopathie neurotrophique</w:t>
      </w:r>
      <w:r>
        <w:rPr>
          <w:rStyle w:val="FootnoteReference"/>
        </w:rPr>
        <w:footnoteReference w:id="2830"/>
      </w:r>
      <w:r>
        <w:t xml:space="preserve">, l’élamipretide dans la dégénérescence maculaire sèche</w:t>
      </w:r>
      <w:r>
        <w:rPr>
          <w:rStyle w:val="FootnoteReference"/>
        </w:rPr>
        <w:footnoteReference w:id="2831"/>
      </w:r>
      <w:r>
        <w:t xml:space="preserve">, l’afamélanotide dans le vitiligo</w:t>
      </w:r>
      <w:r>
        <w:rPr>
          <w:rStyle w:val="FootnoteReference"/>
        </w:rPr>
        <w:footnoteReference w:id="2832"/>
      </w:r>
      <w:r>
        <w:t xml:space="preserve"> </w:t>
      </w:r>
      <w:r>
        <w:t xml:space="preserve">et l’ibutamorène, qui n’est pas un peptide, chez des enfants présentant un déficit en hormone de croissance</w:t>
      </w:r>
      <w:r>
        <w:rPr>
          <w:rStyle w:val="FootnoteReference"/>
        </w:rPr>
        <w:footnoteReference w:id="2833"/>
      </w:r>
      <w:r>
        <w:t xml:space="preserve">. S’y ajoutent quelques études combinées de phase 2/3, par exemple sur l’ocytocine en spray nasal dans les douleurs chroniques</w:t>
      </w:r>
      <w:r>
        <w:rPr>
          <w:rStyle w:val="FootnoteReference"/>
        </w:rPr>
        <w:footnoteReference w:id="2834"/>
      </w:r>
      <w:r>
        <w:t xml:space="preserve"> </w:t>
      </w:r>
      <w:r>
        <w:t xml:space="preserve">et sur la thymosine alpha 1 en cas d’échecs d’implantation répétés après fécondation in vitro</w:t>
      </w:r>
      <w:r>
        <w:rPr>
          <w:rStyle w:val="FootnoteReference"/>
        </w:rPr>
        <w:footnoteReference w:id="2835"/>
      </w:r>
      <w:r>
        <w:t xml:space="preserve">. Pour les « peptides de recherche » les plus populaires sur Internet – BPC-157, CJC-1295, ipamoréline, Epitalon, Semax, Selank –, aucune étude de phase 3 n’est en cours.</w:t>
      </w:r>
    </w:p>
    <w:bookmarkEnd w:id="2836"/>
    <w:bookmarkStart w:id="2837" w:name="X16031e1e39113e8f7d727032e81d52220bea65a"/>
    <w:p>
      <w:pPr>
        <w:pStyle w:val="Heading3"/>
      </w:pPr>
      <w:r>
        <w:t xml:space="preserve">Les principales études de phase 3 en cours</w:t>
      </w:r>
    </w:p>
    <w:p>
      <w:pPr>
        <w:pStyle w:val="FirstParagraph"/>
      </w:pPr>
      <w:r>
        <w:t xml:space="preserve">Les tableaux suivants présentent une sélection selon la taille et l’importance. La « fin prévue » est la fin d’étude indiquée dans le registre (état octobre 2026) ; le critère principal est souvent analysé quelques mois plus tôt, et les publications suivent généralement six mois à un an plus tard.</w:t>
      </w:r>
    </w:p>
    <w:p>
      <w:pPr>
        <w:pStyle w:val="BodyText"/>
      </w:pPr>
      <w:r>
        <w:rPr>
          <w:bCs/>
          <w:b/>
        </w:rPr>
        <w:t xml:space="preserve">Métabolisme et poids (groupe A)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 / NCT</w:t>
            </w:r>
          </w:p>
        </w:tc>
        <w:tc>
          <w:tcPr/>
          <w:p>
            <w:pPr>
              <w:pStyle w:val="Compact"/>
              <w:jc w:val="left"/>
            </w:pPr>
            <w:r>
              <w:t xml:space="preserve">Substance</w:t>
            </w:r>
          </w:p>
        </w:tc>
        <w:tc>
          <w:tcPr/>
          <w:p>
            <w:pPr>
              <w:pStyle w:val="Compact"/>
              <w:jc w:val="left"/>
            </w:pPr>
            <w:r>
              <w:t xml:space="preserve">Question</w:t>
            </w:r>
          </w:p>
        </w:tc>
        <w:tc>
          <w:tcPr/>
          <w:p>
            <w:pPr>
              <w:pStyle w:val="Compact"/>
              <w:jc w:val="left"/>
            </w:pPr>
            <w:r>
              <w:t xml:space="preserve">Fin prévue</w:t>
            </w:r>
          </w:p>
        </w:tc>
      </w:tr>
      <w:tr>
        <w:tc>
          <w:tcPr/>
          <w:p>
            <w:pPr>
              <w:pStyle w:val="Compact"/>
              <w:jc w:val="left"/>
            </w:pPr>
            <w:r>
              <w:t xml:space="preserve">TRIUMPH-5, NCT06662383</w:t>
            </w:r>
          </w:p>
        </w:tc>
        <w:tc>
          <w:tcPr/>
          <w:p>
            <w:pPr>
              <w:pStyle w:val="Compact"/>
              <w:jc w:val="left"/>
            </w:pPr>
            <w:r>
              <w:t xml:space="preserve">Rétatrutide vs tirzépatide</w:t>
            </w:r>
          </w:p>
        </w:tc>
        <w:tc>
          <w:tcPr/>
          <w:p>
            <w:pPr>
              <w:pStyle w:val="Compact"/>
              <w:jc w:val="left"/>
            </w:pPr>
            <w:r>
              <w:t xml:space="preserve">perte de poids, 800 adultes</w:t>
            </w:r>
          </w:p>
        </w:tc>
        <w:tc>
          <w:tcPr/>
          <w:p>
            <w:pPr>
              <w:pStyle w:val="Compact"/>
              <w:jc w:val="left"/>
            </w:pPr>
            <w:r>
              <w:t xml:space="preserve">décembre 2026</w:t>
            </w:r>
          </w:p>
        </w:tc>
      </w:tr>
      <w:tr>
        <w:tc>
          <w:tcPr/>
          <w:p>
            <w:pPr>
              <w:pStyle w:val="Compact"/>
              <w:jc w:val="left"/>
            </w:pPr>
            <w:r>
              <w:t xml:space="preserve">MARITIME-1, NCT06858839</w:t>
            </w:r>
          </w:p>
        </w:tc>
        <w:tc>
          <w:tcPr/>
          <w:p>
            <w:pPr>
              <w:pStyle w:val="Compact"/>
              <w:jc w:val="left"/>
            </w:pPr>
            <w:r>
              <w:t xml:space="preserve">Maridebart cafraglutide</w:t>
            </w:r>
          </w:p>
        </w:tc>
        <w:tc>
          <w:tcPr/>
          <w:p>
            <w:pPr>
              <w:pStyle w:val="Compact"/>
              <w:jc w:val="left"/>
            </w:pPr>
            <w:r>
              <w:t xml:space="preserve">perte de poids sans diabète, 3 853 participants</w:t>
            </w:r>
          </w:p>
        </w:tc>
        <w:tc>
          <w:tcPr/>
          <w:p>
            <w:pPr>
              <w:pStyle w:val="Compact"/>
              <w:jc w:val="left"/>
            </w:pPr>
            <w:r>
              <w:t xml:space="preserve">avril 2027</w:t>
            </w:r>
          </w:p>
        </w:tc>
      </w:tr>
      <w:tr>
        <w:tc>
          <w:tcPr/>
          <w:p>
            <w:pPr>
              <w:pStyle w:val="Compact"/>
              <w:jc w:val="left"/>
            </w:pPr>
            <w:r>
              <w:t xml:space="preserve">SURMOUNT-MMO, NCT05556512</w:t>
            </w:r>
          </w:p>
        </w:tc>
        <w:tc>
          <w:tcPr/>
          <w:p>
            <w:pPr>
              <w:pStyle w:val="Compact"/>
              <w:jc w:val="left"/>
            </w:pPr>
            <w:r>
              <w:t xml:space="preserve">Tirzépatide</w:t>
            </w:r>
          </w:p>
        </w:tc>
        <w:tc>
          <w:tcPr/>
          <w:p>
            <w:pPr>
              <w:pStyle w:val="Compact"/>
              <w:jc w:val="left"/>
            </w:pPr>
            <w:r>
              <w:t xml:space="preserve">événements cardiovasculaires et décès, 15 374 participants</w:t>
            </w:r>
          </w:p>
        </w:tc>
        <w:tc>
          <w:tcPr/>
          <w:p>
            <w:pPr>
              <w:pStyle w:val="Compact"/>
              <w:jc w:val="left"/>
            </w:pPr>
            <w:r>
              <w:t xml:space="preserve">octobre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événements cardiovasculaires, 7 101 participants</w:t>
            </w:r>
          </w:p>
        </w:tc>
        <w:tc>
          <w:tcPr/>
          <w:p>
            <w:pPr>
              <w:pStyle w:val="Compact"/>
              <w:jc w:val="left"/>
            </w:pPr>
            <w:r>
              <w:t xml:space="preserve">octobre 2027</w:t>
            </w:r>
          </w:p>
        </w:tc>
      </w:tr>
      <w:tr>
        <w:tc>
          <w:tcPr/>
          <w:p>
            <w:pPr>
              <w:pStyle w:val="Compact"/>
              <w:jc w:val="left"/>
            </w:pPr>
            <w:r>
              <w:t xml:space="preserve">NCT07564414</w:t>
            </w:r>
          </w:p>
        </w:tc>
        <w:tc>
          <w:tcPr/>
          <w:p>
            <w:pPr>
              <w:pStyle w:val="Compact"/>
              <w:jc w:val="left"/>
            </w:pPr>
            <w:r>
              <w:t xml:space="preserve">CagriSema (doses plus élevées) vs sémaglutide</w:t>
            </w:r>
          </w:p>
        </w:tc>
        <w:tc>
          <w:tcPr/>
          <w:p>
            <w:pPr>
              <w:pStyle w:val="Compact"/>
              <w:jc w:val="left"/>
            </w:pPr>
            <w:r>
              <w:t xml:space="preserve">perte de poids, 2 500 participants</w:t>
            </w:r>
          </w:p>
        </w:tc>
        <w:tc>
          <w:tcPr/>
          <w:p>
            <w:pPr>
              <w:pStyle w:val="Compact"/>
              <w:jc w:val="left"/>
            </w:pPr>
            <w:r>
              <w:t xml:space="preserve">avril 2028</w:t>
            </w:r>
          </w:p>
        </w:tc>
      </w:tr>
      <w:tr>
        <w:tc>
          <w:tcPr/>
          <w:p>
            <w:pPr>
              <w:pStyle w:val="Compact"/>
              <w:jc w:val="left"/>
            </w:pPr>
            <w:r>
              <w:t xml:space="preserve">TRIUMPH-6, NCT06859268</w:t>
            </w:r>
          </w:p>
        </w:tc>
        <w:tc>
          <w:tcPr/>
          <w:p>
            <w:pPr>
              <w:pStyle w:val="Compact"/>
              <w:jc w:val="left"/>
            </w:pPr>
            <w:r>
              <w:t xml:space="preserve">Rétatrutide</w:t>
            </w:r>
          </w:p>
        </w:tc>
        <w:tc>
          <w:tcPr/>
          <w:p>
            <w:pPr>
              <w:pStyle w:val="Compact"/>
              <w:jc w:val="left"/>
            </w:pPr>
            <w:r>
              <w:t xml:space="preserve">maintien du poids après amaigrissement, 643 participants</w:t>
            </w:r>
          </w:p>
        </w:tc>
        <w:tc>
          <w:tcPr/>
          <w:p>
            <w:pPr>
              <w:pStyle w:val="Compact"/>
              <w:jc w:val="left"/>
            </w:pPr>
            <w:r>
              <w:t xml:space="preserve">avril 2028</w:t>
            </w:r>
          </w:p>
        </w:tc>
      </w:tr>
      <w:tr>
        <w:tc>
          <w:tcPr/>
          <w:p>
            <w:pPr>
              <w:pStyle w:val="Compact"/>
              <w:jc w:val="left"/>
            </w:pPr>
            <w:r>
              <w:t xml:space="preserve">TRIUMPH-Outcomes, NCT06383390</w:t>
            </w:r>
          </w:p>
        </w:tc>
        <w:tc>
          <w:tcPr/>
          <w:p>
            <w:pPr>
              <w:pStyle w:val="Compact"/>
              <w:jc w:val="left"/>
            </w:pPr>
            <w:r>
              <w:t xml:space="preserve">Rétatrutide</w:t>
            </w:r>
          </w:p>
        </w:tc>
        <w:tc>
          <w:tcPr/>
          <w:p>
            <w:pPr>
              <w:pStyle w:val="Compact"/>
              <w:jc w:val="left"/>
            </w:pPr>
            <w:r>
              <w:t xml:space="preserve">événements cardiaques et rénaux, 10 000 participants</w:t>
            </w:r>
          </w:p>
        </w:tc>
        <w:tc>
          <w:tcPr/>
          <w:p>
            <w:pPr>
              <w:pStyle w:val="Compact"/>
              <w:jc w:val="left"/>
            </w:pPr>
            <w:r>
              <w:t xml:space="preserve">février 2029</w:t>
            </w:r>
          </w:p>
        </w:tc>
      </w:tr>
      <w:tr>
        <w:tc>
          <w:tcPr/>
          <w:p>
            <w:pPr>
              <w:pStyle w:val="Compact"/>
              <w:jc w:val="left"/>
            </w:pPr>
            <w:r>
              <w:t xml:space="preserve">ESSENCE, NCT04822181</w:t>
            </w:r>
          </w:p>
        </w:tc>
        <w:tc>
          <w:tcPr/>
          <w:p>
            <w:pPr>
              <w:pStyle w:val="Compact"/>
              <w:jc w:val="left"/>
            </w:pPr>
            <w:r>
              <w:t xml:space="preserve">Sémaglutide</w:t>
            </w:r>
          </w:p>
        </w:tc>
        <w:tc>
          <w:tcPr/>
          <w:p>
            <w:pPr>
              <w:pStyle w:val="Compact"/>
              <w:jc w:val="left"/>
            </w:pPr>
            <w:r>
              <w:t xml:space="preserve">stéatose hépatique (MASH), 1 205 participants</w:t>
            </w:r>
          </w:p>
        </w:tc>
        <w:tc>
          <w:tcPr/>
          <w:p>
            <w:pPr>
              <w:pStyle w:val="Compact"/>
              <w:jc w:val="left"/>
            </w:pPr>
            <w:r>
              <w:t xml:space="preserve">avril 2029</w:t>
            </w:r>
          </w:p>
        </w:tc>
      </w:tr>
      <w:tr>
        <w:tc>
          <w:tcPr/>
          <w:p>
            <w:pPr>
              <w:pStyle w:val="Compact"/>
              <w:jc w:val="left"/>
            </w:pPr>
            <w:r>
              <w:t xml:space="preserve">LIVERAGE-Cirrhosis, NCT06632457</w:t>
            </w:r>
          </w:p>
        </w:tc>
        <w:tc>
          <w:tcPr/>
          <w:p>
            <w:pPr>
              <w:pStyle w:val="Compact"/>
              <w:jc w:val="left"/>
            </w:pPr>
            <w:r>
              <w:t xml:space="preserve">Survodutide</w:t>
            </w:r>
          </w:p>
        </w:tc>
        <w:tc>
          <w:tcPr/>
          <w:p>
            <w:pPr>
              <w:pStyle w:val="Compact"/>
              <w:jc w:val="left"/>
            </w:pPr>
            <w:r>
              <w:t xml:space="preserve">complications hépatiques en cas de cirrhose, 1 590 participants</w:t>
            </w:r>
          </w:p>
        </w:tc>
        <w:tc>
          <w:tcPr/>
          <w:p>
            <w:pPr>
              <w:pStyle w:val="Compact"/>
              <w:jc w:val="left"/>
            </w:pPr>
            <w:r>
              <w:t xml:space="preserve">juin 2029</w:t>
            </w:r>
          </w:p>
        </w:tc>
      </w:tr>
      <w:tr>
        <w:tc>
          <w:tcPr/>
          <w:p>
            <w:pPr>
              <w:pStyle w:val="Compact"/>
              <w:jc w:val="left"/>
            </w:pPr>
            <w:r>
              <w:t xml:space="preserve">AMAZE 1, NCT07339423</w:t>
            </w:r>
          </w:p>
        </w:tc>
        <w:tc>
          <w:tcPr/>
          <w:p>
            <w:pPr>
              <w:pStyle w:val="Compact"/>
              <w:jc w:val="left"/>
            </w:pPr>
            <w:r>
              <w:t xml:space="preserve">Amycrétine (zénagamtide)</w:t>
            </w:r>
          </w:p>
        </w:tc>
        <w:tc>
          <w:tcPr/>
          <w:p>
            <w:pPr>
              <w:pStyle w:val="Compact"/>
              <w:jc w:val="left"/>
            </w:pPr>
            <w:r>
              <w:t xml:space="preserve">perte de poids, 1 150 participants</w:t>
            </w:r>
          </w:p>
        </w:tc>
        <w:tc>
          <w:tcPr/>
          <w:p>
            <w:pPr>
              <w:pStyle w:val="Compact"/>
              <w:jc w:val="left"/>
            </w:pPr>
            <w:r>
              <w:t xml:space="preserve">août 2029</w:t>
            </w:r>
          </w:p>
        </w:tc>
      </w:tr>
      <w:tr>
        <w:tc>
          <w:tcPr/>
          <w:p>
            <w:pPr>
              <w:pStyle w:val="Compact"/>
              <w:jc w:val="left"/>
            </w:pPr>
            <w:r>
              <w:t xml:space="preserve">MARITIME-CV, NCT07037433</w:t>
            </w:r>
          </w:p>
        </w:tc>
        <w:tc>
          <w:tcPr/>
          <w:p>
            <w:pPr>
              <w:pStyle w:val="Compact"/>
              <w:jc w:val="left"/>
            </w:pPr>
            <w:r>
              <w:t xml:space="preserve">Maridebart cafraglutide</w:t>
            </w:r>
          </w:p>
        </w:tc>
        <w:tc>
          <w:tcPr/>
          <w:p>
            <w:pPr>
              <w:pStyle w:val="Compact"/>
              <w:jc w:val="left"/>
            </w:pPr>
            <w:r>
              <w:t xml:space="preserve">événements cardiovasculaires, 12 800 participants</w:t>
            </w:r>
          </w:p>
        </w:tc>
        <w:tc>
          <w:tcPr/>
          <w:p>
            <w:pPr>
              <w:pStyle w:val="Compact"/>
              <w:jc w:val="left"/>
            </w:pPr>
            <w:r>
              <w:t xml:space="preserve">septembre 2030</w:t>
            </w:r>
          </w:p>
        </w:tc>
      </w:tr>
      <w:tr>
        <w:tc>
          <w:tcPr/>
          <w:p>
            <w:pPr>
              <w:pStyle w:val="Compact"/>
              <w:jc w:val="left"/>
            </w:pPr>
            <w:r>
              <w:t xml:space="preserve">MARITIME-HF, NCT07037459</w:t>
            </w:r>
          </w:p>
        </w:tc>
        <w:tc>
          <w:tcPr/>
          <w:p>
            <w:pPr>
              <w:pStyle w:val="Compact"/>
              <w:jc w:val="left"/>
            </w:pPr>
            <w:r>
              <w:t xml:space="preserve">Maridebart cafraglutide</w:t>
            </w:r>
          </w:p>
        </w:tc>
        <w:tc>
          <w:tcPr/>
          <w:p>
            <w:pPr>
              <w:pStyle w:val="Compact"/>
              <w:jc w:val="left"/>
            </w:pPr>
            <w:r>
              <w:t xml:space="preserve">insuffisance cardiaque avec obésité, 5 056 participants</w:t>
            </w:r>
          </w:p>
        </w:tc>
        <w:tc>
          <w:tcPr/>
          <w:p>
            <w:pPr>
              <w:pStyle w:val="Compact"/>
              <w:jc w:val="left"/>
            </w:pPr>
            <w:r>
              <w:t xml:space="preserve">septembre 2030</w:t>
            </w:r>
          </w:p>
        </w:tc>
      </w:tr>
      <w:tr>
        <w:tc>
          <w:tcPr/>
          <w:p>
            <w:pPr>
              <w:pStyle w:val="Compact"/>
              <w:jc w:val="left"/>
            </w:pPr>
            <w:r>
              <w:t xml:space="preserve">AMBIENCE, NCT07861100</w:t>
            </w:r>
          </w:p>
        </w:tc>
        <w:tc>
          <w:tcPr/>
          <w:p>
            <w:pPr>
              <w:pStyle w:val="Compact"/>
              <w:jc w:val="left"/>
            </w:pPr>
            <w:r>
              <w:t xml:space="preserve">Amycrétine (zénagamtide)</w:t>
            </w:r>
          </w:p>
        </w:tc>
        <w:tc>
          <w:tcPr/>
          <w:p>
            <w:pPr>
              <w:pStyle w:val="Compact"/>
              <w:jc w:val="left"/>
            </w:pPr>
            <w:r>
              <w:t xml:space="preserve">événements cardiovasculaires, 8 500 prévus</w:t>
            </w:r>
          </w:p>
        </w:tc>
        <w:tc>
          <w:tcPr/>
          <w:p>
            <w:pPr>
              <w:pStyle w:val="Compact"/>
              <w:jc w:val="left"/>
            </w:pPr>
            <w:r>
              <w:t xml:space="preserve">septembre 2030</w:t>
            </w:r>
          </w:p>
        </w:tc>
      </w:tr>
      <w:tr>
        <w:tc>
          <w:tcPr/>
          <w:p>
            <w:pPr>
              <w:pStyle w:val="Compact"/>
              <w:jc w:val="left"/>
            </w:pPr>
            <w:r>
              <w:t xml:space="preserve">ATTAIN-Outcomes, NCT07241390</w:t>
            </w:r>
          </w:p>
        </w:tc>
        <w:tc>
          <w:tcPr/>
          <w:p>
            <w:pPr>
              <w:pStyle w:val="Compact"/>
              <w:jc w:val="left"/>
            </w:pPr>
            <w:r>
              <w:t xml:space="preserve">Orforglipron (pas un peptide)</w:t>
            </w:r>
          </w:p>
        </w:tc>
        <w:tc>
          <w:tcPr/>
          <w:p>
            <w:pPr>
              <w:pStyle w:val="Compact"/>
              <w:jc w:val="left"/>
            </w:pPr>
            <w:r>
              <w:t xml:space="preserve">événements cardiovasculaires, 7 140 participants</w:t>
            </w:r>
          </w:p>
        </w:tc>
        <w:tc>
          <w:tcPr/>
          <w:p>
            <w:pPr>
              <w:pStyle w:val="Compact"/>
              <w:jc w:val="left"/>
            </w:pPr>
            <w:r>
              <w:t xml:space="preserve">août 2031</w:t>
            </w:r>
          </w:p>
        </w:tc>
      </w:tr>
      <w:tr>
        <w:tc>
          <w:tcPr/>
          <w:p>
            <w:pPr>
              <w:pStyle w:val="Compact"/>
              <w:jc w:val="left"/>
            </w:pPr>
            <w:r>
              <w:t xml:space="preserve">LIVERAGE, NCT06632444</w:t>
            </w:r>
          </w:p>
        </w:tc>
        <w:tc>
          <w:tcPr/>
          <w:p>
            <w:pPr>
              <w:pStyle w:val="Compact"/>
              <w:jc w:val="left"/>
            </w:pPr>
            <w:r>
              <w:t xml:space="preserve">Survodutide</w:t>
            </w:r>
          </w:p>
        </w:tc>
        <w:tc>
          <w:tcPr/>
          <w:p>
            <w:pPr>
              <w:pStyle w:val="Compact"/>
              <w:jc w:val="left"/>
            </w:pPr>
            <w:r>
              <w:t xml:space="preserve">MASH avec fibrose, 1 800 participants</w:t>
            </w:r>
          </w:p>
        </w:tc>
        <w:tc>
          <w:tcPr/>
          <w:p>
            <w:pPr>
              <w:pStyle w:val="Compact"/>
              <w:jc w:val="left"/>
            </w:pPr>
            <w:r>
              <w:t xml:space="preserve">décembre 2031</w:t>
            </w:r>
          </w:p>
        </w:tc>
      </w:tr>
      <w:tr>
        <w:tc>
          <w:tcPr/>
          <w:p>
            <w:pPr>
              <w:pStyle w:val="Compact"/>
              <w:jc w:val="left"/>
            </w:pPr>
            <w:r>
              <w:t xml:space="preserve">SYNERGY-Outcomes, NCT07165028</w:t>
            </w:r>
          </w:p>
        </w:tc>
        <w:tc>
          <w:tcPr/>
          <w:p>
            <w:pPr>
              <w:pStyle w:val="Compact"/>
              <w:jc w:val="left"/>
            </w:pPr>
            <w:r>
              <w:t xml:space="preserve">Tirzépatide et rétatrutide</w:t>
            </w:r>
          </w:p>
        </w:tc>
        <w:tc>
          <w:tcPr/>
          <w:p>
            <w:pPr>
              <w:pStyle w:val="Compact"/>
              <w:jc w:val="left"/>
            </w:pPr>
            <w:r>
              <w:t xml:space="preserve">événements hépatiques graves, 4 500 participants</w:t>
            </w:r>
          </w:p>
        </w:tc>
        <w:tc>
          <w:tcPr/>
          <w:p>
            <w:pPr>
              <w:pStyle w:val="Compact"/>
              <w:jc w:val="left"/>
            </w:pPr>
            <w:r>
              <w:t xml:space="preserve">août 2032</w:t>
            </w:r>
          </w:p>
        </w:tc>
      </w:tr>
    </w:tbl>
    <w:p>
      <w:pPr>
        <w:pStyle w:val="BodyText"/>
      </w:pPr>
      <w:r>
        <w:rPr>
          <w:bCs/>
          <w:b/>
        </w:rPr>
        <w:t xml:space="preserve">Autres groupes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 / NCT</w:t>
            </w:r>
          </w:p>
        </w:tc>
        <w:tc>
          <w:tcPr/>
          <w:p>
            <w:pPr>
              <w:pStyle w:val="Compact"/>
              <w:jc w:val="left"/>
            </w:pPr>
            <w:r>
              <w:t xml:space="preserve">Substance</w:t>
            </w:r>
          </w:p>
        </w:tc>
        <w:tc>
          <w:tcPr/>
          <w:p>
            <w:pPr>
              <w:pStyle w:val="Compact"/>
              <w:jc w:val="left"/>
            </w:pPr>
            <w:r>
              <w:t xml:space="preserve">Question</w:t>
            </w:r>
          </w:p>
        </w:tc>
        <w:tc>
          <w:tcPr/>
          <w:p>
            <w:pPr>
              <w:pStyle w:val="Compact"/>
              <w:jc w:val="left"/>
            </w:pPr>
            <w:r>
              <w:t xml:space="preserve">Fin prévue</w:t>
            </w:r>
          </w:p>
        </w:tc>
      </w:tr>
      <w:tr>
        <w:tc>
          <w:tcPr/>
          <w:p>
            <w:pPr>
              <w:pStyle w:val="Compact"/>
              <w:jc w:val="left"/>
            </w:pPr>
            <w:r>
              <w:t xml:space="preserve">SEER-2, NCT05555589</w:t>
            </w:r>
          </w:p>
        </w:tc>
        <w:tc>
          <w:tcPr/>
          <w:p>
            <w:pPr>
              <w:pStyle w:val="Compact"/>
              <w:jc w:val="left"/>
            </w:pPr>
            <w:r>
              <w:t xml:space="preserve">Thymosine bêta 4 (collyre)</w:t>
            </w:r>
          </w:p>
        </w:tc>
        <w:tc>
          <w:tcPr/>
          <w:p>
            <w:pPr>
              <w:pStyle w:val="Compact"/>
              <w:jc w:val="left"/>
            </w:pPr>
            <w:r>
              <w:t xml:space="preserve">cicatrisation de la cornée, 70 participants</w:t>
            </w:r>
          </w:p>
        </w:tc>
        <w:tc>
          <w:tcPr/>
          <w:p>
            <w:pPr>
              <w:pStyle w:val="Compact"/>
              <w:jc w:val="left"/>
            </w:pPr>
            <w:r>
              <w:t xml:space="preserve">mai 2026 (résultat attendu)</w:t>
            </w:r>
          </w:p>
        </w:tc>
      </w:tr>
      <w:tr>
        <w:tc>
          <w:tcPr/>
          <w:p>
            <w:pPr>
              <w:pStyle w:val="Compact"/>
              <w:jc w:val="left"/>
            </w:pPr>
            <w:r>
              <w:t xml:space="preserve">NCT06109649</w:t>
            </w:r>
          </w:p>
        </w:tc>
        <w:tc>
          <w:tcPr/>
          <w:p>
            <w:pPr>
              <w:pStyle w:val="Compact"/>
              <w:jc w:val="left"/>
            </w:pPr>
            <w:r>
              <w:t xml:space="preserve">Afamélanotide</w:t>
            </w:r>
          </w:p>
        </w:tc>
        <w:tc>
          <w:tcPr/>
          <w:p>
            <w:pPr>
              <w:pStyle w:val="Compact"/>
              <w:jc w:val="left"/>
            </w:pPr>
            <w:r>
              <w:t xml:space="preserve">vitiligo avec photothérapie, 200 participants</w:t>
            </w:r>
          </w:p>
        </w:tc>
        <w:tc>
          <w:tcPr/>
          <w:p>
            <w:pPr>
              <w:pStyle w:val="Compact"/>
              <w:jc w:val="left"/>
            </w:pPr>
            <w:r>
              <w:t xml:space="preserve">juin 2026 (résultat attendu)</w:t>
            </w:r>
          </w:p>
        </w:tc>
      </w:tr>
      <w:tr>
        <w:tc>
          <w:tcPr/>
          <w:p>
            <w:pPr>
              <w:pStyle w:val="Compact"/>
              <w:jc w:val="left"/>
            </w:pPr>
            <w:r>
              <w:t xml:space="preserve">NCT05086614</w:t>
            </w:r>
          </w:p>
        </w:tc>
        <w:tc>
          <w:tcPr/>
          <w:p>
            <w:pPr>
              <w:pStyle w:val="Compact"/>
              <w:jc w:val="left"/>
            </w:pPr>
            <w:r>
              <w:t xml:space="preserve">Thymosine alpha 1</w:t>
            </w:r>
          </w:p>
        </w:tc>
        <w:tc>
          <w:tcPr/>
          <w:p>
            <w:pPr>
              <w:pStyle w:val="Compact"/>
              <w:jc w:val="left"/>
            </w:pPr>
            <w:r>
              <w:t xml:space="preserve">survie sans maladie après un cancer colorectal, 2 500 participants</w:t>
            </w:r>
          </w:p>
        </w:tc>
        <w:tc>
          <w:tcPr/>
          <w:p>
            <w:pPr>
              <w:pStyle w:val="Compact"/>
              <w:jc w:val="left"/>
            </w:pPr>
            <w:r>
              <w:t xml:space="preserve">mars 2027</w:t>
            </w:r>
          </w:p>
        </w:tc>
      </w:tr>
      <w:tr>
        <w:tc>
          <w:tcPr/>
          <w:p>
            <w:pPr>
              <w:pStyle w:val="Compact"/>
              <w:jc w:val="left"/>
            </w:pPr>
            <w:r>
              <w:t xml:space="preserve">ReNEW, NCT06373731</w:t>
            </w:r>
          </w:p>
        </w:tc>
        <w:tc>
          <w:tcPr/>
          <w:p>
            <w:pPr>
              <w:pStyle w:val="Compact"/>
              <w:jc w:val="left"/>
            </w:pPr>
            <w:r>
              <w:t xml:space="preserve">Élamipretide (SS-31)</w:t>
            </w:r>
          </w:p>
        </w:tc>
        <w:tc>
          <w:tcPr/>
          <w:p>
            <w:pPr>
              <w:pStyle w:val="Compact"/>
              <w:jc w:val="left"/>
            </w:pPr>
            <w:r>
              <w:t xml:space="preserve">dégénérescence maculaire sèche, 313 participants</w:t>
            </w:r>
          </w:p>
        </w:tc>
        <w:tc>
          <w:tcPr/>
          <w:p>
            <w:pPr>
              <w:pStyle w:val="Compact"/>
              <w:jc w:val="left"/>
            </w:pPr>
            <w:r>
              <w:t xml:space="preserve">septembre 2027</w:t>
            </w:r>
          </w:p>
        </w:tc>
      </w:tr>
      <w:tr>
        <w:tc>
          <w:tcPr/>
          <w:p>
            <w:pPr>
              <w:pStyle w:val="Compact"/>
              <w:jc w:val="left"/>
            </w:pPr>
            <w:r>
              <w:t xml:space="preserve">NCT06948214</w:t>
            </w:r>
          </w:p>
        </w:tc>
        <w:tc>
          <w:tcPr/>
          <w:p>
            <w:pPr>
              <w:pStyle w:val="Compact"/>
              <w:jc w:val="left"/>
            </w:pPr>
            <w:r>
              <w:t xml:space="preserve">Ibutamorène (LUM-201, pas un peptide)</w:t>
            </w:r>
          </w:p>
        </w:tc>
        <w:tc>
          <w:tcPr/>
          <w:p>
            <w:pPr>
              <w:pStyle w:val="Compact"/>
              <w:jc w:val="left"/>
            </w:pPr>
            <w:r>
              <w:t xml:space="preserve">croissance chez des enfants présentant un déficit hormonal, 150 participants</w:t>
            </w:r>
          </w:p>
        </w:tc>
        <w:tc>
          <w:tcPr/>
          <w:p>
            <w:pPr>
              <w:pStyle w:val="Compact"/>
              <w:jc w:val="left"/>
            </w:pPr>
            <w:r>
              <w:t xml:space="preserve">janvier 2028</w:t>
            </w:r>
          </w:p>
        </w:tc>
      </w:tr>
    </w:tbl>
    <w:p>
      <w:pPr>
        <w:pStyle w:val="BodyText"/>
      </w:pPr>
      <w:r>
        <w:t xml:space="preserve">Les détails de chaque étude figurent dans la section « Études en cours et perspectives » du chapitre correspondant.</w:t>
      </w:r>
    </w:p>
    <w:bookmarkEnd w:id="2837"/>
    <w:bookmarkStart w:id="2847" w:name="X11b4f05cfef6c4c141b6ad8282c53c859e9a13c"/>
    <w:p>
      <w:pPr>
        <w:pStyle w:val="Heading3"/>
      </w:pPr>
      <w:r>
        <w:t xml:space="preserve">Ce que le registre révèle de l’orientation</w:t>
      </w:r>
    </w:p>
    <w:p>
      <w:pPr>
        <w:pStyle w:val="FirstParagraph"/>
      </w:pPr>
      <w:r>
        <w:rPr>
          <w:bCs/>
          <w:b/>
        </w:rPr>
        <w:t xml:space="preserve">De la balance aux critères cliniques forts.</w:t>
      </w:r>
      <w:r>
        <w:t xml:space="preserve"> </w:t>
      </w:r>
      <w:r>
        <w:t xml:space="preserve">La première génération d’études sur l’amaigrissement mesurait surtout des kilogrammes. Les grandes études des prochaines années se demandent si les infarctus, les AVC, l’insuffisance cardiaque, l’insuffisance rénale ou la cirrhose deviennent plus rares. Les six études de phase 3 en cours du groupe A comptant chacune plus de 5 000 participants sont toutes de telles études de critères cliniques. Pour les caisses d’assurance maladie qui décident du remboursement, ces résultats importent davantage que tout record de perte de poids.</w:t>
      </w:r>
    </w:p>
    <w:p>
      <w:pPr>
        <w:pStyle w:val="BodyText"/>
      </w:pPr>
      <w:r>
        <w:rPr>
          <w:bCs/>
          <w:b/>
        </w:rPr>
        <w:t xml:space="preserve">Comparaisons directes.</w:t>
      </w:r>
      <w:r>
        <w:t xml:space="preserve"> </w:t>
      </w:r>
      <w:r>
        <w:t xml:space="preserve">Les nouvelles substances doivent de plus en plus se mesurer aux substances établies, et pas seulement au placebo : rétatrutide contre tirzépatide</w:t>
      </w:r>
      <w:r>
        <w:rPr>
          <w:rStyle w:val="FootnoteReference"/>
        </w:rPr>
        <w:footnoteReference w:id="2838"/>
      </w:r>
      <w:r>
        <w:t xml:space="preserve">, zénagamtide contre sémaglutide (AMAZE 7, NCT07668414), maridebart cafraglutide contre sémaglutide dans le diabète de type 2 (MARITIME-T2D-3, NCT07866066). De nouveaux acteurs entrent aussi directement en lice : Roche teste le double agoniste GLP-1/GIP énicépatide contre le tirzépatide</w:t>
      </w:r>
      <w:r>
        <w:rPr>
          <w:rStyle w:val="FootnoteReference"/>
        </w:rPr>
        <w:footnoteReference w:id="2839"/>
      </w:r>
      <w:r>
        <w:t xml:space="preserve">, l’entreprise Kailera la substance ribupatide contre le sémaglutide (KaiNETIC-3, NCT07284979), AstraZeneca la substance à prise quotidienne élécoglipron contre le sémaglutide en comprimé (Eluminate-2, NCT07662213).</w:t>
      </w:r>
    </w:p>
    <w:p>
      <w:pPr>
        <w:pStyle w:val="BodyText"/>
      </w:pPr>
      <w:r>
        <w:rPr>
          <w:bCs/>
          <w:b/>
        </w:rPr>
        <w:t xml:space="preserve">Maintenir le poids et pas seulement le perdre.</w:t>
      </w:r>
      <w:r>
        <w:t xml:space="preserve"> </w:t>
      </w:r>
      <w:r>
        <w:t xml:space="preserve">Plusieurs études examinent expressément la période qui suit l’amaigrissement : le rétatrutide pour le maintien du poids (TRIUMPH-6, NCT06859268), une étude à long terme de CagriSema sur deux ans plus une prolongation</w:t>
      </w:r>
      <w:r>
        <w:rPr>
          <w:rStyle w:val="FootnoteReference"/>
        </w:rPr>
        <w:footnoteReference w:id="2840"/>
      </w:r>
      <w:r>
        <w:t xml:space="preserve">, le passage d’autres médicaments GLP-1 au maridebart cafraglutide administré une fois par mois</w:t>
      </w:r>
      <w:r>
        <w:rPr>
          <w:rStyle w:val="FootnoteReference"/>
        </w:rPr>
        <w:footnoteReference w:id="2841"/>
      </w:r>
      <w:r>
        <w:t xml:space="preserve"> </w:t>
      </w:r>
      <w:r>
        <w:t xml:space="preserve">ou au bérobénatide, une substance expérimentale de Pfizer à injecter une fois par mois</w:t>
      </w:r>
      <w:r>
        <w:rPr>
          <w:rStyle w:val="FootnoteReference"/>
        </w:rPr>
        <w:footnoteReference w:id="2842"/>
      </w:r>
      <w:r>
        <w:t xml:space="preserve">. Le contexte, ce sont des études comme SURMOUNT-4 : les personnes qui ont arrêté le tirzépatide après 36 semaines ont repris en moyenne 14,0 % au cours de l’année suivante, tandis que le poids a encore baissé de 5,5 % sous traitement poursuivi</w:t>
      </w:r>
      <w:r>
        <w:rPr>
          <w:rStyle w:val="FootnoteReference"/>
        </w:rPr>
        <w:footnoteReference w:id="2843"/>
      </w:r>
      <w:r>
        <w:t xml:space="preserve">.</w:t>
      </w:r>
    </w:p>
    <w:p>
      <w:pPr>
        <w:pStyle w:val="BodyText"/>
      </w:pPr>
      <w:r>
        <w:rPr>
          <w:bCs/>
          <w:b/>
        </w:rPr>
        <w:t xml:space="preserve">Nouveaux pays, nouvelles molécules.</w:t>
      </w:r>
      <w:r>
        <w:t xml:space="preserve"> </w:t>
      </w:r>
      <w:r>
        <w:t xml:space="preserve">Une grande partie des nouvelles études de phase 3 émane d’entreprises chinoises qui testent leurs propres substances à base de GLP-1 contre le sémaglutide ou le dulaglutide – par exemple le bofanglutide, injecté toutes les deux semaines (BALANCE-OBS, NCT07622810), ou la protéine de fusion d’exendine-4 JY09</w:t>
      </w:r>
      <w:r>
        <w:rPr>
          <w:rStyle w:val="FootnoteReference"/>
        </w:rPr>
        <w:footnoteReference w:id="2844"/>
      </w:r>
      <w:r>
        <w:t xml:space="preserve">. Le marché s’élargit donc, il ne fait pas que gagner en puissance.</w:t>
      </w:r>
    </w:p>
    <w:p>
      <w:pPr>
        <w:pStyle w:val="BodyText"/>
      </w:pPr>
      <w:r>
        <w:rPr>
          <w:bCs/>
          <w:b/>
        </w:rPr>
        <w:t xml:space="preserve">Enfants et adolescents.</w:t>
      </w:r>
      <w:r>
        <w:t xml:space="preserve"> </w:t>
      </w:r>
      <w:r>
        <w:t xml:space="preserve">Pour presque toutes les grandes substances, des études sont en cours chez les adolescents, parfois aussi chez les enfants, par exemple pour le tirzépatide</w:t>
      </w:r>
      <w:r>
        <w:rPr>
          <w:rStyle w:val="FootnoteReference"/>
        </w:rPr>
        <w:footnoteReference w:id="2845"/>
      </w:r>
      <w:r>
        <w:t xml:space="preserve">, l’orforglipron</w:t>
      </w:r>
      <w:r>
        <w:rPr>
          <w:rStyle w:val="FootnoteReference"/>
        </w:rPr>
        <w:footnoteReference w:id="2846"/>
      </w:r>
      <w:r>
        <w:t xml:space="preserve"> </w:t>
      </w:r>
      <w:r>
        <w:t xml:space="preserve">et CagriSema (NCT07253285, fin prévue en 2033).</w:t>
      </w:r>
    </w:p>
    <w:p>
      <w:pPr>
        <w:pStyle w:val="BodyText"/>
      </w:pPr>
      <w:r>
        <w:rPr>
          <w:bCs/>
          <w:b/>
        </w:rPr>
        <w:t xml:space="preserve">Et en dehors du métabolisme ?</w:t>
      </w:r>
      <w:r>
        <w:t xml:space="preserve"> </w:t>
      </w:r>
      <w:r>
        <w:t xml:space="preserve">Ici, le pipeline est maigre. Lorsqu’un peptide n’est pas brevetable, est déjà vendu comme complément alimentaire ou n’existe que sur le marché gris, presque personne ne finance de coûteuses études d’autorisation. Cela explique pourquoi les peptides les plus discutés sur Internet sont justement pratiquement absents des registres.</w:t>
      </w:r>
    </w:p>
    <w:bookmarkEnd w:id="2847"/>
    <w:bookmarkStart w:id="2865" w:name="nouveaux-principes-daction"/>
    <w:p>
      <w:pPr>
        <w:pStyle w:val="Heading3"/>
      </w:pPr>
      <w:r>
        <w:t xml:space="preserve">Nouveaux principes d’action</w:t>
      </w:r>
    </w:p>
    <w:bookmarkStart w:id="2851" w:name="triples-agonistes"/>
    <w:p>
      <w:pPr>
        <w:pStyle w:val="Heading4"/>
      </w:pPr>
      <w:r>
        <w:t xml:space="preserve">Triples agonistes</w:t>
      </w:r>
    </w:p>
    <w:p>
      <w:pPr>
        <w:pStyle w:val="FirstParagraph"/>
      </w:pPr>
      <w:r>
        <w:t xml:space="preserve">Le rétatrutide active trois récepteurs à la fois : GLP-1, GIP et glucagon. La composante glucagon est censée augmenter la dépense énergétique et la dégradation des graisses dans le foie. Dans l’étude de phase 2 portant sur 338 adultes, le poids a diminué de 24,2 % après 48 semaines à la dose la plus élevée étudiée, contre 2,1 % sous placebo</w:t>
      </w:r>
      <w:r>
        <w:rPr>
          <w:rStyle w:val="FootnoteReference"/>
        </w:rPr>
        <w:footnoteReference w:id="2848"/>
      </w:r>
      <w:r>
        <w:t xml:space="preserve">. La première étude de phase 3, TRIUMPH-1, portant sur 2 339 adultes, l’a confirmé : après 80 semaines, la perte de poids était selon la dose de 17,6 à 25,0 %, contre 3,9 % sous placebo. Chez les participants atteints d’arthrose du genou, les douleurs ont diminué, et chez ceux atteints d’apnée du sommeil, le nombre d’apnées a baissé</w:t>
      </w:r>
      <w:r>
        <w:rPr>
          <w:rStyle w:val="FootnoteReference"/>
        </w:rPr>
        <w:footnoteReference w:id="2849"/>
      </w:r>
      <w:r>
        <w:t xml:space="preserve">. TRIUMPH-Outcomes doit montrer d’ici 2029 si cette perte de poids supplémentaire entraîne aussi moins d’événements cardiaques et rénaux</w:t>
      </w:r>
      <w:r>
        <w:rPr>
          <w:rStyle w:val="FootnoteReference"/>
        </w:rPr>
        <w:footnoteReference w:id="2850"/>
      </w:r>
      <w:r>
        <w:t xml:space="preserve">. Les détails et les effets indésirables sont décrits au chapitre Rétatrutide.</w:t>
      </w:r>
    </w:p>
    <w:bookmarkEnd w:id="2851"/>
    <w:bookmarkStart w:id="2856" w:name="lamyline-la-quatrième-voie-hormonale"/>
    <w:p>
      <w:pPr>
        <w:pStyle w:val="Heading4"/>
      </w:pPr>
      <w:r>
        <w:t xml:space="preserve">L’amyline : la quatrième voie hormonale</w:t>
      </w:r>
    </w:p>
    <w:p>
      <w:pPr>
        <w:pStyle w:val="FirstParagraph"/>
      </w:pPr>
      <w:r>
        <w:t xml:space="preserve">L’amyline est sécrétée en même temps que l’insuline et a un effet rassasiant au niveau du tronc cérébral. Il faut distinguer trois lignes de développement :</w:t>
      </w:r>
    </w:p>
    <w:p>
      <w:pPr>
        <w:numPr>
          <w:ilvl w:val="0"/>
          <w:numId w:val="1355"/>
        </w:numPr>
        <w:pStyle w:val="Compact"/>
      </w:pPr>
      <w:r>
        <w:rPr>
          <w:bCs/>
          <w:b/>
        </w:rPr>
        <w:t xml:space="preserve">Association dans une seule injection :</w:t>
      </w:r>
      <w:r>
        <w:t xml:space="preserve"> </w:t>
      </w:r>
      <w:r>
        <w:t xml:space="preserve">CagriSema associe l’analogue de l’amyline cagrilintide au sémaglutide. Dans REDEFINE 1, portant sur 3 417 adultes, le poids a diminué de 20,4 % après 68 semaines, contre 3,0 % sous placebo ; des troubles gastro-intestinaux sont survenus chez 79,6 % contre 39,9 % des participants</w:t>
      </w:r>
      <w:r>
        <w:rPr>
          <w:rStyle w:val="FootnoteReference"/>
        </w:rPr>
        <w:footnoteReference w:id="2852"/>
      </w:r>
      <w:r>
        <w:t xml:space="preserve">.</w:t>
      </w:r>
    </w:p>
    <w:p>
      <w:pPr>
        <w:numPr>
          <w:ilvl w:val="0"/>
          <w:numId w:val="1355"/>
        </w:numPr>
        <w:pStyle w:val="Compact"/>
      </w:pPr>
      <w:r>
        <w:rPr>
          <w:bCs/>
          <w:b/>
        </w:rPr>
        <w:t xml:space="preserve">Une molécule pour deux récepteurs :</w:t>
      </w:r>
      <w:r>
        <w:t xml:space="preserve"> </w:t>
      </w:r>
      <w:r>
        <w:t xml:space="preserve">l’amycrétine, appelée zénagamtide depuis 2026, active simultanément les récepteurs du GLP-1 et de l’amyline. Dans une petite étude de phase 1b/2a portant sur 125 participants, le poids a diminué de 24,3 % après 36 semaines au palier de dose le plus élevé</w:t>
      </w:r>
      <w:r>
        <w:rPr>
          <w:rStyle w:val="FootnoteReference"/>
        </w:rPr>
        <w:footnoteReference w:id="2853"/>
      </w:r>
      <w:r>
        <w:t xml:space="preserve">. Le programme de phase 3 AMAZE est en cours depuis 2026.</w:t>
      </w:r>
    </w:p>
    <w:p>
      <w:pPr>
        <w:numPr>
          <w:ilvl w:val="0"/>
          <w:numId w:val="1355"/>
        </w:numPr>
        <w:pStyle w:val="Compact"/>
      </w:pPr>
      <w:r>
        <w:rPr>
          <w:bCs/>
          <w:b/>
        </w:rPr>
        <w:t xml:space="preserve">L’amyline seule :</w:t>
      </w:r>
      <w:r>
        <w:t xml:space="preserve"> </w:t>
      </w:r>
      <w:r>
        <w:t xml:space="preserve">l’espoir est ici une meilleure tolérance. L’éloralintide, un agoniste sélectif du récepteur de l’amyline de Lilly, a entraîné dans une étude de phase 2 portant sur 263 adultes une perte de poids de 9 à 20 % après 48 semaines, contre 0,4 % sous placebo ; les nausées et la fatigue étaient, selon la dose, nettement plus fréquentes que sous placebo</w:t>
      </w:r>
      <w:r>
        <w:rPr>
          <w:rStyle w:val="FootnoteReference"/>
        </w:rPr>
        <w:footnoteReference w:id="2854"/>
      </w:r>
      <w:r>
        <w:t xml:space="preserve">. Le pétrélintide de Zealand Pharma a réduit le poids de 7,9 à 9,8 % après 28 semaines dans l’étude de phase 2 ZUPREME 1 portant sur 493 participants (placebo 1,7 %). Des nausées sont survenues chez 20 % contre 6 % des participants, mais les vomissements n’étaient pas plus fréquents que sous placebo</w:t>
      </w:r>
      <w:r>
        <w:rPr>
          <w:rStyle w:val="FootnoteReference"/>
        </w:rPr>
        <w:footnoteReference w:id="2855"/>
      </w:r>
      <w:r>
        <w:t xml:space="preserve">.</w:t>
      </w:r>
    </w:p>
    <w:p>
      <w:pPr>
        <w:pStyle w:val="FirstParagraph"/>
      </w:pPr>
      <w:r>
        <w:t xml:space="preserve">Les deux substances à base d’amyline seule sont désormais en phase 3 : l’éloralintide dans ENLIGHTEN-1, avec 1 980 participants prévus (NCT07321886, fin en juillet 2030), le pétrélintide dans ZUPREME-3, avec 3 900 participants prévus, sous la direction de Roche (NCT07843498, fin en mars 2029). Lilly teste en outre une association d’éloralintide et de tirzépatide (AMPLIFY-1, NCT07881432, 2 115 participants prévus).</w:t>
      </w:r>
    </w:p>
    <w:bookmarkEnd w:id="2856"/>
    <w:bookmarkStart w:id="2859" w:name="conjugués-anticorps-peptide"/>
    <w:p>
      <w:pPr>
        <w:pStyle w:val="Heading4"/>
      </w:pPr>
      <w:r>
        <w:t xml:space="preserve">Conjugués anticorps-peptide</w:t>
      </w:r>
    </w:p>
    <w:p>
      <w:pPr>
        <w:pStyle w:val="FirstParagraph"/>
      </w:pPr>
      <w:r>
        <w:t xml:space="preserve">Les peptides sont rapidement dégradés dans l’organisme et éliminés par les reins. Une solution consiste à les coupler à un anticorps qui reste des semaines dans le sang. Une revue décrit ces conjugués anticorps-peptide comme une nouvelle classe de substances à part entière : contrairement aux protéines de fusion, le peptide est fabriqué chimiquement et n’est lié à l’anticorps qu’ensuite, de sorte qu’il peut aussi contenir des éléments constitutifs inhabituels</w:t>
      </w:r>
      <w:r>
        <w:rPr>
          <w:rStyle w:val="FootnoteReference"/>
        </w:rPr>
        <w:footnoteReference w:id="2857"/>
      </w:r>
      <w:r>
        <w:t xml:space="preserve">.</w:t>
      </w:r>
    </w:p>
    <w:p>
      <w:pPr>
        <w:pStyle w:val="BodyText"/>
      </w:pPr>
      <w:r>
        <w:t xml:space="preserve">L’exemple le plus connu est le maridebart cafraglutide (MariTide). Il associe un anticorps qui bloque le récepteur du GIP à des peptides de type GLP-1 qui activent le récepteur du GLP-1. Dans l’étude de phase 2 portant sur 592 participants, il était injecté toutes les quatre ou huit semaines. Après 52 semaines, la perte de poids était de 12,3 à 16,2 % sans diabète (placebo 2,5 %) et de 8,4 à 12,3 % avec un diabète de type 2 (placebo 1,7 %). Les troubles gastro-intestinaux étaient fréquents, mais plus rares lorsque la dose était augmentée lentement</w:t>
      </w:r>
      <w:r>
        <w:rPr>
          <w:rStyle w:val="FootnoteReference"/>
        </w:rPr>
        <w:footnoteReference w:id="2858"/>
      </w:r>
      <w:r>
        <w:t xml:space="preserve">. Le concept : moins d’injections plutôt qu’un effet maximal.</w:t>
      </w:r>
    </w:p>
    <w:bookmarkEnd w:id="2859"/>
    <w:bookmarkStart w:id="2863" w:name="X06c8d13d673eedd48ff7af84dcdcb5adc459001"/>
    <w:p>
      <w:pPr>
        <w:pStyle w:val="Heading4"/>
      </w:pPr>
      <w:r>
        <w:t xml:space="preserve">Préserver les muscles pendant l’amaigrissement</w:t>
      </w:r>
    </w:p>
    <w:p>
      <w:pPr>
        <w:pStyle w:val="FirstParagraph"/>
      </w:pPr>
      <w:r>
        <w:t xml:space="preserve">Lors de toute perte de poids importante, on perd aussi de la masse musculaire et osseuse. Une approche est l’anticorps</w:t>
      </w:r>
      <w:r>
        <w:t xml:space="preserve"> </w:t>
      </w:r>
      <w:r>
        <w:rPr>
          <w:bCs/>
          <w:b/>
        </w:rPr>
        <w:t xml:space="preserve">bimagrumab</w:t>
      </w:r>
      <w:r>
        <w:t xml:space="preserve">, qui bloque les récepteurs de l’activine de type II – des interrupteurs qui freinent la croissance musculaire. Le bimagrumab n’est pas un peptide, mais il est associé de manière ciblée à des médicaments peptidiques.</w:t>
      </w:r>
    </w:p>
    <w:p>
      <w:pPr>
        <w:numPr>
          <w:ilvl w:val="0"/>
          <w:numId w:val="1356"/>
        </w:numPr>
        <w:pStyle w:val="Compact"/>
      </w:pPr>
      <w:r>
        <w:t xml:space="preserve">Dans une étude de phase 2 portant sur 75 adultes atteints de diabète de type 2 et en surpoids, la masse grasse a diminué de 20,5 % après 48 semaines sous bimagrumab seul, tandis que la masse maigre a augmenté de 3,6 % (placebo −0,5 % et −0,8 %)</w:t>
      </w:r>
      <w:r>
        <w:rPr>
          <w:rStyle w:val="FootnoteReference"/>
        </w:rPr>
        <w:footnoteReference w:id="2860"/>
      </w:r>
      <w:r>
        <w:t xml:space="preserve">.</w:t>
      </w:r>
    </w:p>
    <w:p>
      <w:pPr>
        <w:numPr>
          <w:ilvl w:val="0"/>
          <w:numId w:val="1356"/>
        </w:numPr>
        <w:pStyle w:val="Compact"/>
      </w:pPr>
      <w:r>
        <w:t xml:space="preserve">Dans une étude de phase 2 portant sur 507 adultes obèses, la perte de poids après 48 semaines était de 9,3 kg sous bimagrumab seul, de 14,2 kg sous sémaglutide seul et de 17,8 kg sous l’association (placebo 3,3 kg). Les effets indésirables fréquents du bimagrumab étaient des crampes musculaires, une diarrhée et de l’acné</w:t>
      </w:r>
      <w:r>
        <w:rPr>
          <w:rStyle w:val="FootnoteReference"/>
        </w:rPr>
        <w:footnoteReference w:id="2861"/>
      </w:r>
      <w:r>
        <w:t xml:space="preserve">.</w:t>
      </w:r>
    </w:p>
    <w:p>
      <w:pPr>
        <w:pStyle w:val="FirstParagraph"/>
      </w:pPr>
      <w:r>
        <w:t xml:space="preserve">Lilly teste désormais le bimagrumab avec le tirzépatide (NCT06643728, 252 participants, fin en janvier 2027). Une étude plus petite au Massachusetts General Hospital examine la même association sous l’angle de la composition corporelle et des os</w:t>
      </w:r>
      <w:r>
        <w:rPr>
          <w:rStyle w:val="FootnoteReference"/>
        </w:rPr>
        <w:footnoteReference w:id="2862"/>
      </w:r>
      <w:r>
        <w:t xml:space="preserve">. Il n’est pas démontré à ce jour qu’une masse musculaire accrue à l’examen d’imagerie signifie aussi plus de force, moins de chutes ou moins de fractures. Aucune étude de phase 3 n’est inscrite au registre.</w:t>
      </w:r>
    </w:p>
    <w:bookmarkEnd w:id="2863"/>
    <w:bookmarkStart w:id="2864" w:name="comprimés"/>
    <w:p>
      <w:pPr>
        <w:pStyle w:val="Heading4"/>
      </w:pPr>
      <w:r>
        <w:t xml:space="preserve">Comprimés</w:t>
      </w:r>
    </w:p>
    <w:p>
      <w:pPr>
        <w:pStyle w:val="FirstParagraph"/>
      </w:pPr>
      <w:r>
        <w:t xml:space="preserve">Le changement le plus lourd de conséquences ne concerne peut-être pas le récepteur, mais la voie d’entrée dans l’organisme : des comprimés contenant des peptides et de petites molécules qui agissent comme des peptides. Le chapitre suivant est consacré à ce thème.</w:t>
      </w:r>
    </w:p>
    <w:bookmarkEnd w:id="2864"/>
    <w:bookmarkEnd w:id="2865"/>
    <w:bookmarkStart w:id="2866" w:name="lessentiel-en-bref-8"/>
    <w:p>
      <w:pPr>
        <w:pStyle w:val="Heading3"/>
      </w:pPr>
      <w:r>
        <w:t xml:space="preserve">L’essentiel en bref</w:t>
      </w:r>
    </w:p>
    <w:p>
      <w:pPr>
        <w:numPr>
          <w:ilvl w:val="0"/>
          <w:numId w:val="1357"/>
        </w:numPr>
        <w:pStyle w:val="Compact"/>
      </w:pPr>
      <w:r>
        <w:t xml:space="preserve">Après exclusion des inscriptions fictives et sans rapport avec le sujet, 730 études interventionnelles sont en cours sur les substances de ce livre, dont 157 en phase 3.</w:t>
      </w:r>
    </w:p>
    <w:p>
      <w:pPr>
        <w:numPr>
          <w:ilvl w:val="0"/>
          <w:numId w:val="1357"/>
        </w:numPr>
        <w:pStyle w:val="Compact"/>
      </w:pPr>
      <w:r>
        <w:t xml:space="preserve">Près de neuf études avancées sur dix concernent le métabolisme et le poids. Pour les peptides populaires du marché gris, aucune étude de phase 3 n’est en cours.</w:t>
      </w:r>
    </w:p>
    <w:p>
      <w:pPr>
        <w:numPr>
          <w:ilvl w:val="0"/>
          <w:numId w:val="1357"/>
        </w:numPr>
        <w:pStyle w:val="Compact"/>
      </w:pPr>
      <w:r>
        <w:t xml:space="preserve">Les grandes études cardiovasculaires, rénales et hépatiques s’achèveront entre 2027 et 2032. Ce sont elles qui montreront si les nouvelles substances font plus que réduire le poids.</w:t>
      </w:r>
    </w:p>
    <w:p>
      <w:pPr>
        <w:numPr>
          <w:ilvl w:val="0"/>
          <w:numId w:val="1357"/>
        </w:numPr>
        <w:pStyle w:val="Compact"/>
      </w:pPr>
      <w:r>
        <w:t xml:space="preserve">Les nouveaux principes d’action – triples agonistes, amyline, conjugués anticorps-peptide, protection musculaire – sont étayés par des études de phase 2, et la plupart se trouvent en phase 3. Pour aucune de ces nouvelles substances, une autorisation n’est acquise.</w:t>
      </w:r>
    </w:p>
    <w:bookmarkEnd w:id="2866"/>
    <w:bookmarkEnd w:id="2867"/>
    <w:bookmarkStart w:id="2903" w:name="des-comprimés-plutôt-que-des-injections"/>
    <w:p>
      <w:pPr>
        <w:pStyle w:val="Heading2"/>
      </w:pPr>
      <w:r>
        <w:t xml:space="preserve">Des comprimés plutôt que des injections</w:t>
      </w:r>
    </w:p>
    <w:p>
      <w:pPr>
        <w:pStyle w:val="FirstParagraph"/>
      </w:pPr>
      <w:r>
        <w:t xml:space="preserve">Presque tous les médicaments peptidiques de ce livre sont injectés. La raison est simple : le tube digestif est conçu pour décomposer les protéines et les peptides en leurs éléments constitutifs. Ce qui est utile pour l’alimentation rend un peptide inutilisable comme médicament avant même qu’il n’atteigne le sang. La partie I a décrit ces obstacles en détail (chapitre « Comment les peptides pénètrent dans l’organisme »).</w:t>
      </w:r>
    </w:p>
    <w:p>
      <w:pPr>
        <w:pStyle w:val="BodyText"/>
      </w:pPr>
      <w:r>
        <w:t xml:space="preserve">Si l’on fait néanmoins des recherches intensives sur les comprimés, c’est pour plusieurs raisons. Beaucoup de personnes n’aiment pas se faire des injections. Les produits injectables doivent le plus souvent être conservés au froid, et les stylos sont coûteux à fabriquer. Et comme les médicaments contre l’obésité doivent, selon les connaissances actuelles, être pris durablement pour agir, chaque simplification compte pour le traitement au long cours. Une revue indique que des formes orales d’insuline, de calcitonine, de parathormone et de vasopressine ont déjà été testées dans des études cliniques, et que seul le sémaglutide a permis la percée pour une substance utilisée à grande échelle</w:t>
      </w:r>
      <w:r>
        <w:rPr>
          <w:rStyle w:val="FootnoteReference"/>
        </w:rPr>
        <w:footnoteReference w:id="2868"/>
      </w:r>
      <w:r>
        <w:t xml:space="preserve">.</w:t>
      </w:r>
    </w:p>
    <w:p>
      <w:pPr>
        <w:pStyle w:val="BodyText"/>
      </w:pPr>
      <w:r>
        <w:t xml:space="preserve">Il existe aujourd’hui deux voies fondamentalement différentes vers le comprimé : soit on protège un</w:t>
      </w:r>
      <w:r>
        <w:t xml:space="preserve"> </w:t>
      </w:r>
      <w:r>
        <w:rPr>
          <w:bCs/>
          <w:b/>
        </w:rPr>
        <w:t xml:space="preserve">peptide</w:t>
      </w:r>
      <w:r>
        <w:t xml:space="preserve"> </w:t>
      </w:r>
      <w:r>
        <w:t xml:space="preserve">de manière à ce qu’au moins une petite partie soit absorbée – soit on remplace le peptide par une</w:t>
      </w:r>
      <w:r>
        <w:t xml:space="preserve"> </w:t>
      </w:r>
      <w:r>
        <w:rPr>
          <w:bCs/>
          <w:b/>
        </w:rPr>
        <w:t xml:space="preserve">petite molécule</w:t>
      </w:r>
      <w:r>
        <w:t xml:space="preserve"> </w:t>
      </w:r>
      <w:r>
        <w:t xml:space="preserve">qui passe de l’intestin dans le sang comme un médicament ordinaire et agit néanmoins sur le même récepteur.</w:t>
      </w:r>
    </w:p>
    <w:bookmarkStart w:id="2883" w:name="Xe7e16c93d3ecafeaaf7694919deb9ad2f700fa1"/>
    <w:p>
      <w:pPr>
        <w:pStyle w:val="Heading3"/>
      </w:pPr>
      <w:r>
        <w:t xml:space="preserve">Voie 1 : peptide plus promoteur d’absorption</w:t>
      </w:r>
    </w:p>
    <w:bookmarkStart w:id="2870" w:name="le-principe"/>
    <w:p>
      <w:pPr>
        <w:pStyle w:val="Heading4"/>
      </w:pPr>
      <w:r>
        <w:t xml:space="preserve">Le principe</w:t>
      </w:r>
    </w:p>
    <w:p>
      <w:pPr>
        <w:pStyle w:val="FirstParagraph"/>
      </w:pPr>
      <w:r>
        <w:t xml:space="preserve">Un</w:t>
      </w:r>
      <w:r>
        <w:t xml:space="preserve"> </w:t>
      </w:r>
      <w:r>
        <w:rPr>
          <w:bCs/>
          <w:b/>
        </w:rPr>
        <w:t xml:space="preserve">promoteur d’absorption</w:t>
      </w:r>
      <w:r>
        <w:t xml:space="preserve"> </w:t>
      </w:r>
      <w:r>
        <w:t xml:space="preserve">(terme technique : promoteur de perméation) est un excipient qui rend la muqueuse temporairement plus perméable ou protège le peptide contre la dégradation. Pour le comprimé de sémaglutide, il s’agit de l’excipient</w:t>
      </w:r>
      <w:r>
        <w:t xml:space="preserve"> </w:t>
      </w:r>
      <w:r>
        <w:rPr>
          <w:bCs/>
          <w:b/>
        </w:rPr>
        <w:t xml:space="preserve">SNAC</w:t>
      </w:r>
      <w:r>
        <w:t xml:space="preserve">. Il élève le pH dans l’environnement immédiat du comprimé, freine l’activation de l’enzyme digestive pepsine et fait en sorte que le sémaglutide se présente sous forme de molécules isolées, plus facilement absorbées. Malgré cela, selon une revue, seuls 0,4 à 1 % environ de la substance active passent dans le sang – et uniquement à jeun et avec peu d’eau. Après un repas, le sémaglutide n’est pratiquement pas détectable dans le sang</w:t>
      </w:r>
      <w:r>
        <w:rPr>
          <w:rStyle w:val="FootnoteReference"/>
        </w:rPr>
        <w:footnoteReference w:id="2869"/>
      </w:r>
      <w:r>
        <w:t xml:space="preserve">. Il en découle les règles de prise strictes qui figurent dans le RCP.</w:t>
      </w:r>
    </w:p>
    <w:bookmarkEnd w:id="2870"/>
    <w:bookmarkStart w:id="2872" w:name="le-comprimé-de-sémaglutide-dans-lobésité"/>
    <w:p>
      <w:pPr>
        <w:pStyle w:val="Heading4"/>
      </w:pPr>
      <w:r>
        <w:t xml:space="preserve">Le comprimé de sémaglutide dans l’obésité</w:t>
      </w:r>
    </w:p>
    <w:p>
      <w:pPr>
        <w:pStyle w:val="FirstParagraph"/>
      </w:pPr>
      <w:r>
        <w:t xml:space="preserve">Pour le diabète de type 2, le comprimé de sémaglutide (Rybelsus) est autorisé dans l’UE depuis 2020. Pour l’obésité, des doses plus élevées ont été testées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Étude</w:t>
            </w:r>
          </w:p>
        </w:tc>
        <w:tc>
          <w:tcPr/>
          <w:p>
            <w:pPr>
              <w:pStyle w:val="Compact"/>
              <w:jc w:val="left"/>
            </w:pPr>
            <w:r>
              <w:t xml:space="preserve">Participants et plan</w:t>
            </w:r>
          </w:p>
        </w:tc>
        <w:tc>
          <w:tcPr/>
          <w:p>
            <w:pPr>
              <w:pStyle w:val="Compact"/>
              <w:jc w:val="left"/>
            </w:pPr>
            <w:r>
              <w:t xml:space="preserve">Durée</w:t>
            </w:r>
          </w:p>
        </w:tc>
        <w:tc>
          <w:tcPr/>
          <w:p>
            <w:pPr>
              <w:pStyle w:val="Compact"/>
              <w:jc w:val="left"/>
            </w:pPr>
            <w:r>
              <w:t xml:space="preserve">Résultat</w:t>
            </w:r>
          </w:p>
        </w:tc>
      </w:tr>
      <w:tr>
        <w:tc>
          <w:tcPr/>
          <w:p>
            <w:pPr>
              <w:pStyle w:val="Compact"/>
              <w:jc w:val="left"/>
            </w:pPr>
            <w:r>
              <w:t xml:space="preserve">OASIS 1 (Knop 2023), PMID 37385278</w:t>
            </w:r>
          </w:p>
        </w:tc>
        <w:tc>
          <w:tcPr/>
          <w:p>
            <w:pPr>
              <w:pStyle w:val="Compact"/>
              <w:jc w:val="left"/>
            </w:pPr>
            <w:r>
              <w:t xml:space="preserve">667 adultes sans diabète, comprimé contre placebo</w:t>
            </w:r>
          </w:p>
        </w:tc>
        <w:tc>
          <w:tcPr/>
          <w:p>
            <w:pPr>
              <w:pStyle w:val="Compact"/>
              <w:jc w:val="left"/>
            </w:pPr>
            <w:r>
              <w:t xml:space="preserve">68 semaines</w:t>
            </w:r>
          </w:p>
        </w:tc>
        <w:tc>
          <w:tcPr/>
          <w:p>
            <w:pPr>
              <w:pStyle w:val="Compact"/>
              <w:jc w:val="left"/>
            </w:pPr>
            <w:r>
              <w:t xml:space="preserve">−15,1 % de poids vs −2,4 %</w:t>
            </w:r>
          </w:p>
        </w:tc>
      </w:tr>
      <w:tr>
        <w:tc>
          <w:tcPr/>
          <w:p>
            <w:pPr>
              <w:pStyle w:val="Compact"/>
              <w:jc w:val="left"/>
            </w:pPr>
            <w:r>
              <w:t xml:space="preserve">OASIS 4 (Wharton 2025), PMID 40934115</w:t>
            </w:r>
          </w:p>
        </w:tc>
        <w:tc>
          <w:tcPr/>
          <w:p>
            <w:pPr>
              <w:pStyle w:val="Compact"/>
              <w:jc w:val="left"/>
            </w:pPr>
            <w:r>
              <w:t xml:space="preserve">307 adultes sans diabète, dose de comprimé plus faible contre placebo</w:t>
            </w:r>
          </w:p>
        </w:tc>
        <w:tc>
          <w:tcPr/>
          <w:p>
            <w:pPr>
              <w:pStyle w:val="Compact"/>
              <w:jc w:val="left"/>
            </w:pPr>
            <w:r>
              <w:t xml:space="preserve">64 semaines</w:t>
            </w:r>
          </w:p>
        </w:tc>
        <w:tc>
          <w:tcPr/>
          <w:p>
            <w:pPr>
              <w:pStyle w:val="Compact"/>
              <w:jc w:val="left"/>
            </w:pPr>
            <w:r>
              <w:t xml:space="preserve">−13,6 % vs −2,2 %</w:t>
            </w:r>
          </w:p>
        </w:tc>
      </w:tr>
      <w:tr>
        <w:tc>
          <w:tcPr/>
          <w:p>
            <w:pPr>
              <w:pStyle w:val="Compact"/>
              <w:jc w:val="left"/>
            </w:pPr>
            <w:r>
              <w:t xml:space="preserve">Pour comparaison : STEP 1 (Wilding 2021), PMID 33567185</w:t>
            </w:r>
          </w:p>
        </w:tc>
        <w:tc>
          <w:tcPr/>
          <w:p>
            <w:pPr>
              <w:pStyle w:val="Compact"/>
              <w:jc w:val="left"/>
            </w:pPr>
            <w:r>
              <w:t xml:space="preserve">1 961 adultes sans diabète, injection hebdomadaire contre placebo</w:t>
            </w:r>
          </w:p>
        </w:tc>
        <w:tc>
          <w:tcPr/>
          <w:p>
            <w:pPr>
              <w:pStyle w:val="Compact"/>
              <w:jc w:val="left"/>
            </w:pPr>
            <w:r>
              <w:t xml:space="preserve">68 semaines</w:t>
            </w:r>
          </w:p>
        </w:tc>
        <w:tc>
          <w:tcPr/>
          <w:p>
            <w:pPr>
              <w:pStyle w:val="Compact"/>
              <w:jc w:val="left"/>
            </w:pPr>
            <w:r>
              <w:t xml:space="preserve">−14,9 % vs −2,4 %</w:t>
            </w:r>
          </w:p>
        </w:tc>
      </w:tr>
    </w:tbl>
    <w:p>
      <w:pPr>
        <w:pStyle w:val="BodyText"/>
      </w:pPr>
      <w:r>
        <w:t xml:space="preserve">Dans les deux études sur le comprimé, les troubles gastro-intestinaux étaient fréquents : 80 % contre 46 % sous placebo dans OASIS 1, 74,0 % contre 42,2 % dans OASIS 4. Selon le chapitre Sémaglutide, l’étude OASIS 4 constitue la base du comprimé de Wegovy autorisé aux États-Unis (vérifier le statut d’autorisation actuel). Une autre étude de phase 3 sur le comprimé est en cours (OASIS 5, NCT07770841, fin en avril 2028).</w:t>
      </w:r>
    </w:p>
    <w:p>
      <w:pPr>
        <w:pStyle w:val="BodyText"/>
      </w:pPr>
      <w:r>
        <w:t xml:space="preserve">Les chiffres sont proches de ceux de l’injection. Il manque toutefois une grande comparaison directe entre comprimé et injection dans l’obésité, et les comparaisons croisées entre études ne sont qu’une orientation grossière.</w:t>
      </w:r>
    </w:p>
    <w:p>
      <w:pPr>
        <w:pStyle w:val="BodyText"/>
      </w:pPr>
      <w:r>
        <w:rPr>
          <w:bCs/>
          <w:b/>
        </w:rPr>
        <w:t xml:space="preserve">Un inconvénient rarement mentionné :</w:t>
      </w:r>
      <w:r>
        <w:t xml:space="preserve"> </w:t>
      </w:r>
      <w:r>
        <w:t xml:space="preserve">comme seule une fraction est absorbée, le comprimé nécessite une quantité de substance active bien plus importante. Une estimation des coûts des génériques après l’expiration du brevet a abouti à 28 à 140 dollars américains par personne et par an pour le sémaglutide injecté, et à 186 à 380 dollars américains pour le comprimé</w:t>
      </w:r>
      <w:r>
        <w:rPr>
          <w:rStyle w:val="FootnoteReference"/>
        </w:rPr>
        <w:footnoteReference w:id="2871"/>
      </w:r>
      <w:r>
        <w:t xml:space="preserve">. Le comprimé n’est donc pas automatiquement la solution la moins chère (pour en savoir plus, voir le chapitre « Brevets, génériques et prix »).</w:t>
      </w:r>
    </w:p>
    <w:bookmarkEnd w:id="2872"/>
    <w:bookmarkStart w:id="2874" w:name="critères-cliniques-forts-soul"/>
    <w:p>
      <w:pPr>
        <w:pStyle w:val="Heading4"/>
      </w:pPr>
      <w:r>
        <w:t xml:space="preserve">Critères cliniques forts : SOUL</w:t>
      </w:r>
    </w:p>
    <w:p>
      <w:pPr>
        <w:pStyle w:val="FirstParagraph"/>
      </w:pPr>
      <w:r>
        <w:t xml:space="preserve">Pour le diabète de type 2, le bénéfice du comprimé de sémaglutide au-delà de la glycémie est démontré. Dans SOUL, portant sur 9 650 personnes atteintes de diabète de type 2 et de maladie vasculaire ou rénale, des événements cardiovasculaires graves sont survenus, sur une durée d’observation moyenne d’environ quatre ans, chez 12,0 % des personnes sous comprimé et chez 13,8 % sous placebo (hazard ratio 0,86). Les critères rénaux de confirmation ne différaient pas de manière significative</w:t>
      </w:r>
      <w:r>
        <w:rPr>
          <w:rStyle w:val="FootnoteReference"/>
        </w:rPr>
        <w:footnoteReference w:id="2873"/>
      </w:r>
      <w:r>
        <w:t xml:space="preserve">. Pour les personnes obèses sans diabète, une telle étude avec le comprimé n’existe pas encore.</w:t>
      </w:r>
    </w:p>
    <w:bookmarkEnd w:id="2874"/>
    <w:bookmarkStart w:id="2877" w:name="amyline-et-glp-1-en-comprimé"/>
    <w:p>
      <w:pPr>
        <w:pStyle w:val="Heading4"/>
      </w:pPr>
      <w:r>
        <w:t xml:space="preserve">Amyline et GLP-1 en comprimé</w:t>
      </w:r>
    </w:p>
    <w:p>
      <w:pPr>
        <w:pStyle w:val="FirstParagraph"/>
      </w:pPr>
      <w:r>
        <w:t xml:space="preserve">Novo Nordisk développe aussi l’amycrétine (zénagamtide depuis 2026) sous forme de comprimé. Selon la publication de l’étude, le peptide agit sur les récepteurs du GLP-1, de l’amyline et de la calcitonine. Dans une étude de phase 2 portant sur 186 adultes atteints de diabète de type 2, l’HbA1c a diminué après 36 semaines, dans les trois groupes de dose, de 0,5 à 1,1 point de pourcentage de plus que sous placebo. Des troubles gastro-intestinaux sont survenus selon la dose chez 26 à 47 % des participants (placebo 23 %) ; des événements indésirables graves ont touché 4 % des personnes sous zénagamtide et personne sous placebo</w:t>
      </w:r>
      <w:r>
        <w:rPr>
          <w:rStyle w:val="FootnoteReference"/>
        </w:rPr>
        <w:footnoteReference w:id="2875"/>
      </w:r>
      <w:r>
        <w:t xml:space="preserve">. L’étude de phase 3 AMAZE 9 teste le comprimé dans le surpoids chez 950 participants (NCT07720271, fin en août 2028). Une étude de phase 1 examine expressément comment la quantité d’eau et le moment du repas influencent l’absorption</w:t>
      </w:r>
      <w:r>
        <w:rPr>
          <w:rStyle w:val="FootnoteReference"/>
        </w:rPr>
        <w:footnoteReference w:id="2876"/>
      </w:r>
      <w:r>
        <w:t xml:space="preserve"> </w:t>
      </w:r>
      <w:r>
        <w:t xml:space="preserve">– un indice que ce comprimé sera lui aussi probablement soumis à des règles de prise.</w:t>
      </w:r>
    </w:p>
    <w:bookmarkEnd w:id="2877"/>
    <w:bookmarkStart w:id="2882" w:name="peptides-oraux-en-dehors-du-métabolisme"/>
    <w:p>
      <w:pPr>
        <w:pStyle w:val="Heading4"/>
      </w:pPr>
      <w:r>
        <w:t xml:space="preserve">Peptides oraux en dehors du métabolisme</w:t>
      </w:r>
    </w:p>
    <w:p>
      <w:pPr>
        <w:pStyle w:val="FirstParagraph"/>
      </w:pPr>
      <w:r>
        <w:t xml:space="preserve">La percée ne se limite pas aux médicaments amaigrissants. Deux exemples montrent que les peptides oraux deviennent une classe de médicaments à part entière :</w:t>
      </w:r>
    </w:p>
    <w:p>
      <w:pPr>
        <w:numPr>
          <w:ilvl w:val="0"/>
          <w:numId w:val="1358"/>
        </w:numPr>
        <w:pStyle w:val="Compact"/>
      </w:pPr>
      <w:r>
        <w:rPr>
          <w:bCs/>
          <w:b/>
        </w:rPr>
        <w:t xml:space="preserve">L’enlicitide</w:t>
      </w:r>
      <w:r>
        <w:t xml:space="preserve"> </w:t>
      </w:r>
      <w:r>
        <w:t xml:space="preserve">est un peptide cyclique (macrocyclique) qui inhibe la protéine PCSK9 et abaisse ainsi le cholestérol LDL. Jusqu’à présent, ces inhibiteurs n’existaient que sous forme injectable (anticorps). La substance a été découverte grâce à une méthode qui explore de très grandes bibliothèques de peptides à la recherche de partenaires de liaison adaptés, puis optimisée chimiquement de manière ciblée</w:t>
      </w:r>
      <w:r>
        <w:rPr>
          <w:rStyle w:val="FootnoteReference"/>
        </w:rPr>
        <w:footnoteReference w:id="2878"/>
      </w:r>
      <w:r>
        <w:t xml:space="preserve">. Dans l’étude de phase 3 CORALreef Lipids portant sur 2 909 participants, le cholestérol LDL a diminué de 57,1 % après 24 semaines, alors qu’il a augmenté de 3,0 % sous placebo. Les événements indésirables ont été aussi fréquents dans les deux groupes</w:t>
      </w:r>
      <w:r>
        <w:rPr>
          <w:rStyle w:val="FootnoteReference"/>
        </w:rPr>
        <w:footnoteReference w:id="2879"/>
      </w:r>
      <w:r>
        <w:t xml:space="preserve">. CORALreef Outcomes, portant sur 14 550 participants, doit montrer si cela prévient aussi les infarctus et les AVC (NCT06008756, fin en novembre 2031).</w:t>
      </w:r>
    </w:p>
    <w:p>
      <w:pPr>
        <w:numPr>
          <w:ilvl w:val="0"/>
          <w:numId w:val="1358"/>
        </w:numPr>
        <w:pStyle w:val="Compact"/>
      </w:pPr>
      <w:r>
        <w:rPr>
          <w:bCs/>
          <w:b/>
        </w:rPr>
        <w:t xml:space="preserve">L’icotrokinra</w:t>
      </w:r>
      <w:r>
        <w:t xml:space="preserve"> </w:t>
      </w:r>
      <w:r>
        <w:t xml:space="preserve">est un peptide oral qui bloque le récepteur du messager inflammatoire interleukine-23. Dans l’étude de phase 3 ICONIC-LEAD portant sur 684 adultes et adolescents atteints de psoriasis modéré à sévère, 65 % ont obtenu après 16 semaines une peau (quasi) blanchie, contre 8 % sous placebo ; les événements indésirables étaient aussi fréquents dans les deux groupes (49 %)</w:t>
      </w:r>
      <w:r>
        <w:rPr>
          <w:rStyle w:val="FootnoteReference"/>
        </w:rPr>
        <w:footnoteReference w:id="2880"/>
      </w:r>
      <w:r>
        <w:t xml:space="preserve">. En mars 2026, l’icotrokinra a été autorisé aux États-Unis ; dans l’UE, l’évaluation était en cours (Keam 2026, PMID 42243571 ; vérifier l’état actuel). Le chemin parcouru est remarquable : selon une étude pharmacologique, l’icotrokinra se passe</w:t>
      </w:r>
      <w:r>
        <w:t xml:space="preserve"> </w:t>
      </w:r>
      <w:r>
        <w:rPr>
          <w:bCs/>
          <w:b/>
        </w:rPr>
        <w:t xml:space="preserve">de</w:t>
      </w:r>
      <w:r>
        <w:t xml:space="preserve"> </w:t>
      </w:r>
      <w:r>
        <w:t xml:space="preserve">promoteur d’absorption. En expérimentation animale, seuls 0,1 à 0,3 % passaient dans le sang, et pourtant un effet était mesurable dans tout l’organisme, parce que le peptide est très stable et très puissant</w:t>
      </w:r>
      <w:r>
        <w:rPr>
          <w:rStyle w:val="FootnoteReference"/>
        </w:rPr>
        <w:footnoteReference w:id="2881"/>
      </w:r>
      <w:r>
        <w:t xml:space="preserve">. Des études dans la rectocolite hémorragique sont en cours (ICONIC-UC, NCT07196748).</w:t>
      </w:r>
    </w:p>
    <w:p>
      <w:pPr>
        <w:pStyle w:val="FirstParagraph"/>
      </w:pPr>
      <w:r>
        <w:t xml:space="preserve">Ces deux substances ne sont pas des peptides du marché gris, mais des molécules conçues sur mesure et testées pendant des années dans de grandes études. Elles n’ont rien en commun avec les peptides « oraux » proposés sur Internet.</w:t>
      </w:r>
    </w:p>
    <w:bookmarkEnd w:id="2882"/>
    <w:bookmarkEnd w:id="2883"/>
    <w:bookmarkStart w:id="2892" w:name="X768683c0c5d26fc5d0a5cd7615101f97b864917"/>
    <w:p>
      <w:pPr>
        <w:pStyle w:val="Heading3"/>
      </w:pPr>
      <w:r>
        <w:t xml:space="preserve">Voie 2 : de petites molécules au lieu de peptides</w:t>
      </w:r>
    </w:p>
    <w:bookmarkStart w:id="2889" w:name="orforglipron"/>
    <w:p>
      <w:pPr>
        <w:pStyle w:val="Heading4"/>
      </w:pPr>
      <w:r>
        <w:t xml:space="preserve">Orforglipron</w:t>
      </w:r>
    </w:p>
    <w:p>
      <w:pPr>
        <w:pStyle w:val="FirstParagraph"/>
      </w:pPr>
      <w:r>
        <w:t xml:space="preserve">L’orforglipron n’est pas un peptide, mais une petite molécule fabriquée chimiquement qui active le récepteur du GLP-1 (voir en détail le chapitre Orforglipron dans la partie II · A). Il se prend comme un comprimé ordinaire une fois par jour, selon les études sans tenir compte des repas ni de la quantité d’eau</w:t>
      </w:r>
      <w:r>
        <w:rPr>
          <w:rStyle w:val="FootnoteReference"/>
        </w:rPr>
        <w:footnoteReference w:id="2884"/>
      </w:r>
      <w:r>
        <w:t xml:space="preserve">.</w:t>
      </w:r>
    </w:p>
    <w:p>
      <w:pPr>
        <w:numPr>
          <w:ilvl w:val="0"/>
          <w:numId w:val="1359"/>
        </w:numPr>
        <w:pStyle w:val="Compact"/>
      </w:pPr>
      <w:r>
        <w:rPr>
          <w:bCs/>
          <w:b/>
        </w:rPr>
        <w:t xml:space="preserve">Poids :</w:t>
      </w:r>
      <w:r>
        <w:t xml:space="preserve"> </w:t>
      </w:r>
      <w:r>
        <w:t xml:space="preserve">dans ATTAIN-1, portant sur 3 127 adultes obèses, le poids a diminué de 11,2 % après 72 semaines à la dose la plus élevée, contre 2,1 % sous placebo. En raison d’effets indésirables, 5,3 à 10,3 % des participants ont arrêté (placebo 2,7 %)</w:t>
      </w:r>
      <w:r>
        <w:rPr>
          <w:rStyle w:val="FootnoteReference"/>
        </w:rPr>
        <w:footnoteReference w:id="2885"/>
      </w:r>
      <w:r>
        <w:t xml:space="preserve">.</w:t>
      </w:r>
    </w:p>
    <w:p>
      <w:pPr>
        <w:numPr>
          <w:ilvl w:val="0"/>
          <w:numId w:val="1359"/>
        </w:numPr>
        <w:pStyle w:val="Compact"/>
      </w:pPr>
      <w:r>
        <w:rPr>
          <w:bCs/>
          <w:b/>
        </w:rPr>
        <w:t xml:space="preserve">Glycémie :</w:t>
      </w:r>
      <w:r>
        <w:t xml:space="preserve"> </w:t>
      </w:r>
      <w:r>
        <w:t xml:space="preserve">dans la comparaison ouverte avec le comprimé de sémaglutide (ACHIEVE-3, 1 698 participants), l’orforglipron a davantage abaissé l’HbA1c après 52 semaines, de 1,91 contre 1,47 point de pourcentage aux doses les plus élevées respectives</w:t>
      </w:r>
      <w:r>
        <w:rPr>
          <w:rStyle w:val="FootnoteReference"/>
        </w:rPr>
        <w:footnoteReference w:id="2886"/>
      </w:r>
      <w:r>
        <w:t xml:space="preserve">.</w:t>
      </w:r>
    </w:p>
    <w:p>
      <w:pPr>
        <w:numPr>
          <w:ilvl w:val="0"/>
          <w:numId w:val="1359"/>
        </w:numPr>
        <w:pStyle w:val="Compact"/>
      </w:pPr>
      <w:r>
        <w:rPr>
          <w:bCs/>
          <w:b/>
        </w:rPr>
        <w:t xml:space="preserve">Maintien du poids :</w:t>
      </w:r>
      <w:r>
        <w:t xml:space="preserve"> </w:t>
      </w:r>
      <w:r>
        <w:t xml:space="preserve">dans ATTAIN-MAINTAIN, des participants sont passés, après un amaigrissement obtenu avec du tirzépatide ou du sémaglutide injecté, à l’orforglipron ou à un placebo. Après 52 semaines, ils conservaient avec l’orforglipron 74,7 % ou 79,3 % de leur perte de poids, contre 49,2 % ou 37,6 % avec le placebo. Il n’y avait pas de groupe poursuivant simplement l’injection ; les autrices et auteurs citent eux-mêmes cette limite</w:t>
      </w:r>
      <w:r>
        <w:rPr>
          <w:rStyle w:val="FootnoteReference"/>
        </w:rPr>
        <w:footnoteReference w:id="2887"/>
      </w:r>
      <w:r>
        <w:t xml:space="preserve">.</w:t>
      </w:r>
    </w:p>
    <w:p>
      <w:pPr>
        <w:numPr>
          <w:ilvl w:val="0"/>
          <w:numId w:val="1359"/>
        </w:numPr>
        <w:pStyle w:val="Compact"/>
      </w:pPr>
      <w:r>
        <w:rPr>
          <w:bCs/>
          <w:b/>
        </w:rPr>
        <w:t xml:space="preserve">Foie :</w:t>
      </w:r>
      <w:r>
        <w:t xml:space="preserve"> </w:t>
      </w:r>
      <w:r>
        <w:t xml:space="preserve">pour les petites molécules agissant sur le GLP-1, les valeurs hépatiques étaient une préoccupation particulière. Une analyse groupée de sept études de phase 3 portant sur 11 220 participants n’a trouvé pour l’orforglipron aucun cas répondant aux critères d’une atteinte hépatique d’origine médicamenteuse</w:t>
      </w:r>
      <w:r>
        <w:rPr>
          <w:rStyle w:val="FootnoteReference"/>
        </w:rPr>
        <w:footnoteReference w:id="2888"/>
      </w:r>
      <w:r>
        <w:t xml:space="preserve">.</w:t>
      </w:r>
    </w:p>
    <w:bookmarkEnd w:id="2889"/>
    <w:bookmarkStart w:id="2891" w:name="X7bb833365c8088e8c399edc8e0c02eefc21014d"/>
    <w:p>
      <w:pPr>
        <w:pStyle w:val="Heading4"/>
      </w:pPr>
      <w:r>
        <w:t xml:space="preserve">Toutes les petites molécules ne réussissent pas</w:t>
      </w:r>
    </w:p>
    <w:p>
      <w:pPr>
        <w:pStyle w:val="FirstParagraph"/>
      </w:pPr>
      <w:r>
        <w:t xml:space="preserve">Le</w:t>
      </w:r>
      <w:r>
        <w:t xml:space="preserve"> </w:t>
      </w:r>
      <w:r>
        <w:rPr>
          <w:bCs/>
          <w:b/>
        </w:rPr>
        <w:t xml:space="preserve">danuglipron</w:t>
      </w:r>
      <w:r>
        <w:t xml:space="preserve"> </w:t>
      </w:r>
      <w:r>
        <w:t xml:space="preserve">de Pfizer montre que la voie est difficile. Dans une étude de phase 2b portant sur 628 adultes obèses, dans laquelle les comprimés étaient pris deux fois par jour, le poids a certes diminué nettement plus que sous placebo, mais seuls 39,3 % ont terminé le traitement ; environ 38 % ont arrêté en raison d’effets indésirables</w:t>
      </w:r>
      <w:r>
        <w:rPr>
          <w:rStyle w:val="FootnoteReference"/>
        </w:rPr>
        <w:footnoteReference w:id="2890"/>
      </w:r>
      <w:r>
        <w:t xml:space="preserve">. Selon les communications du fabricant, le développement a été abandonné. D’autres entreprises développent leurs propres comprimés ; AstraZeneca, par exemple, teste la substance élécoglipron dans une étude de phase 3 contre le comprimé de sémaglutide (Eluminate-2, NCT07662213).</w:t>
      </w:r>
    </w:p>
    <w:bookmarkEnd w:id="2891"/>
    <w:bookmarkEnd w:id="2892"/>
    <w:bookmarkStart w:id="2894" w:name="X1e333d4f72daedde583768fbd7e205660439e3b"/>
    <w:p>
      <w:pPr>
        <w:pStyle w:val="Heading3"/>
      </w:pPr>
      <w:r>
        <w:t xml:space="preserve">Comprimé peptidique ou petite molécule : une comparaison</w:t>
      </w:r>
    </w:p>
    <w:p>
      <w:pPr>
        <w:pStyle w:val="FirstParagraph"/>
      </w:pPr>
      <w:r>
        <w:t xml:space="preserve">Une comparaison directe du comprimé de sémaglutide et de l’orforglipron dans l’obésité fait défaut. Une analyse les a comparés indirectement en confrontant les données individuelles d’OASIS 4 aux données globales publiées d’ATTAIN-1. Selon celle-ci, la perte de poids était supérieure d’environ 3 points de pourcentage avec le comprimé de sémaglutide, et les arrêts pour effets indésirables étaient plus fréquents sous orforglipron</w:t>
      </w:r>
      <w:r>
        <w:rPr>
          <w:rStyle w:val="FootnoteReference"/>
        </w:rPr>
        <w:footnoteReference w:id="2893"/>
      </w:r>
      <w:r>
        <w:t xml:space="preserve">. Ces comparaisons indirectes doivent être lues avec prudence : les données individuelles n’étaient disponibles que pour l’une des deux études, à savoir celle du programme sémaglutide.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Caractéristique</w:t>
            </w:r>
          </w:p>
        </w:tc>
        <w:tc>
          <w:tcPr/>
          <w:p>
            <w:pPr>
              <w:pStyle w:val="Compact"/>
              <w:jc w:val="left"/>
            </w:pPr>
            <w:r>
              <w:t xml:space="preserve">Peptide injectable</w:t>
            </w:r>
          </w:p>
        </w:tc>
        <w:tc>
          <w:tcPr/>
          <w:p>
            <w:pPr>
              <w:pStyle w:val="Compact"/>
              <w:jc w:val="left"/>
            </w:pPr>
            <w:r>
              <w:t xml:space="preserve">Peptide en comprimé</w:t>
            </w:r>
          </w:p>
        </w:tc>
        <w:tc>
          <w:tcPr/>
          <w:p>
            <w:pPr>
              <w:pStyle w:val="Compact"/>
              <w:jc w:val="left"/>
            </w:pPr>
            <w:r>
              <w:t xml:space="preserve">Petite molécule</w:t>
            </w:r>
          </w:p>
        </w:tc>
      </w:tr>
      <w:tr>
        <w:tc>
          <w:tcPr/>
          <w:p>
            <w:pPr>
              <w:pStyle w:val="Compact"/>
              <w:jc w:val="left"/>
            </w:pPr>
            <w:r>
              <w:t xml:space="preserve">Exemple</w:t>
            </w:r>
          </w:p>
        </w:tc>
        <w:tc>
          <w:tcPr/>
          <w:p>
            <w:pPr>
              <w:pStyle w:val="Compact"/>
              <w:jc w:val="left"/>
            </w:pPr>
            <w:r>
              <w:t xml:space="preserve">Sémaglutide, tirzépatide</w:t>
            </w:r>
          </w:p>
        </w:tc>
        <w:tc>
          <w:tcPr/>
          <w:p>
            <w:pPr>
              <w:pStyle w:val="Compact"/>
              <w:jc w:val="left"/>
            </w:pPr>
            <w:r>
              <w:t xml:space="preserve">Sémaglutide en comprimé, zénagamtide en comprimé</w:t>
            </w:r>
          </w:p>
        </w:tc>
        <w:tc>
          <w:tcPr/>
          <w:p>
            <w:pPr>
              <w:pStyle w:val="Compact"/>
              <w:jc w:val="left"/>
            </w:pPr>
            <w:r>
              <w:t xml:space="preserve">Orforglipron</w:t>
            </w:r>
          </w:p>
        </w:tc>
      </w:tr>
      <w:tr>
        <w:tc>
          <w:tcPr/>
          <w:p>
            <w:pPr>
              <w:pStyle w:val="Compact"/>
              <w:jc w:val="left"/>
            </w:pPr>
            <w:r>
              <w:t xml:space="preserve">Prise</w:t>
            </w:r>
          </w:p>
        </w:tc>
        <w:tc>
          <w:tcPr/>
          <w:p>
            <w:pPr>
              <w:pStyle w:val="Compact"/>
              <w:jc w:val="left"/>
            </w:pPr>
            <w:r>
              <w:t xml:space="preserve">hebdomadaire à mensuelle</w:t>
            </w:r>
          </w:p>
        </w:tc>
        <w:tc>
          <w:tcPr/>
          <w:p>
            <w:pPr>
              <w:pStyle w:val="Compact"/>
              <w:jc w:val="left"/>
            </w:pPr>
            <w:r>
              <w:t xml:space="preserve">quotidienne, à jeun, avec règles de prise</w:t>
            </w:r>
          </w:p>
        </w:tc>
        <w:tc>
          <w:tcPr/>
          <w:p>
            <w:pPr>
              <w:pStyle w:val="Compact"/>
              <w:jc w:val="left"/>
            </w:pPr>
            <w:r>
              <w:t xml:space="preserve">quotidienne, sans règles liées aux repas</w:t>
            </w:r>
          </w:p>
        </w:tc>
      </w:tr>
      <w:tr>
        <w:tc>
          <w:tcPr/>
          <w:p>
            <w:pPr>
              <w:pStyle w:val="Compact"/>
              <w:jc w:val="left"/>
            </w:pPr>
            <w:r>
              <w:t xml:space="preserve">Besoin en substance active</w:t>
            </w:r>
          </w:p>
        </w:tc>
        <w:tc>
          <w:tcPr/>
          <w:p>
            <w:pPr>
              <w:pStyle w:val="Compact"/>
              <w:jc w:val="left"/>
            </w:pPr>
            <w:r>
              <w:t xml:space="preserve">faible</w:t>
            </w:r>
          </w:p>
        </w:tc>
        <w:tc>
          <w:tcPr/>
          <w:p>
            <w:pPr>
              <w:pStyle w:val="Compact"/>
              <w:jc w:val="left"/>
            </w:pPr>
            <w:r>
              <w:t xml:space="preserve">très élevé (absorption d’environ 1 %)</w:t>
            </w:r>
          </w:p>
        </w:tc>
        <w:tc>
          <w:tcPr/>
          <w:p>
            <w:pPr>
              <w:pStyle w:val="Compact"/>
              <w:jc w:val="left"/>
            </w:pPr>
            <w:r>
              <w:t xml:space="preserve">normal pour des comprimés</w:t>
            </w:r>
          </w:p>
        </w:tc>
      </w:tr>
      <w:tr>
        <w:tc>
          <w:tcPr/>
          <w:p>
            <w:pPr>
              <w:pStyle w:val="Compact"/>
              <w:jc w:val="left"/>
            </w:pPr>
            <w:r>
              <w:t xml:space="preserve">Perte de poids dans les études</w:t>
            </w:r>
          </w:p>
        </w:tc>
        <w:tc>
          <w:tcPr/>
          <w:p>
            <w:pPr>
              <w:pStyle w:val="Compact"/>
              <w:jc w:val="left"/>
            </w:pPr>
            <w:r>
              <w:t xml:space="preserve">la plus élevée</w:t>
            </w:r>
          </w:p>
        </w:tc>
        <w:tc>
          <w:tcPr/>
          <w:p>
            <w:pPr>
              <w:pStyle w:val="Compact"/>
              <w:jc w:val="left"/>
            </w:pPr>
            <w:r>
              <w:t xml:space="preserve">semblable à celle du sémaglutide injectable</w:t>
            </w:r>
          </w:p>
        </w:tc>
        <w:tc>
          <w:tcPr/>
          <w:p>
            <w:pPr>
              <w:pStyle w:val="Compact"/>
              <w:jc w:val="left"/>
            </w:pPr>
            <w:r>
              <w:t xml:space="preserve">un peu plus faible</w:t>
            </w:r>
          </w:p>
        </w:tc>
      </w:tr>
      <w:tr>
        <w:tc>
          <w:tcPr/>
          <w:p>
            <w:pPr>
              <w:pStyle w:val="Compact"/>
              <w:jc w:val="left"/>
            </w:pPr>
            <w:r>
              <w:t xml:space="preserve">Dégradation, interactions</w:t>
            </w:r>
          </w:p>
        </w:tc>
        <w:tc>
          <w:tcPr/>
          <w:p>
            <w:pPr>
              <w:pStyle w:val="Compact"/>
              <w:jc w:val="left"/>
            </w:pPr>
            <w:r>
              <w:t xml:space="preserve">comme une protéine, peu d’interactions</w:t>
            </w:r>
          </w:p>
        </w:tc>
        <w:tc>
          <w:tcPr/>
          <w:p>
            <w:pPr>
              <w:pStyle w:val="Compact"/>
              <w:jc w:val="left"/>
            </w:pPr>
            <w:r>
              <w:t xml:space="preserve">comme une protéine</w:t>
            </w:r>
          </w:p>
        </w:tc>
        <w:tc>
          <w:tcPr/>
          <w:p>
            <w:pPr>
              <w:pStyle w:val="Compact"/>
              <w:jc w:val="left"/>
            </w:pPr>
            <w:r>
              <w:t xml:space="preserve">par des enzymes hépatiques, interactions possibles</w:t>
            </w:r>
          </w:p>
        </w:tc>
      </w:tr>
      <w:tr>
        <w:tc>
          <w:tcPr/>
          <w:p>
            <w:pPr>
              <w:pStyle w:val="Compact"/>
              <w:jc w:val="left"/>
            </w:pPr>
            <w:r>
              <w:t xml:space="preserve">Critères cliniques forts</w:t>
            </w:r>
          </w:p>
        </w:tc>
        <w:tc>
          <w:tcPr/>
          <w:p>
            <w:pPr>
              <w:pStyle w:val="Compact"/>
              <w:jc w:val="left"/>
            </w:pPr>
            <w:r>
              <w:t xml:space="preserve">démontrés pour plusieurs substances</w:t>
            </w:r>
          </w:p>
        </w:tc>
        <w:tc>
          <w:tcPr/>
          <w:p>
            <w:pPr>
              <w:pStyle w:val="Compact"/>
              <w:jc w:val="left"/>
            </w:pPr>
            <w:r>
              <w:t xml:space="preserve">démontrés dans le diabète de type 2 (SOUL)</w:t>
            </w:r>
          </w:p>
        </w:tc>
        <w:tc>
          <w:tcPr/>
          <w:p>
            <w:pPr>
              <w:pStyle w:val="Compact"/>
              <w:jc w:val="left"/>
            </w:pPr>
            <w:r>
              <w:t xml:space="preserve">étude de critères cliniques en cours jusqu’en 2031</w:t>
            </w:r>
          </w:p>
        </w:tc>
      </w:tr>
    </w:tbl>
    <w:p>
      <w:pPr>
        <w:pStyle w:val="BodyText"/>
      </w:pPr>
      <w:r>
        <w:t xml:space="preserve">Le point « interactions » mérite une explication : les peptides sont dégradés dans l’organisme comme les autres protéines. Les petites molécules comme l’orforglipron sont en revanche métabolisées par des enzymes hépatiques, par lesquelles passent aussi de nombreux autres médicaments. C’est pourquoi de nombreuses études d’interactions ont été menées pour l’orforglipron (voir le chapitre Orforglipron).</w:t>
      </w:r>
    </w:p>
    <w:bookmarkEnd w:id="2894"/>
    <w:bookmarkStart w:id="2900" w:name="questions-ouvertes"/>
    <w:p>
      <w:pPr>
        <w:pStyle w:val="Heading3"/>
      </w:pPr>
      <w:r>
        <w:t xml:space="preserve">Questions ouvertes</w:t>
      </w:r>
    </w:p>
    <w:p>
      <w:pPr>
        <w:pStyle w:val="FirstParagraph"/>
      </w:pPr>
      <w:r>
        <w:rPr>
          <w:bCs/>
          <w:b/>
        </w:rPr>
        <w:t xml:space="preserve">Prend-on un comprimé quotidien plus fidèlement qu’une injection hebdomadaire ?</w:t>
      </w:r>
      <w:r>
        <w:t xml:space="preserve"> </w:t>
      </w:r>
      <w:r>
        <w:t xml:space="preserve">C’est loin d’être acquis. Une personne qui échange une injection par semaine contre sept comprimés a sept occasions par semaine d’oublier une dose. Pour le comprimé de sémaglutide s’ajoute le fait qu’un repas pris trop tôt peut pratiquement empêcher l’absorption</w:t>
      </w:r>
      <w:r>
        <w:rPr>
          <w:rStyle w:val="FootnoteReference"/>
        </w:rPr>
        <w:footnoteReference w:id="2895"/>
      </w:r>
      <w:r>
        <w:t xml:space="preserve">. Les études d’autorisation, avec leurs participants étroitement suivis, ne montrent pas l’effet que cela a sur l’efficacité dans la vie quotidienne.</w:t>
      </w:r>
    </w:p>
    <w:p>
      <w:pPr>
        <w:pStyle w:val="BodyText"/>
      </w:pPr>
      <w:r>
        <w:rPr>
          <w:bCs/>
          <w:b/>
        </w:rPr>
        <w:t xml:space="preserve">Existe-t-il des critères cliniques forts pour les comprimés dans l’obésité ?</w:t>
      </w:r>
      <w:r>
        <w:t xml:space="preserve"> </w:t>
      </w:r>
      <w:r>
        <w:t xml:space="preserve">Pas encore. SOUL portait sur des personnes atteintes de diabète de type 2. L’étude cardiovasculaire sur l’orforglipron se poursuit jusqu’en 2031</w:t>
      </w:r>
      <w:r>
        <w:rPr>
          <w:rStyle w:val="FootnoteReference"/>
        </w:rPr>
        <w:footnoteReference w:id="2896"/>
      </w:r>
      <w:r>
        <w:t xml:space="preserve">, et l’orforglipron est même testé chez des personnes en surpoids afin de prévenir la progression vers l’obésité ou vers des maladies associées (ATTAIN-NOW, NCT07794579, 2 001 participants, fin en septembre 2030).</w:t>
      </w:r>
    </w:p>
    <w:p>
      <w:pPr>
        <w:pStyle w:val="BodyText"/>
      </w:pPr>
      <w:r>
        <w:rPr>
          <w:bCs/>
          <w:b/>
        </w:rPr>
        <w:t xml:space="preserve">Le comprimé est-il le traitement d’entretien ?</w:t>
      </w:r>
      <w:r>
        <w:t xml:space="preserve"> </w:t>
      </w:r>
      <w:r>
        <w:t xml:space="preserve">ATTAIN-MAINTAIN suggère que le passage de l’injection à un comprimé peut préserver une grande partie de la perte de poids. Il n’a pas été vérifié si c’est aussi efficace que de poursuivre l’injection.</w:t>
      </w:r>
    </w:p>
    <w:p>
      <w:pPr>
        <w:pStyle w:val="BodyText"/>
      </w:pPr>
      <w:r>
        <w:rPr>
          <w:bCs/>
          <w:b/>
        </w:rPr>
        <w:t xml:space="preserve">Les comprimés deviendront-ils moins chers ?</w:t>
      </w:r>
      <w:r>
        <w:t xml:space="preserve"> </w:t>
      </w:r>
      <w:r>
        <w:t xml:space="preserve">Pour les petites molécules, c’est plausible, car elles sont fabriquées par des procédés chimiques standard. Pour les comprimés peptidiques, l’estimation des coûts plaide plutôt en sens inverse, car ils nécessitent beaucoup plus de substance active</w:t>
      </w:r>
      <w:r>
        <w:rPr>
          <w:rStyle w:val="FootnoteReference"/>
        </w:rPr>
        <w:footnoteReference w:id="2897"/>
      </w:r>
      <w:r>
        <w:t xml:space="preserve">. Les prix concrets en Europe restent ouverts.</w:t>
      </w:r>
    </w:p>
    <w:p>
      <w:pPr>
        <w:pStyle w:val="BodyText"/>
      </w:pPr>
      <w:r>
        <w:rPr>
          <w:bCs/>
          <w:b/>
        </w:rPr>
        <w:t xml:space="preserve">Qu’en est-il des gouttes, comprimés orodispersibles et sprays nasaux vendus sur Internet ?</w:t>
      </w:r>
      <w:r>
        <w:t xml:space="preserve"> </w:t>
      </w:r>
      <w:r>
        <w:t xml:space="preserve">La prudence est de mise. Une étude de préparations magistrales fabriquées aux États-Unis a trouvé des préparations de sémaglutide ou de tirzépatide à usage sublingual et sous forme de comprimés orodispersibles, pour lesquelles il n’existe aucune preuve d’efficacité ni de sécurité</w:t>
      </w:r>
      <w:r>
        <w:rPr>
          <w:rStyle w:val="FootnoteReference"/>
        </w:rPr>
        <w:footnoteReference w:id="2898"/>
      </w:r>
      <w:r>
        <w:t xml:space="preserve">. Dans une analyse de laboratoire, des copies de sémaglutide oral contenaient parfois nettement moins de substance active qu’indiqué et libéraient la substance active et le SNAC différemment de l’original</w:t>
      </w:r>
      <w:r>
        <w:rPr>
          <w:rStyle w:val="FootnoteReference"/>
        </w:rPr>
        <w:footnoteReference w:id="2899"/>
      </w:r>
      <w:r>
        <w:t xml:space="preserve">. Un peptide vendu « en comprimé » n’est guère absorbé sans formulation éprouvée – cela vaut pour le sémaglutide comme pour le BPC-157 ou d’autres peptides du marché gris.</w:t>
      </w:r>
    </w:p>
    <w:bookmarkEnd w:id="2900"/>
    <w:bookmarkStart w:id="2901" w:name="appréciation-de-lauteur"/>
    <w:p>
      <w:pPr>
        <w:pStyle w:val="Heading3"/>
      </w:pPr>
      <w:r>
        <w:t xml:space="preserve">Appréciation de l’auteur</w:t>
      </w:r>
    </w:p>
    <w:p>
      <w:pPr>
        <w:pStyle w:val="FirstParagraph"/>
      </w:pPr>
      <w:r>
        <w:t xml:space="preserve">L’injection ne disparaîtra pas, mais son monopole est terminé. Pour la phase de forte perte de poids, les substances injectées devraient rester en tête au cours des prochaines années, parce qu’elles ont l’effet le plus important dans les études et que les données cardiovasculaires portent jusqu’à présent presque exclusivement sur elles. Pour l’entretien sur plusieurs années, pour les personnes qui ont peur des injections et pour les pays sans chaîne du froid fiable, les comprimés constituent en revanche un véritable progrès. La question de savoir si ce sont plutôt les comprimés peptidiques ou les petites molécules qui s’imposeront se décidera moins sur l’efficacité que sur le prix, le confort de prise et la sécurité à long terme. C’est une appréciation ; seul est établi le fait que les deux voies sont testées dans de grandes études de phase 3.</w:t>
      </w:r>
    </w:p>
    <w:bookmarkEnd w:id="2901"/>
    <w:bookmarkStart w:id="2902" w:name="lessentiel-en-bref-9"/>
    <w:p>
      <w:pPr>
        <w:pStyle w:val="Heading3"/>
      </w:pPr>
      <w:r>
        <w:t xml:space="preserve">L’essentiel en bref</w:t>
      </w:r>
    </w:p>
    <w:p>
      <w:pPr>
        <w:numPr>
          <w:ilvl w:val="0"/>
          <w:numId w:val="1360"/>
        </w:numPr>
        <w:pStyle w:val="Compact"/>
      </w:pPr>
      <w:r>
        <w:t xml:space="preserve">Les peptides en comprimé ne fonctionnent qu’au prix d’un effort technique considérable. Avec le comprimé de sémaglutide, environ 1 % de la substance active passe dans le sang ; il obtient néanmoins dans les études des pertes de poids semblables à celles de l’injection.</w:t>
      </w:r>
    </w:p>
    <w:p>
      <w:pPr>
        <w:numPr>
          <w:ilvl w:val="0"/>
          <w:numId w:val="1360"/>
        </w:numPr>
        <w:pStyle w:val="Compact"/>
      </w:pPr>
      <w:r>
        <w:t xml:space="preserve">Les petites molécules comme l’orforglipron contournent le problème, mais ont entraîné dans les études une perte de poids un peu plus faible et sont dégradées par des enzymes hépatiques.</w:t>
      </w:r>
    </w:p>
    <w:p>
      <w:pPr>
        <w:numPr>
          <w:ilvl w:val="0"/>
          <w:numId w:val="1360"/>
        </w:numPr>
        <w:pStyle w:val="Compact"/>
      </w:pPr>
      <w:r>
        <w:t xml:space="preserve">Les peptides oraux deviennent aussi, en dehors du métabolisme, une classe de médicaments à part entière, par exemple contre l’hypercholestérolémie (enlicitide) et le psoriasis (icotrokinra).</w:t>
      </w:r>
    </w:p>
    <w:p>
      <w:pPr>
        <w:numPr>
          <w:ilvl w:val="0"/>
          <w:numId w:val="1360"/>
        </w:numPr>
        <w:pStyle w:val="Compact"/>
      </w:pPr>
      <w:r>
        <w:t xml:space="preserve">Restent ouverts les données à long terme, les critères cliniques forts dans l’obésité, l’observance dans la vie quotidienne et les prix.</w:t>
      </w:r>
    </w:p>
    <w:p>
      <w:pPr>
        <w:numPr>
          <w:ilvl w:val="0"/>
          <w:numId w:val="1360"/>
        </w:numPr>
        <w:pStyle w:val="Compact"/>
      </w:pPr>
      <w:r>
        <w:t xml:space="preserve">Les médicaments ne doivent être utilisés que sous accompagnement médical et conformément au RCP ; les peptides « oraux » du marché gris n’ont rien à voir avec ces évolutions.</w:t>
      </w:r>
    </w:p>
    <w:bookmarkEnd w:id="2902"/>
    <w:bookmarkEnd w:id="2903"/>
    <w:bookmarkStart w:id="2930" w:name="brevets-génériques-et-prix"/>
    <w:p>
      <w:pPr>
        <w:pStyle w:val="Heading2"/>
      </w:pPr>
      <w:r>
        <w:t xml:space="preserve">Brevets, génériques et prix</w:t>
      </w:r>
    </w:p>
    <w:p>
      <w:pPr>
        <w:pStyle w:val="FirstParagraph"/>
      </w:pPr>
      <w:r>
        <w:t xml:space="preserve">Ce sont les études qui déterminent si un médicament agit. Ce sont les brevets, les prix, les chaînes d’approvisionnement et les caisses d’assurance maladie qui déterminent s’il parvient aux personnes. Pour les médicaments GLP-1, cette seconde partie de l’histoire est presque aussi spectaculaire que la première : pénuries, marché des copies préparées en pharmacie aux États-Unis, contrefaçons dans le monde entier – et, en 2026, l’expiration des premiers brevets du sémaglutide dans de grands pays.</w:t>
      </w:r>
    </w:p>
    <w:p>
      <w:pPr>
        <w:pStyle w:val="BodyText"/>
      </w:pPr>
      <w:r>
        <w:rPr>
          <w:bCs/>
          <w:b/>
        </w:rPr>
        <w:t xml:space="preserve">Une remarque importante en préambule :</w:t>
      </w:r>
      <w:r>
        <w:t xml:space="preserve"> </w:t>
      </w:r>
      <w:r>
        <w:t xml:space="preserve">les prix, la durée des brevets et les règles de remboursement évoluent rapidement et ne sont que partiellement documentés dans des travaux scientifiques. Lorsque ce chapitre donne des indications sans référence à une étude, elles sont signalées par « état 2026, à vérifier ». Aucun prix concret en euros n’est délibérément indiqué, car ils varient selon le pays, le conditionnement et le moment.</w:t>
      </w:r>
    </w:p>
    <w:bookmarkStart w:id="2905" w:name="X16086a64b7eddb197d130626874fabb329986d9"/>
    <w:p>
      <w:pPr>
        <w:pStyle w:val="Heading3"/>
      </w:pPr>
      <w:r>
        <w:t xml:space="preserve">Brevets, génériques et biosimilaires : les notions</w:t>
      </w:r>
    </w:p>
    <w:p>
      <w:pPr>
        <w:pStyle w:val="FirstParagraph"/>
      </w:pPr>
      <w:r>
        <w:t xml:space="preserve">Un</w:t>
      </w:r>
      <w:r>
        <w:t xml:space="preserve"> </w:t>
      </w:r>
      <w:r>
        <w:rPr>
          <w:bCs/>
          <w:b/>
        </w:rPr>
        <w:t xml:space="preserve">brevet</w:t>
      </w:r>
      <w:r>
        <w:t xml:space="preserve"> </w:t>
      </w:r>
      <w:r>
        <w:t xml:space="preserve">confère au fabricant, pour une durée limitée, le droit exclusif de vendre une substance active. Dans l’UE et aux États-Unis, la durée de base est de 20 ans à compter du dépôt ; comme le développement prend de nombreuses années, elle peut être prolongée de jusqu’à cinq ans pour les médicaments par un certificat complémentaire de protection. Outre le brevet sur la substance active elle-même, il existe souvent d’autres brevets sur les procédés de fabrication, les formes galéniques ou les stylos.</w:t>
      </w:r>
    </w:p>
    <w:p>
      <w:pPr>
        <w:pStyle w:val="BodyText"/>
      </w:pPr>
      <w:r>
        <w:t xml:space="preserve">À l’expiration de la protection, d’autres fabricants peuvent proposer des copies :</w:t>
      </w:r>
    </w:p>
    <w:p>
      <w:pPr>
        <w:numPr>
          <w:ilvl w:val="0"/>
          <w:numId w:val="1361"/>
        </w:numPr>
        <w:pStyle w:val="Compact"/>
      </w:pPr>
      <w:r>
        <w:rPr>
          <w:bCs/>
          <w:b/>
        </w:rPr>
        <w:t xml:space="preserve">Les génériques</w:t>
      </w:r>
      <w:r>
        <w:t xml:space="preserve"> </w:t>
      </w:r>
      <w:r>
        <w:t xml:space="preserve">sont des copies de substances actives fabriquées chimiquement. Ils doivent montrer qu’ils contiennent la même substance active et qu’elle est disponible de la même façon dans l’organisme ; de nouvelles grandes études d’efficacité ne sont pas nécessaires.</w:t>
      </w:r>
    </w:p>
    <w:p>
      <w:pPr>
        <w:numPr>
          <w:ilvl w:val="0"/>
          <w:numId w:val="1361"/>
        </w:numPr>
        <w:pStyle w:val="Compact"/>
      </w:pPr>
      <w:r>
        <w:rPr>
          <w:bCs/>
          <w:b/>
        </w:rPr>
        <w:t xml:space="preserve">Les biosimilaires</w:t>
      </w:r>
      <w:r>
        <w:t xml:space="preserve"> </w:t>
      </w:r>
      <w:r>
        <w:t xml:space="preserve">succèdent à des substances actives produites par voie biologique, par exemple des anticorps ou des protéines de fusion. Comme la production biologique ne fournit jamais des molécules tout à fait identiques, leur autorisation est plus exigeante.</w:t>
      </w:r>
    </w:p>
    <w:p>
      <w:pPr>
        <w:pStyle w:val="FirstParagraph"/>
      </w:pPr>
      <w:r>
        <w:t xml:space="preserve">Les peptides courts comme le liraglutide ou le sémaglutide se situent entre les deux : ils peuvent être fabriqués par génie génétique ou par voie chimique. Cela a des conséquences pratiques. Une analyse de laboratoire a comparé 16 copies injectables et 8 copies orales de sémaglutide ainsi que 2 copies de liraglutide aux originaux. Elle a trouvé de nouvelles impuretés, une quantité de substance active nettement inférieure à celle indiquée pour plusieurs comprimés de sémaglutide et, pour le liraglutide, une tendance plus marquée à l’agrégation</w:t>
      </w:r>
      <w:r>
        <w:rPr>
          <w:rStyle w:val="FootnoteReference"/>
        </w:rPr>
        <w:footnoteReference w:id="2904"/>
      </w:r>
      <w:r>
        <w:t xml:space="preserve">. Selon les autrices et auteurs, on ignore si ces différences ont une signification clinique. L’analyse montre toutefois pourquoi les autorités examinent de près les copies de peptides.</w:t>
      </w:r>
    </w:p>
    <w:bookmarkEnd w:id="2905"/>
    <w:bookmarkStart w:id="2907" w:name="Xc49d37cb82ef49a6ea941742902778ffc3c40d0"/>
    <w:p>
      <w:pPr>
        <w:pStyle w:val="Heading3"/>
      </w:pPr>
      <w:r>
        <w:t xml:space="preserve">Liraglutide : le premier générique de GLP-1</w:t>
      </w:r>
    </w:p>
    <w:p>
      <w:pPr>
        <w:pStyle w:val="FirstParagraph"/>
      </w:pPr>
      <w:r>
        <w:t xml:space="preserve">Le liraglutide est la première substance GLP-1 dont la protection a expiré sur de grands marchés. Aux États-Unis, des génériques de la forme destinée au diabète (Victoza) sont sur le marché depuis 2024, et depuis 2025 également de la forme destinée à l’obésité (Saxenda). En Europe, des copies arrivent progressivement ; la situation varie selon les pays (voir le chapitre Liraglutide).</w:t>
      </w:r>
    </w:p>
    <w:p>
      <w:pPr>
        <w:pStyle w:val="BodyText"/>
      </w:pPr>
      <w:r>
        <w:t xml:space="preserve">Pour l’approvisionnement, cela a deux faces. D’une part, une substance au bénéfice cardiovasculaire démontré dans le diabète de type 2 devient moins chère. D’autre part, le liraglutide doit être injecté quotidiennement et agit nettement moins sur le poids que le sémaglutide : dans STEP 8, le poids a diminué en moyenne de 15,8 % sous sémaglutide hebdomadaire et de 6,4 % sous liraglutide quotidien ; 38,5 % contre 6,0 % des participants ont perdu au moins un cinquième de leur poids</w:t>
      </w:r>
      <w:r>
        <w:rPr>
          <w:rStyle w:val="FootnoteReference"/>
        </w:rPr>
        <w:footnoteReference w:id="2906"/>
      </w:r>
      <w:r>
        <w:t xml:space="preserve">. Pour les personnes qui ne peuvent pas payer le médicament plus récent, un médicament plus ancien et bon marché peut néanmoins être un meilleur choix que rien du tout.</w:t>
      </w:r>
    </w:p>
    <w:bookmarkEnd w:id="2907"/>
    <w:bookmarkStart w:id="2912" w:name="sémaglutide-2026-année-charnière"/>
    <w:p>
      <w:pPr>
        <w:pStyle w:val="Heading3"/>
      </w:pPr>
      <w:r>
        <w:t xml:space="preserve">Sémaglutide : 2026, année charnière</w:t>
      </w:r>
    </w:p>
    <w:p>
      <w:pPr>
        <w:pStyle w:val="FirstParagraph"/>
      </w:pPr>
      <w:r>
        <w:t xml:space="preserve">Pour le sémaglutide, les brevets expirent en 2026 dans plusieurs grands pays situés hors de l’UE et des États-Unis, dont, selon le chapitre Sémaglutide, le Canada, la Chine, l’Inde et le Brésil. Une analyse de bases de données de brevets a abouti au tableau suivant</w:t>
      </w:r>
      <w:r>
        <w:rPr>
          <w:rStyle w:val="FootnoteReference"/>
        </w:rPr>
        <w:footnoteReference w:id="2908"/>
      </w:r>
      <w:r>
        <w:t xml:space="preserve"> </w:t>
      </w:r>
      <w:r>
        <w:t xml:space="preserve">:</w:t>
      </w:r>
    </w:p>
    <w:p>
      <w:pPr>
        <w:numPr>
          <w:ilvl w:val="0"/>
          <w:numId w:val="1362"/>
        </w:numPr>
        <w:pStyle w:val="Compact"/>
      </w:pPr>
      <w:r>
        <w:t xml:space="preserve">Dans douze pays, la protection par brevet prend fin en 2026. Ils regroupent 47 % des personnes obèses et 49 % des personnes atteintes de diabète de type 2 dans le monde.</w:t>
      </w:r>
    </w:p>
    <w:p>
      <w:pPr>
        <w:numPr>
          <w:ilvl w:val="0"/>
          <w:numId w:val="1362"/>
        </w:numPr>
        <w:pStyle w:val="Compact"/>
      </w:pPr>
      <w:r>
        <w:t xml:space="preserve">Dans 150 autres pays, les autrices et auteurs n’ont trouvé aucun dépôt de brevet.</w:t>
      </w:r>
    </w:p>
    <w:p>
      <w:pPr>
        <w:numPr>
          <w:ilvl w:val="0"/>
          <w:numId w:val="1362"/>
        </w:numPr>
        <w:pStyle w:val="Compact"/>
      </w:pPr>
      <w:r>
        <w:t xml:space="preserve">D’ici fin 2026, des copies injectables de sémaglutide pourraient ainsi être disponibles dans 162 pays, où vivent 69 % des personnes atteintes de diabète de type 2 et 84 % des personnes atteintes d’obésité clinique.</w:t>
      </w:r>
    </w:p>
    <w:p>
      <w:pPr>
        <w:numPr>
          <w:ilvl w:val="0"/>
          <w:numId w:val="1362"/>
        </w:numPr>
        <w:pStyle w:val="Compact"/>
      </w:pPr>
      <w:r>
        <w:t xml:space="preserve">À partir de données sur les livraisons de substance active en provenance d’Inde, ils ont estimé les coûts de production : une année de sémaglutide injecté pourrait être proposée sous forme générique pour 28 à 140 dollars américains par personne, le comprimé pour 186 à 380 dollars américains. Le stylo représentait une part disproportionnée des coûts.</w:t>
      </w:r>
    </w:p>
    <w:p>
      <w:pPr>
        <w:pStyle w:val="FirstParagraph"/>
      </w:pPr>
      <w:r>
        <w:t xml:space="preserve">Les autrices et auteurs soulignent eux-mêmes que le coût des stylos, d’autres brevets et la faiblesse des systèmes de santé peuvent malgré tout limiter l’accès. Une analyse réalisée en Inde montre à quel point les génériques peuvent faire baisser les prix : les prix des inhibiteurs du SGLT2 et des agonistes du récepteur du GLP-1 y ont baissé d’environ 60 à 90 % après l’expiration des brevets. Entre les prix des génériques indiens et les prix catalogue américains, les auteurs ont trouvé des écarts d’un facteur 15 à 65. Ils signalent toutefois aussi que les génériques de différents fabricants peuvent différer en qualité et en absorption dans l’organisme</w:t>
      </w:r>
      <w:r>
        <w:rPr>
          <w:rStyle w:val="FootnoteReference"/>
        </w:rPr>
        <w:footnoteReference w:id="2909"/>
      </w:r>
      <w:r>
        <w:t xml:space="preserve">.</w:t>
      </w:r>
    </w:p>
    <w:p>
      <w:pPr>
        <w:pStyle w:val="BodyText"/>
      </w:pPr>
      <w:r>
        <w:rPr>
          <w:bCs/>
          <w:b/>
        </w:rPr>
        <w:t xml:space="preserve">Dans l’UE et aux États-Unis</w:t>
      </w:r>
      <w:r>
        <w:t xml:space="preserve">, les génériques du sémaglutide ne sont attendus que vers 2031/2032. Pour les lectrices et lecteurs en Autriche et en Allemagne, cela signifie : un générique de sémaglutide vendu légalement au Canada ou en Inde n’y est pas un médicament autorisé. Les règles d’importation pour usage personnel sont strictes (voir le chapitre « Cadre juridique » dans la partie I), et les offres en ligne qui se réclament de tels génériques sont une porte d’entrée typique pour les contrefaçons (voir le chapitre « Le marché gris »).</w:t>
      </w:r>
    </w:p>
    <w:p>
      <w:pPr>
        <w:pStyle w:val="BodyText"/>
      </w:pPr>
      <w:r>
        <w:rPr>
          <w:bCs/>
          <w:b/>
        </w:rPr>
        <w:t xml:space="preserve">Un signal politique :</w:t>
      </w:r>
      <w:r>
        <w:t xml:space="preserve"> </w:t>
      </w:r>
      <w:r>
        <w:t xml:space="preserve">en septembre 2025, l’Organisation mondiale de la santé a inscrit le sémaglutide, le liraglutide, le dulaglutide et le tirzépatide sur sa liste des médicaments essentiels. Une analyse y voit une étape destinée à faciliter les négociations de prix et le développement de génériques dans les pays à revenu faible et intermédiaire ; elle cite en même temps le manque de moyens, la faiblesse des infrastructures et le risque d’une utilisation non critique comme obstacles</w:t>
      </w:r>
      <w:r>
        <w:rPr>
          <w:rStyle w:val="FootnoteReference"/>
        </w:rPr>
        <w:footnoteReference w:id="2910"/>
      </w:r>
      <w:r>
        <w:t xml:space="preserve">. Dans sa première ligne directrice sur les traitements GLP-1 dans l’obésité, l’OMS formule une recommandation conditionnelle en faveur d’un traitement au long cours associé à une thérapie comportementale intensive. Parmi les raisons de cette restriction, elle cite notamment les données limitées à long terme, les coûts et la question de l’équité d’accès</w:t>
      </w:r>
      <w:r>
        <w:rPr>
          <w:rStyle w:val="FootnoteReference"/>
        </w:rPr>
        <w:footnoteReference w:id="2911"/>
      </w:r>
      <w:r>
        <w:t xml:space="preserve">.</w:t>
      </w:r>
    </w:p>
    <w:bookmarkEnd w:id="2912"/>
    <w:bookmarkStart w:id="2913" w:name="le-tirzépatide-et-ses-successeurs"/>
    <w:p>
      <w:pPr>
        <w:pStyle w:val="Heading3"/>
      </w:pPr>
      <w:r>
        <w:t xml:space="preserve">Le tirzépatide et ses successeurs</w:t>
      </w:r>
    </w:p>
    <w:p>
      <w:pPr>
        <w:pStyle w:val="FirstParagraph"/>
      </w:pPr>
      <w:r>
        <w:t xml:space="preserve">Pour le tirzépatide et toutes les substances plus récentes – rétatrutide, CagriSema, amycrétine, maridebart cafraglutide, orforglipron –, aucune expiration de brevet n’est attendue au cours de cette décennie. Pour le tirzépatide, selon les informations du secteur, les génériques ne sont pas attendus avant la seconde moitié des années 2030. Il en résulte un schéma prévisible : les substances les plus anciennes deviennent moins chères, les plus puissantes restent chères.</w:t>
      </w:r>
    </w:p>
    <w:bookmarkEnd w:id="2913"/>
    <w:bookmarkStart w:id="2917" w:name="la-fin-du-compounding-aux-états-unis"/>
    <w:p>
      <w:pPr>
        <w:pStyle w:val="Heading3"/>
      </w:pPr>
      <w:r>
        <w:t xml:space="preserve">La fin du compounding aux États-Unis</w:t>
      </w:r>
    </w:p>
    <w:p>
      <w:pPr>
        <w:pStyle w:val="FirstParagraph"/>
      </w:pPr>
      <w:r>
        <w:t xml:space="preserve">Pendant les pénuries officielles, les pharmacies américaines ont été autorisées à préparer elles-mêmes du sémaglutide et du tirzépatide (« compounding », voir partie I). Il en est né un vaste marché. Une étude menée dans l’État américain du Colorado a recensé au printemps 2024 93 entreprises avec 188 sites qui faisaient la promotion de ces préparations – le plus souvent des spas médicaux ou des services d’amaigrissement. 41 de ces sites web faisaient référence dans leurs descriptions de produits à l’autorisation de la FDA, alors que les préparations n’en avaient aucune. Un fournisseur faisait la promotion d’un mélange contenant du BPC-157, une substance que la FDA a classée comme inadaptée au compounding</w:t>
      </w:r>
      <w:r>
        <w:rPr>
          <w:rStyle w:val="FootnoteReference"/>
        </w:rPr>
        <w:footnoteReference w:id="2914"/>
      </w:r>
      <w:r>
        <w:t xml:space="preserve">.</w:t>
      </w:r>
    </w:p>
    <w:p>
      <w:pPr>
        <w:pStyle w:val="BodyText"/>
      </w:pPr>
      <w:r>
        <w:t xml:space="preserve">Après que la FDA a déclaré la fin des pénuries – fin 2024 pour le tirzépatide, début 2025 pour le sémaglutide –, les délais de transition pour les copies des préparations autorisées ont expiré au cours de l’année 2025. Depuis, seules sont autorisées les préparations qui diffèrent des préparations autorisées. Une analyse a recensé 33 de ces produits, dont des mélanges avec de la vitamine B12, de la glycine ou un laxatif ainsi que des gouttes et des comprimés orodispersibles, dont le bénéfice et la sécurité sont largement inconnus</w:t>
      </w:r>
      <w:r>
        <w:rPr>
          <w:rStyle w:val="FootnoteReference"/>
        </w:rPr>
        <w:footnoteReference w:id="2915"/>
      </w:r>
      <w:r>
        <w:t xml:space="preserve">. Un laboratoire a trouvé dans des mélanges tirzépatide-B12 de différents fournisseurs une impureté jusqu’alors inconnue, formée par une réaction chimique entre le tirzépatide et certaines formes de B12 ; ses conséquences pour la santé sont inconnues</w:t>
      </w:r>
      <w:r>
        <w:rPr>
          <w:rStyle w:val="FootnoteReference"/>
        </w:rPr>
        <w:footnoteReference w:id="2916"/>
      </w:r>
      <w:r>
        <w:t xml:space="preserve">.</w:t>
      </w:r>
    </w:p>
    <w:p>
      <w:pPr>
        <w:pStyle w:val="BodyText"/>
      </w:pPr>
      <w:r>
        <w:t xml:space="preserve">Le compounding n’a donc pas disparu, mais s’est déplacé vers une niche dans laquelle des ajouts « personnalisés » fournissent la base juridique. En Europe, il n’existe pas de système comparable.</w:t>
      </w:r>
    </w:p>
    <w:bookmarkEnd w:id="2917"/>
    <w:bookmarkStart w:id="2920" w:name="pénuries-dapprovisionnement"/>
    <w:p>
      <w:pPr>
        <w:pStyle w:val="Heading3"/>
      </w:pPr>
      <w:r>
        <w:t xml:space="preserve">Pénuries d’approvisionnement</w:t>
      </w:r>
    </w:p>
    <w:p>
      <w:pPr>
        <w:pStyle w:val="FirstParagraph"/>
      </w:pPr>
      <w:r>
        <w:t xml:space="preserve">À partir de 2022, la demande de sémaglutide, puis de tirzépatide, a dépassé la production. Des personnes atteintes de diabète de type 2 n’ont temporairement pas pu obtenir leurs médicaments. En Allemagne et en Autriche, les autorités et les sociétés savantes ont appelé à réserver Ozempic aux personnes atteintes de diabète de type 2 et à ne pas le prescrire uniquement pour perdre du poids.</w:t>
      </w:r>
    </w:p>
    <w:p>
      <w:pPr>
        <w:pStyle w:val="BodyText"/>
      </w:pPr>
      <w:r>
        <w:t xml:space="preserve">Quelle était la part des prescriptions hors autorisation ? Une étude de registre nationale danoise apporte une réponse. Le nombre de nouveaux utilisateurs d’Ozempic a fortement augmenté à partir de 2022, jusqu’à un pic de 10 pour 1 000 adultes par an début 2023. En 2022, un tiers des nouveaux utilisateurs n’avaient pas de diabète de type 2 documenté ; en 2023, cette proportion a de nouveau baissé. Les autrices et auteurs en concluent que les prescriptions pour perdre du poids n’expliquent qu’une petite partie de la pénurie</w:t>
      </w:r>
      <w:r>
        <w:rPr>
          <w:rStyle w:val="FootnoteReference"/>
        </w:rPr>
        <w:footnoteReference w:id="2918"/>
      </w:r>
      <w:r>
        <w:t xml:space="preserve">.</w:t>
      </w:r>
    </w:p>
    <w:p>
      <w:pPr>
        <w:pStyle w:val="BodyText"/>
      </w:pPr>
      <w:r>
        <w:t xml:space="preserve">Les pénuries ont des conséquences directes sur le traitement. Dans une étude américaine portant sur 288 personnes ayant arrêté le sémaglutide ou le tirzépatide pris pour perdre du poids au cours de la première année, 11,8 % ont cité les pénuries comme raison principale. Les plus fréquents étaient toutefois les problèmes de coût ou d’assurance (47,6 %), suivis des effets indésirables (14,6 %) ; 2,4 % sont passés à une préparation magistrale</w:t>
      </w:r>
      <w:r>
        <w:rPr>
          <w:rStyle w:val="FootnoteReference"/>
        </w:rPr>
        <w:footnoteReference w:id="2919"/>
      </w:r>
      <w:r>
        <w:t xml:space="preserve">.</w:t>
      </w:r>
    </w:p>
    <w:p>
      <w:pPr>
        <w:pStyle w:val="BodyText"/>
      </w:pPr>
      <w:r>
        <w:t xml:space="preserve">Les fabricants ont depuis fortement augmenté leurs capacités de production, et les pénuries officielles sont considérées comme terminées aux États-Unis. En Europe, la situation varie selon la préparation et le pays.</w:t>
      </w:r>
    </w:p>
    <w:bookmarkEnd w:id="2920"/>
    <w:bookmarkStart w:id="2925" w:name="prix-que-vaut-un-médicament-amaigrissant"/>
    <w:p>
      <w:pPr>
        <w:pStyle w:val="Heading3"/>
      </w:pPr>
      <w:r>
        <w:t xml:space="preserve">Prix : que vaut un médicament amaigrissant ?</w:t>
      </w:r>
    </w:p>
    <w:p>
      <w:pPr>
        <w:pStyle w:val="FirstParagraph"/>
      </w:pPr>
      <w:r>
        <w:t xml:space="preserve">Aux États-Unis, les prix catalogue des médicaments GLP-1 sont nettement plus élevés qu’en Europe. Des travaux d’économie de la santé menés aux États-Unis se demandent donc si le bénéfice justifie le prix :</w:t>
      </w:r>
    </w:p>
    <w:p>
      <w:pPr>
        <w:numPr>
          <w:ilvl w:val="0"/>
          <w:numId w:val="1363"/>
        </w:numPr>
        <w:pStyle w:val="Compact"/>
      </w:pPr>
      <w:r>
        <w:t xml:space="preserve">Une modélisation pour les adultes américains a montré que le tirzépatide et le sémaglutide permettraient certes d’éviter sur la vie entière de nombreux cas de diabète et de maladies cardiovasculaires, mais qu’ils n’étaient pas coût-efficaces aux prix nets de l’époque. Pour atteindre un seuil habituel, les prix auraient dû baisser encore de 30,5 % (tirzépatide) et de 81,9 % (sémaglutide)</w:t>
      </w:r>
      <w:r>
        <w:rPr>
          <w:rStyle w:val="FootnoteReference"/>
        </w:rPr>
        <w:footnoteReference w:id="2921"/>
      </w:r>
      <w:r>
        <w:t xml:space="preserve">.</w:t>
      </w:r>
    </w:p>
    <w:p>
      <w:pPr>
        <w:numPr>
          <w:ilvl w:val="0"/>
          <w:numId w:val="1363"/>
        </w:numPr>
        <w:pStyle w:val="Compact"/>
      </w:pPr>
      <w:r>
        <w:t xml:space="preserve">Une méta-analyse de neuf études d’économie de la santé issues de pays à revenu élevé a conclu que les agonistes du récepteur du GLP-1 pour le traitement de l’obésité sans diabète ne sont en général pas coût-efficaces du point de vue des payeurs ; il pourrait en aller autrement dans certains sous-groupes et sur des périodes plus longues</w:t>
      </w:r>
      <w:r>
        <w:rPr>
          <w:rStyle w:val="FootnoteReference"/>
        </w:rPr>
        <w:footnoteReference w:id="2922"/>
      </w:r>
      <w:r>
        <w:t xml:space="preserve">.</w:t>
      </w:r>
    </w:p>
    <w:p>
      <w:pPr>
        <w:numPr>
          <w:ilvl w:val="0"/>
          <w:numId w:val="1363"/>
        </w:numPr>
        <w:pStyle w:val="Compact"/>
      </w:pPr>
      <w:r>
        <w:t xml:space="preserve">Pour les personnes sans diabète ayant déjà eu un infarctus ou un AVC, une modélisation s’est révélée plus favorable : au prix payé par les patients payant eux-mêmes aux États-Unis au moment de l’analyse, le sémaglutide serait coût-efficace dans ce groupe</w:t>
      </w:r>
      <w:r>
        <w:rPr>
          <w:rStyle w:val="FootnoteReference"/>
        </w:rPr>
        <w:footnoteReference w:id="2923"/>
      </w:r>
      <w:r>
        <w:t xml:space="preserve">.</w:t>
      </w:r>
    </w:p>
    <w:p>
      <w:pPr>
        <w:pStyle w:val="FirstParagraph"/>
      </w:pPr>
      <w:r>
        <w:t xml:space="preserve">Ces calculs dépendent fortement des hypothèses de prix, et les prix évoluent. Aux États-Unis, les fabricants ont introduit depuis 2025 des offres directes nettement moins chères pour les patients payant eux-mêmes et ont conclu des accords de prix avec le gouvernement ; le sémaglutide fait en outre l’objet des négociations de prix publiques pour le programme Medicare destiné aux retraités. Une analyse américaine montre à quel point la prise en charge influence l’utilisation : après l’autorisation de Wegovy en mars 2024 pour la réduction du risque cardiovasculaire et sa prise en charge par Medicare pour cette indication, le nombre de boîtes de Wegovy délivrées via Medicare a augmenté de 598,1 % en valeur relative</w:t>
      </w:r>
      <w:r>
        <w:rPr>
          <w:rStyle w:val="FootnoteReference"/>
        </w:rPr>
        <w:footnoteReference w:id="2924"/>
      </w:r>
      <w:r>
        <w:t xml:space="preserve">.</w:t>
      </w:r>
    </w:p>
    <w:p>
      <w:pPr>
        <w:pStyle w:val="BodyText"/>
      </w:pPr>
      <w:r>
        <w:rPr>
          <w:bCs/>
          <w:b/>
        </w:rPr>
        <w:t xml:space="preserve">Appréciation de l’auteur :</w:t>
      </w:r>
      <w:r>
        <w:t xml:space="preserve"> </w:t>
      </w:r>
      <w:r>
        <w:t xml:space="preserve">les prix des médicaments à base de GLP-1 baisseront au cours des prochaines années – grâce aux génériques des substances anciennes, à la concurrence entre fabricants, aux comprimés à base de petites molécules et à la pression politique. C’est dans les pays où les brevets expirent tôt que cela se fera le plus sentir. Dans l’UE, la grande baisse de prix ne devrait intervenir qu’avec les génériques du sémaglutide au début des années 2030.</w:t>
      </w:r>
    </w:p>
    <w:bookmarkEnd w:id="2925"/>
    <w:bookmarkStart w:id="2926" w:name="X6b045d817a8ec74d99e77127f1bead85940900f"/>
    <w:p>
      <w:pPr>
        <w:pStyle w:val="Heading3"/>
      </w:pPr>
      <w:r>
        <w:t xml:space="preserve">Remboursement en Allemagne et en Autriche</w:t>
      </w:r>
    </w:p>
    <w:p>
      <w:pPr>
        <w:pStyle w:val="FirstParagraph"/>
      </w:pPr>
      <w:r>
        <w:rPr>
          <w:bCs/>
          <w:b/>
        </w:rPr>
        <w:t xml:space="preserve">Allemagne :</w:t>
      </w:r>
      <w:r>
        <w:t xml:space="preserve"> </w:t>
      </w:r>
      <w:r>
        <w:t xml:space="preserve">dans le diabète de type 2, l’assurance maladie obligatoire prend en charge les coûts des médicaments GLP-1 autorisés comme Ozempic, Rybelsus, Trulicity ou Mounjaro dans le cadre de l’autorisation. Les médicaments servant principalement à la réduction du poids sont en revanche exclus du remboursement en vertu du § 34 du SGB V ; les assurés de l’assurance obligatoire doivent donc en règle générale payer eux-mêmes Wegovy, Saxenda et Mounjaro destiné à la gestion du poids. La modification de cette règle pour les personnes à haut risque cardiovasculaire fait l’objet de discussions politiques et au sein de l’autogestion du système de santé. Les assurances maladie privées décident selon leurs propres conditions tarifaires.</w:t>
      </w:r>
    </w:p>
    <w:p>
      <w:pPr>
        <w:pStyle w:val="BodyText"/>
      </w:pPr>
      <w:r>
        <w:rPr>
          <w:bCs/>
          <w:b/>
        </w:rPr>
        <w:t xml:space="preserve">Autriche :</w:t>
      </w:r>
      <w:r>
        <w:t xml:space="preserve"> </w:t>
      </w:r>
      <w:r>
        <w:t xml:space="preserve">dans le diabète de type 2, les médicaments GLP-1 sont remboursables, mais la prise en charge est parfois soumise à des conditions ou à une autorisation de la caisse d’assurance maladie. Pour la seule gestion du poids, les coûts ne sont en règle générale pas pris en charge, ou seulement dans des cas exceptionnels.</w:t>
      </w:r>
    </w:p>
    <w:p>
      <w:pPr>
        <w:pStyle w:val="BodyText"/>
      </w:pPr>
      <w:r>
        <w:t xml:space="preserve">Dans les deux pays, la règle est la suivante : le remboursement d’un traitement dépend de l’indication, des résultats d’examens et de la situation juridique actuelle. La ou le médecin traitant et la caisse d’assurance maladie sont les bons interlocuteurs. Une prescription pour perdre du poids avec une préparation autorisée uniquement pour le diabète constitue une utilisation hors autorisation et n’est pas remboursée.</w:t>
      </w:r>
    </w:p>
    <w:bookmarkEnd w:id="2926"/>
    <w:bookmarkStart w:id="2928" w:name="X5ce3115fdc2e1c76668dc566386d582a95ec74b"/>
    <w:p>
      <w:pPr>
        <w:pStyle w:val="Heading3"/>
      </w:pPr>
      <w:r>
        <w:t xml:space="preserve">Ce que cela signifie pour les patientes et les patients</w:t>
      </w:r>
    </w:p>
    <w:p>
      <w:pPr>
        <w:numPr>
          <w:ilvl w:val="0"/>
          <w:numId w:val="1364"/>
        </w:numPr>
        <w:pStyle w:val="Compact"/>
      </w:pPr>
      <w:r>
        <w:rPr>
          <w:bCs/>
          <w:b/>
        </w:rPr>
        <w:t xml:space="preserve">Moins cher ne veut pas dire marché gris.</w:t>
      </w:r>
      <w:r>
        <w:t xml:space="preserve"> </w:t>
      </w:r>
      <w:r>
        <w:t xml:space="preserve">Avec l’expiration des brevets dans d’autres pays, les offres se réclamant de « génériques » vont se multiplier. Pour l’Autriche et l’Allemagne, seules les préparations autorisées dans ces pays et délivrées en pharmacie sont des médicaments contrôlés.</w:t>
      </w:r>
    </w:p>
    <w:p>
      <w:pPr>
        <w:numPr>
          <w:ilvl w:val="0"/>
          <w:numId w:val="1364"/>
        </w:numPr>
        <w:pStyle w:val="Compact"/>
      </w:pPr>
      <w:r>
        <w:rPr>
          <w:bCs/>
          <w:b/>
        </w:rPr>
        <w:t xml:space="preserve">L’arrêt pour des raisons de coût est fréquent – et a des conséquences.</w:t>
      </w:r>
      <w:r>
        <w:t xml:space="preserve"> </w:t>
      </w:r>
      <w:r>
        <w:t xml:space="preserve">Dans la prolongation de STEP 1, un an après l’arrêt du sémaglutide, les participants avaient repris en moyenne deux tiers de leur perte de poids, et les améliorations de la pression artérielle et des valeurs sanguines s’étaient largement estompées</w:t>
      </w:r>
      <w:r>
        <w:rPr>
          <w:rStyle w:val="FootnoteReference"/>
        </w:rPr>
        <w:footnoteReference w:id="2927"/>
      </w:r>
      <w:r>
        <w:t xml:space="preserve">. Si tu envisages d’arrêter pour des raisons de coût, parles-en à ton médecin.</w:t>
      </w:r>
    </w:p>
    <w:p>
      <w:pPr>
        <w:numPr>
          <w:ilvl w:val="0"/>
          <w:numId w:val="1364"/>
        </w:numPr>
        <w:pStyle w:val="Compact"/>
      </w:pPr>
      <w:r>
        <w:rPr>
          <w:bCs/>
          <w:b/>
        </w:rPr>
        <w:t xml:space="preserve">Les substances plus anciennes ne sont pas sans valeur.</w:t>
      </w:r>
      <w:r>
        <w:t xml:space="preserve"> </w:t>
      </w:r>
      <w:r>
        <w:t xml:space="preserve">Le liraglutide ou le dulaglutide sont bien étudiés et ont un bénéfice cardiovasculaire démontré dans le diabète de type 2. Le choix de la substance qui convient dans un cas particulier relève d’une décision médicale.</w:t>
      </w:r>
    </w:p>
    <w:bookmarkEnd w:id="2928"/>
    <w:bookmarkStart w:id="2929" w:name="lessentiel-en-bref-10"/>
    <w:p>
      <w:pPr>
        <w:pStyle w:val="Heading3"/>
      </w:pPr>
      <w:r>
        <w:t xml:space="preserve">L’essentiel en bref</w:t>
      </w:r>
    </w:p>
    <w:p>
      <w:pPr>
        <w:numPr>
          <w:ilvl w:val="0"/>
          <w:numId w:val="1365"/>
        </w:numPr>
        <w:pStyle w:val="Compact"/>
      </w:pPr>
      <w:r>
        <w:t xml:space="preserve">En 2026, la protection par brevet du sémaglutide prend fin dans des pays où vit près de la moitié des personnes obèses. Les génériques pourraient y coûter une fraction des prix actuels ; dans l’UE et aux États-Unis, ils ne sont attendus que vers 2031/2032 (à vérifier).</w:t>
      </w:r>
    </w:p>
    <w:p>
      <w:pPr>
        <w:numPr>
          <w:ilvl w:val="0"/>
          <w:numId w:val="1365"/>
        </w:numPr>
        <w:pStyle w:val="Compact"/>
      </w:pPr>
      <w:r>
        <w:t xml:space="preserve">Il existe déjà des génériques du liraglutide ; le tirzépatide et toutes les substances plus récentes resteront probablement protégés par brevet jusque loin dans les années 2030.</w:t>
      </w:r>
    </w:p>
    <w:p>
      <w:pPr>
        <w:numPr>
          <w:ilvl w:val="0"/>
          <w:numId w:val="1365"/>
        </w:numPr>
        <w:pStyle w:val="Compact"/>
      </w:pPr>
      <w:r>
        <w:t xml:space="preserve">Le compounding américain de copies de préparations autorisées a largement pris fin avec la fin des pénuries ; il reste des préparations modifiées contenant des ajouts non contrôlés.</w:t>
      </w:r>
    </w:p>
    <w:p>
      <w:pPr>
        <w:numPr>
          <w:ilvl w:val="0"/>
          <w:numId w:val="1365"/>
        </w:numPr>
        <w:pStyle w:val="Compact"/>
      </w:pPr>
      <w:r>
        <w:t xml:space="preserve">Dans les études, le coût est la raison la plus fréquente d’interrompre un traitement. En Allemagne, les médicaments amaigrissants sont exclus du remboursement ; en Autriche, le remboursement n’est que limité.</w:t>
      </w:r>
    </w:p>
    <w:bookmarkEnd w:id="2929"/>
    <w:bookmarkEnd w:id="2930"/>
    <w:bookmarkStart w:id="2976" w:name="prévisions-2030-à-2035"/>
    <w:p>
      <w:pPr>
        <w:pStyle w:val="Heading2"/>
      </w:pPr>
      <w:r>
        <w:t xml:space="preserve">Prévisions 2030 à 2035</w:t>
      </w:r>
    </w:p>
    <w:p>
      <w:pPr>
        <w:pStyle w:val="FirstParagraph"/>
      </w:pPr>
      <w:r>
        <w:t xml:space="preserve">Les prévisions en médecine ont un piètre bilan. Ce livre en donne aussi des exemples : des expérimentations animales et des données observationnelles avaient fait espérer que les médicaments GLP-1 freineraient le déclin cognitif dans la maladie d’Alzheimer. Dans les deux études de phase 3 evoke et evoke+, totalisant 3 808 participants, la maladie a pourtant progressé aussi vite sous comprimés de sémaglutide que sous placebo</w:t>
      </w:r>
      <w:r>
        <w:rPr>
          <w:rStyle w:val="FootnoteReference"/>
        </w:rPr>
        <w:footnoteReference w:id="2931"/>
      </w:r>
      <w:r>
        <w:t xml:space="preserve">. Dans la maladie de Parkinson, l’étude de phase 3 Exenatide-PD3, portant sur 194 participants, n’a trouvé aucun indice que l’exénatide ralentisse la progression</w:t>
      </w:r>
      <w:r>
        <w:rPr>
          <w:rStyle w:val="FootnoteReference"/>
        </w:rPr>
        <w:footnoteReference w:id="2932"/>
      </w:r>
      <w:r>
        <w:t xml:space="preserve">.</w:t>
      </w:r>
    </w:p>
    <w:p>
      <w:pPr>
        <w:pStyle w:val="BodyText"/>
      </w:pPr>
      <w:r>
        <w:t xml:space="preserve">Ce chapitre fait donc, dans chaque section, une distinction stricte :</w:t>
      </w:r>
    </w:p>
    <w:p>
      <w:pPr>
        <w:numPr>
          <w:ilvl w:val="0"/>
          <w:numId w:val="1366"/>
        </w:numPr>
        <w:pStyle w:val="Compact"/>
      </w:pPr>
      <w:r>
        <w:rPr>
          <w:bCs/>
          <w:b/>
        </w:rPr>
        <w:t xml:space="preserve">Établi :</w:t>
      </w:r>
      <w:r>
        <w:t xml:space="preserve"> </w:t>
      </w:r>
      <w:r>
        <w:t xml:space="preserve">ce qui est inscrit dans les registres d’études (avec une date de fin prévue), ce qui est publié dans des études évaluées par des pairs et ce que les autorités ont décidé. Même ce qui est établi peut changer – les dates de fin se décalent, des études sont interrompues.</w:t>
      </w:r>
    </w:p>
    <w:p>
      <w:pPr>
        <w:numPr>
          <w:ilvl w:val="0"/>
          <w:numId w:val="1366"/>
        </w:numPr>
        <w:pStyle w:val="Compact"/>
      </w:pPr>
      <w:r>
        <w:rPr>
          <w:bCs/>
          <w:b/>
        </w:rPr>
        <w:t xml:space="preserve">Appréciation de l’auteur :</w:t>
      </w:r>
      <w:r>
        <w:t xml:space="preserve"> </w:t>
      </w:r>
      <w:r>
        <w:t xml:space="preserve">une attente argumentée, qui peut se révéler fausse. Elle est signalée comme telle et justifiée à chaque fois.</w:t>
      </w:r>
    </w:p>
    <w:p>
      <w:pPr>
        <w:pStyle w:val="FirstParagraph"/>
      </w:pPr>
      <w:r>
        <w:t xml:space="preserve">Les données des registres reflètent la situation d’octobre 2026.</w:t>
      </w:r>
    </w:p>
    <w:bookmarkStart w:id="2942" w:name="groupe-a-métabolisme-et-poids"/>
    <w:p>
      <w:pPr>
        <w:pStyle w:val="Heading3"/>
      </w:pPr>
      <w:r>
        <w:t xml:space="preserve">Groupe A – Métabolisme et poids</w:t>
      </w:r>
    </w:p>
    <w:p>
      <w:pPr>
        <w:pStyle w:val="FirstParagraph"/>
      </w:pPr>
      <w:r>
        <w:rPr>
          <w:bCs/>
          <w:b/>
        </w:rPr>
        <w:t xml:space="preserve">Établi :</w:t>
      </w:r>
    </w:p>
    <w:p>
      <w:pPr>
        <w:numPr>
          <w:ilvl w:val="0"/>
          <w:numId w:val="1367"/>
        </w:numPr>
        <w:pStyle w:val="Compact"/>
      </w:pPr>
      <w:r>
        <w:t xml:space="preserve">D’ici 2032, au moins neuf grandes études de critères cliniques et hépatiques s’achèveront : SURMOUNT-MMO sur le tirzépatide</w:t>
      </w:r>
      <w:r>
        <w:rPr>
          <w:rStyle w:val="FootnoteReference"/>
        </w:rPr>
        <w:footnoteReference w:id="2933"/>
      </w:r>
      <w:r>
        <w:t xml:space="preserve"> </w:t>
      </w:r>
      <w:r>
        <w:t xml:space="preserve">et REDEFINE 3 sur CagriSema</w:t>
      </w:r>
      <w:r>
        <w:rPr>
          <w:rStyle w:val="FootnoteReference"/>
        </w:rPr>
        <w:footnoteReference w:id="2934"/>
      </w:r>
      <w:r>
        <w:t xml:space="preserve"> </w:t>
      </w:r>
      <w:r>
        <w:t xml:space="preserve">en 2027, TRIUMPH-Outcomes sur le rétatrutide</w:t>
      </w:r>
      <w:r>
        <w:rPr>
          <w:rStyle w:val="FootnoteReference"/>
        </w:rPr>
        <w:footnoteReference w:id="2935"/>
      </w:r>
      <w:r>
        <w:t xml:space="preserve"> </w:t>
      </w:r>
      <w:r>
        <w:t xml:space="preserve">et LIVERAGE-Cirrhosis sur le survodutide</w:t>
      </w:r>
      <w:r>
        <w:rPr>
          <w:rStyle w:val="FootnoteReference"/>
        </w:rPr>
        <w:footnoteReference w:id="2936"/>
      </w:r>
      <w:r>
        <w:t xml:space="preserve"> </w:t>
      </w:r>
      <w:r>
        <w:t xml:space="preserve">en 2029, MARITIME-CV et MARITIME-HF sur le maridebart cafraglutide</w:t>
      </w:r>
      <w:r>
        <w:rPr>
          <w:rStyle w:val="FootnoteReference"/>
        </w:rPr>
        <w:footnoteReference w:id="2937"/>
      </w:r>
      <w:r>
        <w:t xml:space="preserve"> </w:t>
      </w:r>
      <w:r>
        <w:t xml:space="preserve">ainsi qu’AMBIENCE sur le zénagamtide</w:t>
      </w:r>
      <w:r>
        <w:rPr>
          <w:rStyle w:val="FootnoteReference"/>
        </w:rPr>
        <w:footnoteReference w:id="2938"/>
      </w:r>
      <w:r>
        <w:t xml:space="preserve"> </w:t>
      </w:r>
      <w:r>
        <w:t xml:space="preserve">en 2030, ATTAIN-Outcomes sur l’orforglipron</w:t>
      </w:r>
      <w:r>
        <w:rPr>
          <w:rStyle w:val="FootnoteReference"/>
        </w:rPr>
        <w:footnoteReference w:id="2939"/>
      </w:r>
      <w:r>
        <w:t xml:space="preserve"> </w:t>
      </w:r>
      <w:r>
        <w:t xml:space="preserve">en 2031 et SYNERGY-Outcomes sur le tirzépatide et le rétatrutide</w:t>
      </w:r>
      <w:r>
        <w:rPr>
          <w:rStyle w:val="FootnoteReference"/>
        </w:rPr>
        <w:footnoteReference w:id="2940"/>
      </w:r>
      <w:r>
        <w:t xml:space="preserve"> </w:t>
      </w:r>
      <w:r>
        <w:t xml:space="preserve">en 2032.</w:t>
      </w:r>
    </w:p>
    <w:p>
      <w:pPr>
        <w:numPr>
          <w:ilvl w:val="0"/>
          <w:numId w:val="1367"/>
        </w:numPr>
        <w:pStyle w:val="Compact"/>
      </w:pPr>
      <w:r>
        <w:t xml:space="preserve">Des substances à base d’amyline seule sont en phase 3 : l’éloralintide (ENLIGHTEN-1, NCT07321886, fin 2030) et le pétrélintide (ZUPREME-3, NCT07843498, fin 2029).</w:t>
      </w:r>
    </w:p>
    <w:p>
      <w:pPr>
        <w:numPr>
          <w:ilvl w:val="0"/>
          <w:numId w:val="1367"/>
        </w:numPr>
        <w:pStyle w:val="Compact"/>
      </w:pPr>
      <w:r>
        <w:t xml:space="preserve">Pour CagriSema et l’orforglipron, des demandes d’autorisation ont été déposées ou annoncées selon les chapitres correspondants ; pour le rétatrutide, elles sont attendues après l’achèvement de TRIUMPH-1 et TRIUMPH-2 (état octobre 2026, à vérifier).</w:t>
      </w:r>
    </w:p>
    <w:p>
      <w:pPr>
        <w:numPr>
          <w:ilvl w:val="0"/>
          <w:numId w:val="1367"/>
        </w:numPr>
        <w:pStyle w:val="Compact"/>
      </w:pPr>
      <w:r>
        <w:t xml:space="preserve">Dans douze pays, la protection par brevet du sémaglutide prend fin en 2026, dont de grands marchés hors de l’UE et des États-Unis</w:t>
      </w:r>
      <w:r>
        <w:rPr>
          <w:rStyle w:val="FootnoteReference"/>
        </w:rPr>
        <w:footnoteReference w:id="2941"/>
      </w:r>
      <w:r>
        <w:t xml:space="preserve">. Dans l’UE et aux États-Unis, les génériques sont attendus vers 2031/2032.</w:t>
      </w:r>
    </w:p>
    <w:p>
      <w:pPr>
        <w:pStyle w:val="FirstParagraph"/>
      </w:pPr>
      <w:r>
        <w:rPr>
          <w:bCs/>
          <w:b/>
        </w:rPr>
        <w:t xml:space="preserve">Appréciation de l’auteur :</w:t>
      </w:r>
      <w:r>
        <w:t xml:space="preserve"> </w:t>
      </w:r>
      <w:r>
        <w:t xml:space="preserve">d’ici 2030, plusieurs nouvelles classes de substances seront probablement autorisées dans l’UE – au moins une association avec l’amyline, un triple agoniste et une petite molécule en comprimé. Justification : les programmes de phase 3 sont bien avancés, les résultats publiés jusqu’ici sont clairement positifs, et les fabricants ont déposé ou annoncé des demandes d’autorisation. Une perte de poids moyenne de 20 à 25 % dans les études ne devrait alors plus être l’exception. Mais plus important qu’un nouveau record sera la question de savoir quelle substance convient à quelle personne : qui a surtout besoin d’une protection cardiaque, qui a une stéatose hépatique, qui veut éviter les injections, qui tolère mal les effets indésirables. Entre 2030 et 2035, je m’attends à une nette baisse des prix du sémaglutide en Europe grâce aux génériques, tandis que les substances les plus récentes resteront chères. Je considère comme réel le risque d’une prise en charge à deux vitesses – les médicaments les plus puissants pour ceux qui paient eux-mêmes, les plus anciens pour tous les autres.</w:t>
      </w:r>
    </w:p>
    <w:bookmarkEnd w:id="2942"/>
    <w:bookmarkStart w:id="2945" w:name="X6da4197a983d2431cf68b8e5c5c97d7d6e51afb"/>
    <w:p>
      <w:pPr>
        <w:pStyle w:val="Heading3"/>
      </w:pPr>
      <w:r>
        <w:t xml:space="preserve">Groupe B – Guérison, régénération et système immunitaire</w:t>
      </w:r>
    </w:p>
    <w:p>
      <w:pPr>
        <w:pStyle w:val="FirstParagraph"/>
      </w:pPr>
      <w:r>
        <w:rPr>
          <w:bCs/>
          <w:b/>
        </w:rPr>
        <w:t xml:space="preserve">Établi :</w:t>
      </w:r>
    </w:p>
    <w:p>
      <w:pPr>
        <w:numPr>
          <w:ilvl w:val="0"/>
          <w:numId w:val="1368"/>
        </w:numPr>
        <w:pStyle w:val="Compact"/>
      </w:pPr>
      <w:r>
        <w:t xml:space="preserve">L’étude de phase 3 sur la thymosine alpha 1 après chirurgie d’un cancer colorectal, portant sur 2 500 participants, doit s’achever en mars 2027</w:t>
      </w:r>
      <w:r>
        <w:rPr>
          <w:rStyle w:val="FootnoteReference"/>
        </w:rPr>
        <w:footnoteReference w:id="2943"/>
      </w:r>
      <w:r>
        <w:t xml:space="preserve">.</w:t>
      </w:r>
    </w:p>
    <w:p>
      <w:pPr>
        <w:numPr>
          <w:ilvl w:val="0"/>
          <w:numId w:val="1368"/>
        </w:numPr>
        <w:pStyle w:val="Compact"/>
      </w:pPr>
      <w:r>
        <w:t xml:space="preserve">L’étude de phase 3 SEER-2 avec un collyre de thymosine bêta 4 dans la kératopathie neurotrophique était terminée en mai 2026 selon le registre ; aucun résultat n’était disponible en octobre 2026</w:t>
      </w:r>
      <w:r>
        <w:rPr>
          <w:rStyle w:val="FootnoteReference"/>
        </w:rPr>
        <w:footnoteReference w:id="2944"/>
      </w:r>
      <w:r>
        <w:t xml:space="preserve">.</w:t>
      </w:r>
    </w:p>
    <w:p>
      <w:pPr>
        <w:numPr>
          <w:ilvl w:val="0"/>
          <w:numId w:val="1368"/>
        </w:numPr>
        <w:pStyle w:val="Compact"/>
      </w:pPr>
      <w:r>
        <w:t xml:space="preserve">Une étude chinoise de phase 2 avec de la thymosine bêta 4 recombinante après un infarctus du myocarde est prévue (NCT07586865, 189 participants, fin en mai 2028).</w:t>
      </w:r>
    </w:p>
    <w:p>
      <w:pPr>
        <w:numPr>
          <w:ilvl w:val="0"/>
          <w:numId w:val="1368"/>
        </w:numPr>
        <w:pStyle w:val="Compact"/>
      </w:pPr>
      <w:r>
        <w:t xml:space="preserve">Pour le BPC-157, une petite étude randomisée portant sur 30 participants après une chirurgie de l’épaule est enregistrée, mais n’a pas encore commencé (NCT07803250, fin prévue en août 2027).</w:t>
      </w:r>
    </w:p>
    <w:p>
      <w:pPr>
        <w:pStyle w:val="FirstParagraph"/>
      </w:pPr>
      <w:r>
        <w:rPr>
          <w:bCs/>
          <w:b/>
        </w:rPr>
        <w:t xml:space="preserve">Appréciation de l’auteur :</w:t>
      </w:r>
      <w:r>
        <w:t xml:space="preserve"> </w:t>
      </w:r>
      <w:r>
        <w:t xml:space="preserve">je considère qu’une autorisation du BPC-157, du TB-500 ou du KPV dans l’UE d’ici 2035 est très improbable. Justification : il n’existe aucun programme de phase 2 ou de phase 3, aucun fabricant ayant un intérêt visible pour une autorisation, et même un résultat positif de la petite étude sur l’épaule ne serait qu’un premier indice. Plus réaliste est une autorisation de niche pour le collyre de thymosine bêta 4 dans une maladie rare de la cornée, si SEER-2 est positive. La thymosine alpha 1 pourrait jouer un rôle plus important en Chine dans le suivi après cancer si l’étude sur le cancer colorectal est positive – mais avec des réserves en raison de l’absence de double aveugle.</w:t>
      </w:r>
    </w:p>
    <w:bookmarkEnd w:id="2945"/>
    <w:bookmarkStart w:id="2947" w:name="groupe-c-axe-de-lhormone-de-croissance"/>
    <w:p>
      <w:pPr>
        <w:pStyle w:val="Heading3"/>
      </w:pPr>
      <w:r>
        <w:t xml:space="preserve">Groupe C – Axe de l’hormone de croissance</w:t>
      </w:r>
    </w:p>
    <w:p>
      <w:pPr>
        <w:pStyle w:val="FirstParagraph"/>
      </w:pPr>
      <w:r>
        <w:rPr>
          <w:bCs/>
          <w:b/>
        </w:rPr>
        <w:t xml:space="preserve">Établi :</w:t>
      </w:r>
    </w:p>
    <w:p>
      <w:pPr>
        <w:numPr>
          <w:ilvl w:val="0"/>
          <w:numId w:val="1369"/>
        </w:numPr>
        <w:pStyle w:val="Compact"/>
      </w:pPr>
      <w:r>
        <w:t xml:space="preserve">L’ibutamorène (pas un peptide) est testé sous le nom de LUM-201 dans une étude de phase 3 portant sur 150 enfants présentant un déficit en hormone de croissance (NCT06948214, fin en janvier 2028). Une étude de phase 2 portant sur 202 personnes âgées obèses doit examiner le LUM-201 en complément du sémaglutide (NCT07754045, fin en février 2028).</w:t>
      </w:r>
    </w:p>
    <w:p>
      <w:pPr>
        <w:numPr>
          <w:ilvl w:val="0"/>
          <w:numId w:val="1369"/>
        </w:numPr>
        <w:pStyle w:val="Compact"/>
      </w:pPr>
      <w:r>
        <w:t xml:space="preserve">Le registre à long terme sur la mécasermine se poursuit jusqu’à fin 2027</w:t>
      </w:r>
      <w:r>
        <w:rPr>
          <w:rStyle w:val="FootnoteReference"/>
        </w:rPr>
        <w:footnoteReference w:id="2946"/>
      </w:r>
      <w:r>
        <w:t xml:space="preserve">.</w:t>
      </w:r>
    </w:p>
    <w:p>
      <w:pPr>
        <w:numPr>
          <w:ilvl w:val="0"/>
          <w:numId w:val="1369"/>
        </w:numPr>
        <w:pStyle w:val="Compact"/>
      </w:pPr>
      <w:r>
        <w:t xml:space="preserve">Pour la sermoréline, le CJC-1295, l’ipamoréline, le GHRP-2, le GHRP-6, l’hexaréline et l’IGF-1 LR3, aucune étude en cours n’est enregistrée (voir les chapitres correspondants).</w:t>
      </w:r>
    </w:p>
    <w:p>
      <w:pPr>
        <w:pStyle w:val="FirstParagraph"/>
      </w:pPr>
      <w:r>
        <w:rPr>
          <w:bCs/>
          <w:b/>
        </w:rPr>
        <w:t xml:space="preserve">Appréciation de l’auteur :</w:t>
      </w:r>
      <w:r>
        <w:t xml:space="preserve"> </w:t>
      </w:r>
      <w:r>
        <w:t xml:space="preserve">je considère qu’une nouvelle autorisation d’un peptide libérant l’hormone de croissance chez l’adulte d’ici 2035 est improbable. Justification : les substances sont anciennes, difficilement brevetables, et les questions de sécurité liées à des taux d’IGF-1 durablement élevés (voir partie IV) rendent les grandes études coûteuses et risquées. Une autre tendance est intéressante : comme une forte perte de poids coûte aussi du muscle, l’axe de l’hormone de croissance pourrait susciter un regain d’attention comme protection musculaire possible – l’étude associant LUM-201 et sémaglutide en est un premier exemple. Qu’il en résulte un bénéfice reste totalement ouvert.</w:t>
      </w:r>
    </w:p>
    <w:bookmarkEnd w:id="2947"/>
    <w:bookmarkStart w:id="2951" w:name="groupe-d-cerveau-sommeil-et-longévité"/>
    <w:p>
      <w:pPr>
        <w:pStyle w:val="Heading3"/>
      </w:pPr>
      <w:r>
        <w:t xml:space="preserve">Groupe D – Cerveau, sommeil et longévité</w:t>
      </w:r>
    </w:p>
    <w:p>
      <w:pPr>
        <w:pStyle w:val="FirstParagraph"/>
      </w:pPr>
      <w:r>
        <w:rPr>
          <w:bCs/>
          <w:b/>
        </w:rPr>
        <w:t xml:space="preserve">Établi :</w:t>
      </w:r>
    </w:p>
    <w:p>
      <w:pPr>
        <w:numPr>
          <w:ilvl w:val="0"/>
          <w:numId w:val="1370"/>
        </w:numPr>
        <w:pStyle w:val="Compact"/>
      </w:pPr>
      <w:r>
        <w:t xml:space="preserve">L’élamipretide (SS-31) est autorisé aux États-Unis depuis septembre 2025 selon une procédure accélérée dans le syndrome de Barth, sous réserve d’une étude de confirmation (4TAZPower, NCT07531251, fin en novembre 2029). L’étude de phase 3 ReNEW dans la dégénérescence maculaire sèche doit s’achever en septembre 2027</w:t>
      </w:r>
      <w:r>
        <w:rPr>
          <w:rStyle w:val="FootnoteReference"/>
        </w:rPr>
        <w:footnoteReference w:id="2948"/>
      </w:r>
      <w:r>
        <w:t xml:space="preserve">.</w:t>
      </w:r>
    </w:p>
    <w:p>
      <w:pPr>
        <w:numPr>
          <w:ilvl w:val="0"/>
          <w:numId w:val="1370"/>
        </w:numPr>
        <w:pStyle w:val="Compact"/>
      </w:pPr>
      <w:r>
        <w:t xml:space="preserve">Pour le Cerebrolysin, seules des études de plus petite taille sont en cours, par exemple dans le CADASIL</w:t>
      </w:r>
      <w:r>
        <w:rPr>
          <w:rStyle w:val="FootnoteReference"/>
        </w:rPr>
        <w:footnoteReference w:id="2949"/>
      </w:r>
      <w:r>
        <w:t xml:space="preserve">.</w:t>
      </w:r>
    </w:p>
    <w:p>
      <w:pPr>
        <w:numPr>
          <w:ilvl w:val="0"/>
          <w:numId w:val="1370"/>
        </w:numPr>
        <w:pStyle w:val="Compact"/>
      </w:pPr>
      <w:r>
        <w:t xml:space="preserve">Pour le Semax, le Selank, le Dihexa, le DSIP, le Pinealon, l’humanine, le FOXO4-DRI et le MOTS-c, aucune étude enregistrée de manière fiable portant sur l’administration de la substance n’est répertoriée. Pour l’Epitalon, il n’existe qu’une étude non contrôlée dans laquelle il est l’un des cinq composants d’un sérum cutané</w:t>
      </w:r>
      <w:r>
        <w:rPr>
          <w:rStyle w:val="FootnoteReference"/>
        </w:rPr>
        <w:footnoteReference w:id="2950"/>
      </w:r>
      <w:r>
        <w:t xml:space="preserve">.</w:t>
      </w:r>
    </w:p>
    <w:p>
      <w:pPr>
        <w:numPr>
          <w:ilvl w:val="0"/>
          <w:numId w:val="1370"/>
        </w:numPr>
        <w:pStyle w:val="Compact"/>
      </w:pPr>
      <w:r>
        <w:t xml:space="preserve">Aux États-Unis, le classement de plusieurs de ces peptides pour les préparations magistrales est en cours de réévaluation (voir les chapitres Semax et Dihexa ; Willis 2026, PMID 42752426).</w:t>
      </w:r>
    </w:p>
    <w:p>
      <w:pPr>
        <w:pStyle w:val="FirstParagraph"/>
      </w:pPr>
      <w:r>
        <w:rPr>
          <w:bCs/>
          <w:b/>
        </w:rPr>
        <w:t xml:space="preserve">Appréciation de l’auteur :</w:t>
      </w:r>
      <w:r>
        <w:t xml:space="preserve"> </w:t>
      </w:r>
      <w:r>
        <w:t xml:space="preserve">les peptides de longévité resteront probablement d’ici 2035 ce qu’ils sont aujourd’hui : des substances avec des données animales intéressantes et une forte demande en ligne, mais sans preuve d’un bénéfice chez l’humain. Justification : les études sur le « vieillissement en bonne santé » nécessitent de nombreuses années et des critères clairs, qui n’existent encore guère dans ce domaine ; aucun fabricant n’a de programme visible. Si les autorités américaines autorisaient certains peptides pour les préparations magistrales, cela en augmenterait la diffusion sans améliorer les données. L’élamipretide est la seule substance de ce groupe ayant une voie réaliste vers une autorisation plus large, et encore uniquement si ReNEW est positive.</w:t>
      </w:r>
    </w:p>
    <w:bookmarkEnd w:id="2951"/>
    <w:bookmarkStart w:id="2953" w:name="X996fa6ec97e5f06dfc6227a628b9037db809be0"/>
    <w:p>
      <w:pPr>
        <w:pStyle w:val="Heading3"/>
      </w:pPr>
      <w:r>
        <w:t xml:space="preserve">Groupe E – Hormones, sexualité et pigmentation</w:t>
      </w:r>
    </w:p>
    <w:p>
      <w:pPr>
        <w:pStyle w:val="FirstParagraph"/>
      </w:pPr>
      <w:r>
        <w:rPr>
          <w:bCs/>
          <w:b/>
        </w:rPr>
        <w:t xml:space="preserve">Établi :</w:t>
      </w:r>
    </w:p>
    <w:p>
      <w:pPr>
        <w:numPr>
          <w:ilvl w:val="0"/>
          <w:numId w:val="1371"/>
        </w:numPr>
        <w:pStyle w:val="Compact"/>
      </w:pPr>
      <w:r>
        <w:t xml:space="preserve">L’étude de phase 3 sur l’afamélanotide dans le vitiligo, portant sur 200 participants, était terminée en juin 2026 selon le registre ; aucun résultat évalué par des pairs n’était disponible en octobre 2026</w:t>
      </w:r>
      <w:r>
        <w:rPr>
          <w:rStyle w:val="FootnoteReference"/>
        </w:rPr>
        <w:footnoteReference w:id="2952"/>
      </w:r>
      <w:r>
        <w:t xml:space="preserve">.</w:t>
      </w:r>
    </w:p>
    <w:p>
      <w:pPr>
        <w:numPr>
          <w:ilvl w:val="0"/>
          <w:numId w:val="1371"/>
        </w:numPr>
        <w:pStyle w:val="Compact"/>
      </w:pPr>
      <w:r>
        <w:t xml:space="preserve">La kisspeptine est étudiée dans de petites études de phase 2 dans le déficit hormonal congénital (NCT05896293, fin en mai 2028) et dans l’aménorrhée hypothalamique (NCT07224438, fin en mai 2030).</w:t>
      </w:r>
    </w:p>
    <w:p>
      <w:pPr>
        <w:numPr>
          <w:ilvl w:val="0"/>
          <w:numId w:val="1371"/>
        </w:numPr>
        <w:pStyle w:val="Compact"/>
      </w:pPr>
      <w:r>
        <w:t xml:space="preserve">L’ocytocine en spray nasal est testée en complément d’une thérapie de couple dans le trouble de stress post-traumatique chez 240 participants (NCT06194851, fin en septembre 2028).</w:t>
      </w:r>
    </w:p>
    <w:p>
      <w:pPr>
        <w:pStyle w:val="FirstParagraph"/>
      </w:pPr>
      <w:r>
        <w:rPr>
          <w:bCs/>
          <w:b/>
        </w:rPr>
        <w:t xml:space="preserve">Appréciation de l’auteur :</w:t>
      </w:r>
      <w:r>
        <w:t xml:space="preserve"> </w:t>
      </w:r>
      <w:r>
        <w:t xml:space="preserve">le plus envisageable d’ici 2030 est une extension de l’autorisation de l’afamélanotide au vitiligo – si l’étude de phase 3 est positive. La kisspeptine devrait rester un outil de recherche et de diagnostic ; une autorisation d’ici 2035 suppose de plus grandes études comparatives, qui font défaut jusqu’à présent. Pour l’ocytocine en spray nasal, je ne m’attends à aucune autorisation dans l’autisme ou l’anxiété sociale, tout au plus à des preuves pour des usages étroitement délimités en association avec une psychothérapie. Le Melanotan II reste un produit du marché gris.</w:t>
      </w:r>
    </w:p>
    <w:bookmarkEnd w:id="2953"/>
    <w:bookmarkStart w:id="2954" w:name="Xcd31beb61376430e6c7864701d566ce8308329d"/>
    <w:p>
      <w:pPr>
        <w:pStyle w:val="Heading3"/>
      </w:pPr>
      <w:r>
        <w:t xml:space="preserve">Groupe F – Collagène, nutrition et cosmétique</w:t>
      </w:r>
    </w:p>
    <w:p>
      <w:pPr>
        <w:pStyle w:val="FirstParagraph"/>
      </w:pPr>
      <w:r>
        <w:rPr>
          <w:bCs/>
          <w:b/>
        </w:rPr>
        <w:t xml:space="preserve">Établi :</w:t>
      </w:r>
    </w:p>
    <w:p>
      <w:pPr>
        <w:numPr>
          <w:ilvl w:val="0"/>
          <w:numId w:val="1372"/>
        </w:numPr>
        <w:pStyle w:val="Compact"/>
      </w:pPr>
      <w:r>
        <w:t xml:space="preserve">Une étude contrôlée contre placebo portant sur 204 participants teste l’hydrolysat de collagène dans l’arthrose du genou, avec la douleur comme critère principal (NCT04998188, fin en décembre 2027).</w:t>
      </w:r>
    </w:p>
    <w:p>
      <w:pPr>
        <w:numPr>
          <w:ilvl w:val="0"/>
          <w:numId w:val="1372"/>
        </w:numPr>
        <w:pStyle w:val="Compact"/>
      </w:pPr>
      <w:r>
        <w:t xml:space="preserve">Une étude de phase 1/2 portant sur 144 participants examine la carnosine dans l’artériopathie oblitérante des membres inférieurs, avec la distance de marche en six minutes comme critère principal (NCT06480760, fin en octobre 2028).</w:t>
      </w:r>
    </w:p>
    <w:p>
      <w:pPr>
        <w:numPr>
          <w:ilvl w:val="0"/>
          <w:numId w:val="1372"/>
        </w:numPr>
        <w:pStyle w:val="Compact"/>
      </w:pPr>
      <w:r>
        <w:t xml:space="preserve">Pour les lactotripeptides, le Matrixyl et l’Argireline, aucune étude en cours n’est enregistrée.</w:t>
      </w:r>
    </w:p>
    <w:p>
      <w:pPr>
        <w:pStyle w:val="FirstParagraph"/>
      </w:pPr>
      <w:r>
        <w:rPr>
          <w:bCs/>
          <w:b/>
        </w:rPr>
        <w:t xml:space="preserve">Appréciation de l’auteur :</w:t>
      </w:r>
      <w:r>
        <w:t xml:space="preserve"> </w:t>
      </w:r>
      <w:r>
        <w:t xml:space="preserve">ce groupe restera dans le domaine de l’alimentation et de la cosmétique ; aucune autorisation de médicament n’est à attendre, car les produits sont déjà en vente libre et personne n’aurait intérêt à supporter les coûts d’un programme d’autorisation. Ce qui pourrait changer, c’est la qualité des preuves : des études à financement indépendant et enregistrées au préalable, comme celle sur l’arthrose du genou, montreront si les petits effets observés dans des études financées par les fabricants se confirment. Je m’attends à ce que les effets soient plutôt plus faibles dans de telles études.</w:t>
      </w:r>
    </w:p>
    <w:bookmarkEnd w:id="2954"/>
    <w:bookmarkStart w:id="2973" w:name="thèmes-transversaux"/>
    <w:p>
      <w:pPr>
        <w:pStyle w:val="Heading3"/>
      </w:pPr>
      <w:r>
        <w:t xml:space="preserve">Thèmes transversaux</w:t>
      </w:r>
    </w:p>
    <w:bookmarkStart w:id="2956" w:name="données-à-long-terme"/>
    <w:p>
      <w:pPr>
        <w:pStyle w:val="Heading4"/>
      </w:pPr>
      <w:r>
        <w:t xml:space="preserve">Données à long terme</w:t>
      </w:r>
    </w:p>
    <w:p>
      <w:pPr>
        <w:pStyle w:val="FirstParagraph"/>
      </w:pPr>
      <w:r>
        <w:rPr>
          <w:bCs/>
          <w:b/>
        </w:rPr>
        <w:t xml:space="preserve">Établi :</w:t>
      </w:r>
      <w:r>
        <w:t xml:space="preserve"> </w:t>
      </w:r>
      <w:r>
        <w:t xml:space="preserve">la ligne directrice de l’OMS sur les traitements GLP-1 dans l’obésité ne formule qu’une recommandation conditionnelle et cite les données limitées à long terme parmi les raisons</w:t>
      </w:r>
      <w:r>
        <w:rPr>
          <w:rStyle w:val="FootnoteReference"/>
        </w:rPr>
        <w:footnoteReference w:id="2955"/>
      </w:r>
      <w:r>
        <w:t xml:space="preserve">. Les études de critères cliniques en cours suivent leurs participants pendant plusieurs années, mais presque aucune pendant dix ans.</w:t>
      </w:r>
    </w:p>
    <w:p>
      <w:pPr>
        <w:pStyle w:val="BodyText"/>
      </w:pPr>
      <w:r>
        <w:rPr>
          <w:bCs/>
          <w:b/>
        </w:rPr>
        <w:t xml:space="preserve">Appréciation de l’auteur :</w:t>
      </w:r>
      <w:r>
        <w:t xml:space="preserve"> </w:t>
      </w:r>
      <w:r>
        <w:t xml:space="preserve">d’ici 2035, les données à dix ans proviendront surtout de registres nationaux et de données d’assurance maladie, et non d’études randomisées. Elles permettront de mieux saisir les effets indésirables rares, mais distingueront plus difficilement la cause et l’effet. Chez les enfants et les adolescents, pour lesquels plusieurs études se poursuivent jusqu’au début des années 2030, la question des conséquences à long terme est particulièrement pressante.</w:t>
      </w:r>
    </w:p>
    <w:bookmarkEnd w:id="2956"/>
    <w:bookmarkStart w:id="2961" w:name="traitement-dentretien"/>
    <w:p>
      <w:pPr>
        <w:pStyle w:val="Heading4"/>
      </w:pPr>
      <w:r>
        <w:t xml:space="preserve">Traitement d’entretien</w:t>
      </w:r>
    </w:p>
    <w:p>
      <w:pPr>
        <w:pStyle w:val="FirstParagraph"/>
      </w:pPr>
      <w:r>
        <w:rPr>
          <w:bCs/>
          <w:b/>
        </w:rPr>
        <w:t xml:space="preserve">Établi :</w:t>
      </w:r>
      <w:r>
        <w:t xml:space="preserve"> </w:t>
      </w:r>
      <w:r>
        <w:t xml:space="preserve">après l’arrêt, une grande partie du poids perdu est reprise. Dans la prolongation de STEP 1, il s’agissait en moyenne des deux tiers un an après la fin du traitement par sémaglutide</w:t>
      </w:r>
      <w:r>
        <w:rPr>
          <w:rStyle w:val="FootnoteReference"/>
        </w:rPr>
        <w:footnoteReference w:id="2957"/>
      </w:r>
      <w:r>
        <w:t xml:space="preserve">. Dans SURMOUNT-4, les participants passés du tirzépatide au placebo ont repris 14,0 % au cours de l’année suivante</w:t>
      </w:r>
      <w:r>
        <w:rPr>
          <w:rStyle w:val="FootnoteReference"/>
        </w:rPr>
        <w:footnoteReference w:id="2958"/>
      </w:r>
      <w:r>
        <w:t xml:space="preserve">. Dans ATTAIN-MAINTAIN, le passage de l’injection à l’orforglipron a permis de conserver une grande partie de la perte de poids</w:t>
      </w:r>
      <w:r>
        <w:rPr>
          <w:rStyle w:val="FootnoteReference"/>
        </w:rPr>
        <w:footnoteReference w:id="2959"/>
      </w:r>
      <w:r>
        <w:t xml:space="preserve">. D’autres études sur le maintien du poids sont en cours (TRIUMPH-6, NCT06859268 ; passage à des substances mensuelles, NCT07575399, NCT07845500). Des modélisations suggèrent que des administrations plus espacées pourraient préserver une partie de l’effet ; cela n’a pas encore été testé dans des études et ne justifie pas de modifier le traitement de sa propre initiative</w:t>
      </w:r>
      <w:r>
        <w:rPr>
          <w:rStyle w:val="FootnoteReference"/>
        </w:rPr>
        <w:footnoteReference w:id="2960"/>
      </w:r>
      <w:r>
        <w:t xml:space="preserve">.</w:t>
      </w:r>
    </w:p>
    <w:p>
      <w:pPr>
        <w:pStyle w:val="BodyText"/>
      </w:pPr>
      <w:r>
        <w:rPr>
          <w:bCs/>
          <w:b/>
        </w:rPr>
        <w:t xml:space="preserve">Appréciation de l’auteur :</w:t>
      </w:r>
      <w:r>
        <w:t xml:space="preserve"> </w:t>
      </w:r>
      <w:r>
        <w:t xml:space="preserve">d’ici 2030, un modèle par étapes s’imposera : d’abord une phase avec une substance très efficace, puis un entretien avec un comprimé, une préparation mensuelle ou une intensité moindre. Justification : plusieurs fabricants testent précisément cette séquence, et elle est attrayante pour les payeurs. La question de savoir si l’entretien doit durer toute la vie ou si, chez certaines personnes, un arrêt sans reprise de poids importante est possible restera l’une des questions ouvertes les plus importantes.</w:t>
      </w:r>
    </w:p>
    <w:bookmarkEnd w:id="2961"/>
    <w:bookmarkStart w:id="2963" w:name="personnalisation"/>
    <w:p>
      <w:pPr>
        <w:pStyle w:val="Heading4"/>
      </w:pPr>
      <w:r>
        <w:t xml:space="preserve">Personnalisation</w:t>
      </w:r>
    </w:p>
    <w:p>
      <w:pPr>
        <w:pStyle w:val="FirstParagraph"/>
      </w:pPr>
      <w:r>
        <w:rPr>
          <w:bCs/>
          <w:b/>
        </w:rPr>
        <w:t xml:space="preserve">Établi :</w:t>
      </w:r>
      <w:r>
        <w:t xml:space="preserve"> </w:t>
      </w:r>
      <w:r>
        <w:t xml:space="preserve">la médecine de précision dans l’obésité existe déjà pour des formes génétiques rares : le setmélanotide n’est autorisé que pour certains défauts génétiques (voir le chapitre Setmélanotide). L’orforglipron est testé dans une étude portant sur 2 001 participants en surpoids afin de prévenir la progression vers l’obésité ou vers des maladies associées (ATTAIN-NOW, NCT07794579, fin en septembre 2030). L’OMS annonce qu’elle élaborera ensuite des critères pour déterminer qui doit être traité en priorité lorsque les moyens sont limités</w:t>
      </w:r>
      <w:r>
        <w:rPr>
          <w:rStyle w:val="FootnoteReference"/>
        </w:rPr>
        <w:footnoteReference w:id="2962"/>
      </w:r>
      <w:r>
        <w:t xml:space="preserve">.</w:t>
      </w:r>
    </w:p>
    <w:p>
      <w:pPr>
        <w:pStyle w:val="BodyText"/>
      </w:pPr>
      <w:r>
        <w:rPr>
          <w:bCs/>
          <w:b/>
        </w:rPr>
        <w:t xml:space="preserve">Appréciation de l’auteur :</w:t>
      </w:r>
      <w:r>
        <w:t xml:space="preserve"> </w:t>
      </w:r>
      <w:r>
        <w:t xml:space="preserve">un test fiable indiquant à l’avance qui répondra bien à quelle substance n’est pas en vue d’ici 2030. La personnalisation sera d’abord pragmatique : selon les maladies associées, la tolérance, l’acceptation des injections et les coûts. La question de savoir si des médicaments doivent être utilisés avant même l’apparition d’une obésité restera controversée sur les plans éthique et économique.</w:t>
      </w:r>
    </w:p>
    <w:bookmarkEnd w:id="2963"/>
    <w:bookmarkStart w:id="2967" w:name="réglementation-du-marché-gris"/>
    <w:p>
      <w:pPr>
        <w:pStyle w:val="Heading4"/>
      </w:pPr>
      <w:r>
        <w:t xml:space="preserve">Réglementation du marché gris</w:t>
      </w:r>
    </w:p>
    <w:p>
      <w:pPr>
        <w:pStyle w:val="FirstParagraph"/>
      </w:pPr>
      <w:r>
        <w:rPr>
          <w:bCs/>
          <w:b/>
        </w:rPr>
        <w:t xml:space="preserve">Établi :</w:t>
      </w:r>
      <w:r>
        <w:t xml:space="preserve"> </w:t>
      </w:r>
      <w:r>
        <w:t xml:space="preserve">les analyses de laboratoire et les rapports de cas des parties I et IV montrent des contrefaçons, des erreurs de dosage et des impuretés. Entre-temps, même des substances non autorisées comme le rétatrutide et le zénagamtide sont vendues en ligne</w:t>
      </w:r>
      <w:r>
        <w:rPr>
          <w:rStyle w:val="FootnoteReference"/>
        </w:rPr>
        <w:footnoteReference w:id="2964"/>
      </w:r>
      <w:r>
        <w:t xml:space="preserve">. Aux États-Unis, les copies de sémaglutide et de tirzépatide préparées en pharmacie ont largement pris fin avec la fin des pénuries ; des préparations modifiées subsistent</w:t>
      </w:r>
      <w:r>
        <w:rPr>
          <w:rStyle w:val="FootnoteReference"/>
        </w:rPr>
        <w:footnoteReference w:id="2965"/>
      </w:r>
      <w:r>
        <w:t xml:space="preserve">. Le classement des peptides pour les préparations magistrales est en cours de renégociation aux États-Unis</w:t>
      </w:r>
      <w:r>
        <w:rPr>
          <w:rStyle w:val="FootnoteReference"/>
        </w:rPr>
        <w:footnoteReference w:id="2966"/>
      </w:r>
      <w:r>
        <w:t xml:space="preserve">.</w:t>
      </w:r>
    </w:p>
    <w:p>
      <w:pPr>
        <w:pStyle w:val="BodyText"/>
      </w:pPr>
      <w:r>
        <w:rPr>
          <w:bCs/>
          <w:b/>
        </w:rPr>
        <w:t xml:space="preserve">Appréciation de l’auteur :</w:t>
      </w:r>
      <w:r>
        <w:t xml:space="preserve"> </w:t>
      </w:r>
      <w:r>
        <w:t xml:space="preserve">le marché gris ne disparaîtra pas d’ici 2035, mais il évoluera. La baisse des prix des médicaments autorisés devrait réduire l’incitation à contrefaire le sémaglutide. Dans le même temps, chaque nouvelle substance qui fait sensation dans les études sera proposée comme « research peptide » avant même son autorisation. Je m’attends à des contrôles plus stricts des vendeurs en ligne et des moyens de paiement dans l’UE, mais pas à une solution efficace tant que des commandes seront possibles depuis des pays où la surveillance est faible.</w:t>
      </w:r>
    </w:p>
    <w:bookmarkEnd w:id="2967"/>
    <w:bookmarkStart w:id="2972" w:name="Xdbfba8177aa173dd17b4f4e3360c2da0108034c"/>
    <w:p>
      <w:pPr>
        <w:pStyle w:val="Heading4"/>
      </w:pPr>
      <w:r>
        <w:t xml:space="preserve">Intelligence artificielle dans la conception de peptides</w:t>
      </w:r>
    </w:p>
    <w:p>
      <w:pPr>
        <w:pStyle w:val="FirstParagraph"/>
      </w:pPr>
      <w:r>
        <w:rPr>
          <w:bCs/>
          <w:b/>
        </w:rPr>
        <w:t xml:space="preserve">Établi :</w:t>
      </w:r>
      <w:r>
        <w:t xml:space="preserve"> </w:t>
      </w:r>
      <w:r>
        <w:t xml:space="preserve">jusqu’à présent, toutes les preuves publiées proviennent d’expériences de laboratoire et animales. Une équipe de recherche a conçu à l’aide de méthodes d’apprentissage automatique 10 000 nouveaux agonistes du récepteur du GLP-1, en a sélectionné 60 par ordinateur et les a testés en laboratoire ; deux candidats ont agi chez la souris environ trois fois plus longtemps que le sémaglutide</w:t>
      </w:r>
      <w:r>
        <w:rPr>
          <w:rStyle w:val="FootnoteReference"/>
        </w:rPr>
        <w:footnoteReference w:id="2968"/>
      </w:r>
      <w:r>
        <w:t xml:space="preserve">. Une autre méthode a conçu des peptides cycliques se liant de manière ciblée à des protéines prédéfinies ; les structures déterminées en laboratoire concordaient étroitement avec les modèles informatiques</w:t>
      </w:r>
      <w:r>
        <w:rPr>
          <w:rStyle w:val="FootnoteReference"/>
        </w:rPr>
        <w:footnoteReference w:id="2969"/>
      </w:r>
      <w:r>
        <w:t xml:space="preserve">. Un modèle d’apprentissage a permis de dériver de peptides bactériens de nouveaux peptides antimicrobiens, dont l’un a réduit de plus de 95 % la charge bactérienne chez des souris atteintes d’une infection de la cuisse</w:t>
      </w:r>
      <w:r>
        <w:rPr>
          <w:rStyle w:val="FootnoteReference"/>
        </w:rPr>
        <w:footnoteReference w:id="2970"/>
      </w:r>
      <w:r>
        <w:t xml:space="preserve">. Le peptide oral anti-PCSK9 enlicitide a été découvert grâce à une autre méthode à haut débit et se trouve déjà en phase 3</w:t>
      </w:r>
      <w:r>
        <w:rPr>
          <w:rStyle w:val="FootnoteReference"/>
        </w:rPr>
        <w:footnoteReference w:id="2971"/>
      </w:r>
      <w:r>
        <w:t xml:space="preserve">.</w:t>
      </w:r>
    </w:p>
    <w:p>
      <w:pPr>
        <w:pStyle w:val="BodyText"/>
      </w:pPr>
      <w:r>
        <w:rPr>
          <w:bCs/>
          <w:b/>
        </w:rPr>
        <w:t xml:space="preserve">Appréciation de l’auteur :</w:t>
      </w:r>
      <w:r>
        <w:t xml:space="preserve"> </w:t>
      </w:r>
      <w:r>
        <w:t xml:space="preserve">d’ici 2030, les premiers peptides conçus à l’aide de méthodes d’IA feront l’objet d’études précoces chez l’humain ; une autorisation d’ici 2035 est possible, mais pas probable, car même une molécule trouvée rapidement doit franchir toutes les phases cliniques. L’IA raccourcit la recherche de candidats, pas leur évaluation chez l’humain. Pour les lectrices et lecteurs, cela signifie : les offres qui promettent des « peptides optimisés par IA » relèvent de la publicité, pas d’une preuve d’efficacité.</w:t>
      </w:r>
    </w:p>
    <w:bookmarkEnd w:id="2972"/>
    <w:bookmarkEnd w:id="2973"/>
    <w:bookmarkStart w:id="2974" w:name="Xc0b9d39cffff2719ebdeb2524477b300319760a"/>
    <w:p>
      <w:pPr>
        <w:pStyle w:val="Heading3"/>
      </w:pPr>
      <w:r>
        <w:t xml:space="preserve">Calendrier : ce qui est annoncé dans le registre d’ici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Période</w:t>
            </w:r>
          </w:p>
        </w:tc>
        <w:tc>
          <w:tcPr/>
          <w:p>
            <w:pPr>
              <w:pStyle w:val="Compact"/>
              <w:jc w:val="left"/>
            </w:pPr>
            <w:r>
              <w:t xml:space="preserve">Événement attendu selon le registre</w:t>
            </w:r>
          </w:p>
        </w:tc>
        <w:tc>
          <w:tcPr/>
          <w:p>
            <w:pPr>
              <w:pStyle w:val="Compact"/>
              <w:jc w:val="left"/>
            </w:pPr>
            <w:r>
              <w:t xml:space="preserve">Substance</w:t>
            </w:r>
          </w:p>
        </w:tc>
        <w:tc>
          <w:tcPr/>
          <w:p>
            <w:pPr>
              <w:pStyle w:val="Compact"/>
              <w:jc w:val="left"/>
            </w:pPr>
            <w:r>
              <w:t xml:space="preserve">Étude</w:t>
            </w:r>
          </w:p>
        </w:tc>
      </w:tr>
      <w:tr>
        <w:tc>
          <w:tcPr/>
          <w:p>
            <w:pPr>
              <w:pStyle w:val="Compact"/>
              <w:jc w:val="left"/>
            </w:pPr>
            <w:r>
              <w:t xml:space="preserve">2026/2027</w:t>
            </w:r>
          </w:p>
        </w:tc>
        <w:tc>
          <w:tcPr/>
          <w:p>
            <w:pPr>
              <w:pStyle w:val="Compact"/>
              <w:jc w:val="left"/>
            </w:pPr>
            <w:r>
              <w:t xml:space="preserve">résultats de la comparaison directe avec le tirzépatide</w:t>
            </w:r>
          </w:p>
        </w:tc>
        <w:tc>
          <w:tcPr/>
          <w:p>
            <w:pPr>
              <w:pStyle w:val="Compact"/>
              <w:jc w:val="left"/>
            </w:pPr>
            <w:r>
              <w:t xml:space="preserve">Rétatrutide</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résultats cardiovasculaires sans diabète</w:t>
            </w:r>
          </w:p>
        </w:tc>
        <w:tc>
          <w:tcPr/>
          <w:p>
            <w:pPr>
              <w:pStyle w:val="Compact"/>
              <w:jc w:val="left"/>
            </w:pPr>
            <w:r>
              <w:t xml:space="preserve">Tirzépatide</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résultats cardiovasculaires</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suivi après cancer colorectal</w:t>
            </w:r>
          </w:p>
        </w:tc>
        <w:tc>
          <w:tcPr/>
          <w:p>
            <w:pPr>
              <w:pStyle w:val="Compact"/>
              <w:jc w:val="left"/>
            </w:pPr>
            <w:r>
              <w:t xml:space="preserve">Thymosine alpha 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dégénérescence maculaire</w:t>
            </w:r>
          </w:p>
        </w:tc>
        <w:tc>
          <w:tcPr/>
          <w:p>
            <w:pPr>
              <w:pStyle w:val="Compact"/>
              <w:jc w:val="left"/>
            </w:pPr>
            <w:r>
              <w:t xml:space="preserve">Élamipretide</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croissance chez l’enfant</w:t>
            </w:r>
          </w:p>
        </w:tc>
        <w:tc>
          <w:tcPr/>
          <w:p>
            <w:pPr>
              <w:pStyle w:val="Compact"/>
              <w:jc w:val="left"/>
            </w:pPr>
            <w:r>
              <w:t xml:space="preserve">Ibutamorène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événements cardiaques et rénaux</w:t>
            </w:r>
          </w:p>
        </w:tc>
        <w:tc>
          <w:tcPr/>
          <w:p>
            <w:pPr>
              <w:pStyle w:val="Compact"/>
              <w:jc w:val="left"/>
            </w:pPr>
            <w:r>
              <w:t xml:space="preserve">Rétatrutide</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résultats cardiovasculaires, insuffisance cardiaque</w:t>
            </w:r>
          </w:p>
        </w:tc>
        <w:tc>
          <w:tcPr/>
          <w:p>
            <w:pPr>
              <w:pStyle w:val="Compact"/>
              <w:jc w:val="left"/>
            </w:pPr>
            <w:r>
              <w:t xml:space="preserve">Maridebart cafraglutide</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résultats cardiovasculaires</w:t>
            </w:r>
          </w:p>
        </w:tc>
        <w:tc>
          <w:tcPr/>
          <w:p>
            <w:pPr>
              <w:pStyle w:val="Compact"/>
              <w:jc w:val="left"/>
            </w:pPr>
            <w:r>
              <w:t xml:space="preserve">Zénagamtide</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résultats cardiovasculaires</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résultats cardiovasculaires</w:t>
            </w:r>
          </w:p>
        </w:tc>
        <w:tc>
          <w:tcPr/>
          <w:p>
            <w:pPr>
              <w:pStyle w:val="Compact"/>
              <w:jc w:val="left"/>
            </w:pPr>
            <w:r>
              <w:t xml:space="preserve">Enlicitide (peptide oral)</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événements hépatiques graves</w:t>
            </w:r>
          </w:p>
        </w:tc>
        <w:tc>
          <w:tcPr/>
          <w:p>
            <w:pPr>
              <w:pStyle w:val="Compact"/>
              <w:jc w:val="left"/>
            </w:pPr>
            <w:r>
              <w:t xml:space="preserve">Tirzépatide, rétatrutide</w:t>
            </w:r>
          </w:p>
        </w:tc>
        <w:tc>
          <w:tcPr/>
          <w:p>
            <w:pPr>
              <w:pStyle w:val="Compact"/>
              <w:jc w:val="left"/>
            </w:pPr>
            <w:r>
              <w:t xml:space="preserve">NCT07165028</w:t>
            </w:r>
          </w:p>
        </w:tc>
      </w:tr>
    </w:tbl>
    <w:p>
      <w:pPr>
        <w:pStyle w:val="BodyText"/>
      </w:pPr>
      <w:r>
        <w:t xml:space="preserve">Les années sont les fins d’étude indiquées dans le registre. Les publications suivent généralement plus tard, et les reports sont fréquents.</w:t>
      </w:r>
    </w:p>
    <w:bookmarkEnd w:id="2974"/>
    <w:bookmarkStart w:id="2975" w:name="conclusion-du-livre"/>
    <w:p>
      <w:pPr>
        <w:pStyle w:val="Heading3"/>
      </w:pPr>
      <w:r>
        <w:t xml:space="preserve">Conclusion du livre</w:t>
      </w:r>
    </w:p>
    <w:p>
      <w:pPr>
        <w:pStyle w:val="FirstParagraph"/>
      </w:pPr>
      <w:r>
        <w:t xml:space="preserve">Parmi les peptides de ce livre, seuls quelques-uns ont prouvé leur efficacité dans de grandes études chez l’humain – au premier rang desquels les médicaments à base de GLP-1, dont le bénéfice est démontré jusqu’à la réduction des événements cardiovasculaires. Pour la plupart des peptides promus sur Internet comme remèdes miracles pour la guérison, les muscles ou une longue vie, il n’existe en revanche que des expérimentations animales, de petites études ou aucune donnée – et pas non plus de grande étude en cours qui changerait bientôt la donne. L’avenir de la médecine peptidique ne se joue donc pas dans les boutiques en ligne, mais dans les études de critères cliniques qui s’achèveront entre 2027 et 2032. Si tu t’intéresses à un peptide, le mieux est de te poser trois questions : existe-t-il des études randomisées chez l’humain, le produit est-il un médicament contrôlé, et une ou un médecin accompagne-t-il l’utilisation ?</w:t>
      </w:r>
    </w:p>
    <w:bookmarkEnd w:id="2975"/>
    <w:bookmarkEnd w:id="2976"/>
    <w:bookmarkEnd w:id="2977"/>
    <w:bookmarkStart w:id="2997" w:name="glossaire"/>
    <w:p>
      <w:pPr>
        <w:pStyle w:val="Heading1"/>
      </w:pPr>
      <w:r>
        <w:t xml:space="preserve">Glossaire</w:t>
      </w:r>
    </w:p>
    <w:p>
      <w:pPr>
        <w:pStyle w:val="FirstParagraph"/>
      </w:pPr>
      <w:r>
        <w:t xml:space="preserve">Les explications qui suivent sont volontairement brèves. Tu trouveras des présentations plus détaillées dans les chapitres de la partie I, en particulier « Ce que sont les peptides – et ce qu’ils ne sont pas » et « Bien lire les études ».</w:t>
      </w:r>
    </w:p>
    <w:bookmarkStart w:id="2978" w:name="a"/>
    <w:p>
      <w:pPr>
        <w:pStyle w:val="Heading3"/>
      </w:pPr>
      <w:r>
        <w:t xml:space="preserve">A</w:t>
      </w:r>
    </w:p>
    <w:p>
      <w:pPr>
        <w:pStyle w:val="FirstParagraph"/>
      </w:pPr>
      <w:r>
        <w:rPr>
          <w:bCs/>
          <w:b/>
        </w:rPr>
        <w:t xml:space="preserve">Acide aminé</w:t>
      </w:r>
      <w:r>
        <w:t xml:space="preserve"> </w:t>
      </w:r>
      <w:r>
        <w:t xml:space="preserve">: élément constitutif de base des peptides et des protéines. L’être humain utilise essentiellement 20 acides aminés standard, reliés en chaînes par des liaisons peptidiques.</w:t>
      </w:r>
    </w:p>
    <w:p>
      <w:pPr>
        <w:pStyle w:val="BodyText"/>
      </w:pPr>
      <w:r>
        <w:rPr>
          <w:bCs/>
          <w:b/>
        </w:rPr>
        <w:t xml:space="preserve">Acromégalie</w:t>
      </w:r>
      <w:r>
        <w:t xml:space="preserve"> </w:t>
      </w:r>
      <w:r>
        <w:t xml:space="preserve">: maladie due à une surproduction durable d’hormone de croissance à l’âge adulte, le plus souvent causée par une tumeur bénigne de l’hypophyse. Elle se caractérise par des mains, des pieds et des traits du visage élargis.</w:t>
      </w:r>
    </w:p>
    <w:p>
      <w:pPr>
        <w:pStyle w:val="BodyText"/>
      </w:pPr>
      <w:r>
        <w:rPr>
          <w:bCs/>
          <w:b/>
        </w:rPr>
        <w:t xml:space="preserve">Agoniste</w:t>
      </w:r>
      <w:r>
        <w:t xml:space="preserve"> </w:t>
      </w:r>
      <w:r>
        <w:t xml:space="preserve">: substance qui se lie à un récepteur et l’active, c’est-à-dire déclenche un signal. Le sémaglutide est par exemple un agoniste du récepteur du GLP-1.</w:t>
      </w:r>
    </w:p>
    <w:p>
      <w:pPr>
        <w:pStyle w:val="BodyText"/>
      </w:pPr>
      <w:r>
        <w:rPr>
          <w:bCs/>
          <w:b/>
        </w:rPr>
        <w:t xml:space="preserve">Agoniste du récepteur du GLP-1</w:t>
      </w:r>
      <w:r>
        <w:t xml:space="preserve"> </w:t>
      </w:r>
      <w:r>
        <w:t xml:space="preserve">: substance active qui active le récepteur du GLP-1, par exemple l’exénatide, le liraglutide, le dulaglutide ou le sémaglutide.</w:t>
      </w:r>
    </w:p>
    <w:p>
      <w:pPr>
        <w:pStyle w:val="BodyText"/>
      </w:pPr>
      <w:r>
        <w:rPr>
          <w:bCs/>
          <w:b/>
        </w:rPr>
        <w:t xml:space="preserve">Albumine</w:t>
      </w:r>
      <w:r>
        <w:t xml:space="preserve"> </w:t>
      </w:r>
      <w:r>
        <w:t xml:space="preserve">: la protéine la plus abondante du plasma sanguin. Certains médicaments peptidiques sont conçus pour se lier à l’albumine et rester ainsi plus longtemps dans l’organisme.</w:t>
      </w:r>
    </w:p>
    <w:p>
      <w:pPr>
        <w:pStyle w:val="BodyText"/>
      </w:pPr>
      <w:r>
        <w:rPr>
          <w:bCs/>
          <w:b/>
        </w:rPr>
        <w:t xml:space="preserve">Amyline</w:t>
      </w:r>
      <w:r>
        <w:t xml:space="preserve"> </w:t>
      </w:r>
      <w:r>
        <w:t xml:space="preserve">: hormone peptidique sécrétée par le pancréas en même temps que l’insuline, qui influence notamment la satiété et la vidange gastrique. Des dérivés comme le pramlintide et le cagrilintide sont utilisés ou étudiés comme médicaments.</w:t>
      </w:r>
    </w:p>
    <w:p>
      <w:pPr>
        <w:pStyle w:val="BodyText"/>
      </w:pPr>
      <w:r>
        <w:rPr>
          <w:bCs/>
          <w:b/>
        </w:rPr>
        <w:t xml:space="preserve">Analogue</w:t>
      </w:r>
      <w:r>
        <w:t xml:space="preserve"> </w:t>
      </w:r>
      <w:r>
        <w:t xml:space="preserve">: molécule copiée sur un modèle naturel, mais modifiée de manière ciblée – par exemple pour la rendre plus stable ou plus durablement active.</w:t>
      </w:r>
    </w:p>
    <w:p>
      <w:pPr>
        <w:pStyle w:val="BodyText"/>
      </w:pPr>
      <w:r>
        <w:rPr>
          <w:bCs/>
          <w:b/>
        </w:rPr>
        <w:t xml:space="preserve">Analyse en intention de traiter</w:t>
      </w:r>
      <w:r>
        <w:t xml:space="preserve"> </w:t>
      </w:r>
      <w:r>
        <w:t xml:space="preserve">: analyse d’une étude dans laquelle tous les participants sont comptés dans le groupe auquel ils ont été attribués – même s’ils ont arrêté le traitement. Elle est considérée comme une estimation plus réaliste de l’effet dans la vie quotidienne.</w:t>
      </w:r>
    </w:p>
    <w:p>
      <w:pPr>
        <w:pStyle w:val="BodyText"/>
      </w:pPr>
      <w:r>
        <w:rPr>
          <w:bCs/>
          <w:b/>
        </w:rPr>
        <w:t xml:space="preserve">Angiogenèse</w:t>
      </w:r>
      <w:r>
        <w:t xml:space="preserve"> </w:t>
      </w:r>
      <w:r>
        <w:t xml:space="preserve">: formation de nouveaux vaisseaux sanguins. Elle est importante pour la cicatrisation des plaies, mais peut aussi favoriser la croissance des tumeurs.</w:t>
      </w:r>
    </w:p>
    <w:p>
      <w:pPr>
        <w:pStyle w:val="BodyText"/>
      </w:pPr>
      <w:r>
        <w:rPr>
          <w:bCs/>
          <w:b/>
        </w:rPr>
        <w:t xml:space="preserve">Antagoniste</w:t>
      </w:r>
      <w:r>
        <w:t xml:space="preserve"> </w:t>
      </w:r>
      <w:r>
        <w:t xml:space="preserve">: substance qui se lie à un récepteur sans l’activer et bloque ainsi l’effet des messagers endogènes.</w:t>
      </w:r>
    </w:p>
    <w:p>
      <w:pPr>
        <w:pStyle w:val="BodyText"/>
      </w:pPr>
      <w:r>
        <w:rPr>
          <w:bCs/>
          <w:b/>
        </w:rPr>
        <w:t xml:space="preserve">Anticorps</w:t>
      </w:r>
      <w:r>
        <w:t xml:space="preserve"> </w:t>
      </w:r>
      <w:r>
        <w:t xml:space="preserve">: molécules protéiques du système immunitaire qui se lient de manière ciblée à des structures étrangères. Les anticorps formés contre des médicaments peptidiques peuvent en atténuer l’effet ou déclencher des réactions.</w:t>
      </w:r>
    </w:p>
    <w:p>
      <w:pPr>
        <w:pStyle w:val="BodyText"/>
      </w:pPr>
      <w:r>
        <w:rPr>
          <w:bCs/>
          <w:b/>
        </w:rPr>
        <w:t xml:space="preserve">Autorisation de mise sur le marché</w:t>
      </w:r>
      <w:r>
        <w:t xml:space="preserve"> </w:t>
      </w:r>
      <w:r>
        <w:t xml:space="preserve">: autorisation officielle de commercialiser un médicament, délivrée après évaluation de sa qualité, de son efficacité et de sa sécurité.</w:t>
      </w:r>
    </w:p>
    <w:p>
      <w:pPr>
        <w:pStyle w:val="BodyText"/>
      </w:pPr>
      <w:r>
        <w:rPr>
          <w:bCs/>
          <w:b/>
        </w:rPr>
        <w:t xml:space="preserve">Autorisation d’usage à des fins thérapeutiques (AUT, therapeutic use exemption, TUE)</w:t>
      </w:r>
      <w:r>
        <w:t xml:space="preserve"> </w:t>
      </w:r>
      <w:r>
        <w:t xml:space="preserve">: dérogation médicale accordée dans le sport, qui autorise l’utilisation d’un médicament interdit mais médicalement nécessaire.</w:t>
      </w:r>
    </w:p>
    <w:bookmarkEnd w:id="2978"/>
    <w:bookmarkStart w:id="2979" w:name="b"/>
    <w:p>
      <w:pPr>
        <w:pStyle w:val="Heading3"/>
      </w:pPr>
      <w:r>
        <w:t xml:space="preserve">B</w:t>
      </w:r>
    </w:p>
    <w:p>
      <w:pPr>
        <w:pStyle w:val="FirstParagraph"/>
      </w:pPr>
      <w:r>
        <w:rPr>
          <w:bCs/>
          <w:b/>
        </w:rPr>
        <w:t xml:space="preserve">Biais de publication</w:t>
      </w:r>
      <w:r>
        <w:t xml:space="preserve"> </w:t>
      </w:r>
      <w:r>
        <w:t xml:space="preserve">: distorsion de l’image d’ensemble lorsque les études aux résultats positifs sont publiées plus souvent que celles aux résultats négatifs.</w:t>
      </w:r>
    </w:p>
    <w:p>
      <w:pPr>
        <w:pStyle w:val="BodyText"/>
      </w:pPr>
      <w:r>
        <w:rPr>
          <w:bCs/>
          <w:b/>
        </w:rPr>
        <w:t xml:space="preserve">Biodisponibilité</w:t>
      </w:r>
      <w:r>
        <w:t xml:space="preserve"> </w:t>
      </w:r>
      <w:r>
        <w:t xml:space="preserve">: proportion d’une substance active administrée qui parvient inchangée dans la circulation sanguine. Elle est de 100 % pour une perfusion intraveineuse, et souvent de quelques pour cent seulement, voire moins, pour les comprimés de peptides.</w:t>
      </w:r>
    </w:p>
    <w:p>
      <w:pPr>
        <w:pStyle w:val="BodyText"/>
      </w:pPr>
      <w:r>
        <w:rPr>
          <w:bCs/>
          <w:b/>
        </w:rPr>
        <w:t xml:space="preserve">Biosimilaire</w:t>
      </w:r>
      <w:r>
        <w:t xml:space="preserve"> </w:t>
      </w:r>
      <w:r>
        <w:t xml:space="preserve">: médicament succédant à un médicament biologique après l’expiration de la protection par brevet. Il doit être démontré qu’il est très similaire à l’original en qualité, en efficacité et en sécurité.</w:t>
      </w:r>
    </w:p>
    <w:bookmarkEnd w:id="2979"/>
    <w:bookmarkStart w:id="2980" w:name="c"/>
    <w:p>
      <w:pPr>
        <w:pStyle w:val="Heading3"/>
      </w:pPr>
      <w:r>
        <w:t xml:space="preserve">C</w:t>
      </w:r>
    </w:p>
    <w:p>
      <w:pPr>
        <w:pStyle w:val="FirstParagraph"/>
      </w:pPr>
      <w:r>
        <w:rPr>
          <w:bCs/>
          <w:b/>
        </w:rPr>
        <w:t xml:space="preserve">Complément alimentaire</w:t>
      </w:r>
      <w:r>
        <w:t xml:space="preserve"> </w:t>
      </w:r>
      <w:r>
        <w:t xml:space="preserve">: denrée alimentaire destinée à compléter l’alimentation normale par des nutriments ou d’autres substances. Il ne nécessite pas d’autorisation, mais ne doit pas avoir d’effet pharmacologique.</w:t>
      </w:r>
    </w:p>
    <w:p>
      <w:pPr>
        <w:pStyle w:val="BodyText"/>
      </w:pPr>
      <w:r>
        <w:rPr>
          <w:bCs/>
          <w:b/>
        </w:rPr>
        <w:t xml:space="preserve">Compounding</w:t>
      </w:r>
      <w:r>
        <w:t xml:space="preserve"> </w:t>
      </w:r>
      <w:r>
        <w:t xml:space="preserve">: aux États-Unis, fabrication de médicaments par les pharmacies elles-mêmes, par exemple en cas de pénurie. Ces préparations ne sont pas des spécialités pharmaceutiques autorisées.</w:t>
      </w:r>
    </w:p>
    <w:p>
      <w:pPr>
        <w:pStyle w:val="BodyText"/>
      </w:pPr>
      <w:r>
        <w:rPr>
          <w:bCs/>
          <w:b/>
        </w:rPr>
        <w:t xml:space="preserve">Conflit d’intérêts</w:t>
      </w:r>
      <w:r>
        <w:t xml:space="preserve"> </w:t>
      </w:r>
      <w:r>
        <w:t xml:space="preserve">: situation dans laquelle des intérêts financiers ou autres pourraient influencer le jugement de chercheurs ou d’auteurs, par exemple lorsqu’une étude est financée par le fabricant.</w:t>
      </w:r>
    </w:p>
    <w:p>
      <w:pPr>
        <w:pStyle w:val="BodyText"/>
      </w:pPr>
      <w:r>
        <w:rPr>
          <w:bCs/>
          <w:b/>
        </w:rPr>
        <w:t xml:space="preserve">Critère clinique fort</w:t>
      </w:r>
      <w:r>
        <w:t xml:space="preserve"> </w:t>
      </w:r>
      <w:r>
        <w:t xml:space="preserve">: résultat d’étude qui compte directement pour les patientes et les patients, par exemple le décès, l’infarctus, l’AVC ou la fracture.</w:t>
      </w:r>
    </w:p>
    <w:p>
      <w:pPr>
        <w:pStyle w:val="BodyText"/>
      </w:pPr>
      <w:r>
        <w:rPr>
          <w:bCs/>
          <w:b/>
        </w:rPr>
        <w:t xml:space="preserve">Critère de substitution</w:t>
      </w:r>
      <w:r>
        <w:t xml:space="preserve"> </w:t>
      </w:r>
      <w:r>
        <w:t xml:space="preserve">: valeur mesurée utilisée à la place d’un événement cliniquement significatif, par exemple la glycémie au lieu de l’infarctus. L’amélioration d’un critère de substitution ne signifie pas automatiquement un bénéfice pour les patientes et les patients.</w:t>
      </w:r>
    </w:p>
    <w:p>
      <w:pPr>
        <w:pStyle w:val="BodyText"/>
      </w:pPr>
      <w:r>
        <w:rPr>
          <w:bCs/>
          <w:b/>
        </w:rPr>
        <w:t xml:space="preserve">Critère d’évaluation</w:t>
      </w:r>
      <w:r>
        <w:t xml:space="preserve"> </w:t>
      </w:r>
      <w:r>
        <w:t xml:space="preserve">: caractéristique à l’aide de laquelle le succès d’un traitement est mesuré dans une étude, par exemple la perte de poids, la glycémie ou les infarctus. Le plus important est fixé avant le début de l’étude comme critère principal.</w:t>
      </w:r>
    </w:p>
    <w:bookmarkEnd w:id="2980"/>
    <w:bookmarkStart w:id="2981" w:name="d"/>
    <w:p>
      <w:pPr>
        <w:pStyle w:val="Heading3"/>
      </w:pPr>
      <w:r>
        <w:t xml:space="preserve">D</w:t>
      </w:r>
    </w:p>
    <w:p>
      <w:pPr>
        <w:pStyle w:val="FirstParagraph"/>
      </w:pPr>
      <w:r>
        <w:rPr>
          <w:bCs/>
          <w:b/>
        </w:rPr>
        <w:t xml:space="preserve">Dalton</w:t>
      </w:r>
      <w:r>
        <w:t xml:space="preserve"> </w:t>
      </w:r>
      <w:r>
        <w:t xml:space="preserve">: unité de mesure de la masse des molécules. Un acide aminé dans une chaîne peptidique pèse en moyenne un peu plus de 100 daltons.</w:t>
      </w:r>
    </w:p>
    <w:p>
      <w:pPr>
        <w:pStyle w:val="BodyText"/>
      </w:pPr>
      <w:r>
        <w:rPr>
          <w:bCs/>
          <w:b/>
        </w:rPr>
        <w:t xml:space="preserve">Demi-vie</w:t>
      </w:r>
      <w:r>
        <w:t xml:space="preserve"> </w:t>
      </w:r>
      <w:r>
        <w:t xml:space="preserve">: temps au bout duquel la moitié d’une substance active a été dégradée ou éliminée par l’organisme. Elle détermine largement la fréquence d’administration d’un médicament.</w:t>
      </w:r>
    </w:p>
    <w:p>
      <w:pPr>
        <w:pStyle w:val="BodyText"/>
      </w:pPr>
      <w:r>
        <w:rPr>
          <w:bCs/>
          <w:b/>
        </w:rPr>
        <w:t xml:space="preserve">Diabète de type 2</w:t>
      </w:r>
      <w:r>
        <w:t xml:space="preserve"> </w:t>
      </w:r>
      <w:r>
        <w:t xml:space="preserve">: forme la plus fréquente du diabète, dans laquelle l’organisme utilise l’insuline moins efficacement et le pancréas n’en produit pas suffisamment pour compenser. Souvent associé au surpoids.</w:t>
      </w:r>
    </w:p>
    <w:p>
      <w:pPr>
        <w:pStyle w:val="BodyText"/>
      </w:pPr>
      <w:r>
        <w:rPr>
          <w:bCs/>
          <w:b/>
        </w:rPr>
        <w:t xml:space="preserve">Dipeptidyl peptidase-4 (DPP-4)</w:t>
      </w:r>
      <w:r>
        <w:t xml:space="preserve"> </w:t>
      </w:r>
      <w:r>
        <w:t xml:space="preserve">: enzyme qui dégrade rapidement, entre autres, l’hormone intestinale GLP-1. Les inhibiteurs de cette enzyme (gliptines) sont utilisés comme comprimés contre le diabète.</w:t>
      </w:r>
    </w:p>
    <w:p>
      <w:pPr>
        <w:pStyle w:val="BodyText"/>
      </w:pPr>
      <w:r>
        <w:rPr>
          <w:bCs/>
          <w:b/>
        </w:rPr>
        <w:t xml:space="preserve">Double aveugle</w:t>
      </w:r>
      <w:r>
        <w:t xml:space="preserve"> </w:t>
      </w:r>
      <w:r>
        <w:t xml:space="preserve">: étude dans laquelle ni les participants ni le personnel de l’étude ne savent qui reçoit la substance active et qui reçoit le placebo. Cela réduit l’influence des attentes sur les résultats.</w:t>
      </w:r>
    </w:p>
    <w:bookmarkEnd w:id="2981"/>
    <w:bookmarkStart w:id="2982" w:name="e"/>
    <w:p>
      <w:pPr>
        <w:pStyle w:val="Heading3"/>
      </w:pPr>
      <w:r>
        <w:t xml:space="preserve">E</w:t>
      </w:r>
    </w:p>
    <w:p>
      <w:pPr>
        <w:pStyle w:val="FirstParagraph"/>
      </w:pPr>
      <w:r>
        <w:rPr>
          <w:bCs/>
          <w:b/>
        </w:rPr>
        <w:t xml:space="preserve">ECR (essai contrôlé randomisé, en anglais RCT)</w:t>
      </w:r>
      <w:r>
        <w:t xml:space="preserve"> </w:t>
      </w:r>
      <w:r>
        <w:t xml:space="preserve">: étude avec attribution au hasard à un groupe traité et à un groupe témoin. Elle est considérée comme le moyen le plus fiable de démontrer l’effet d’un traitement.</w:t>
      </w:r>
    </w:p>
    <w:p>
      <w:pPr>
        <w:pStyle w:val="BodyText"/>
      </w:pPr>
      <w:r>
        <w:rPr>
          <w:bCs/>
          <w:b/>
        </w:rPr>
        <w:t xml:space="preserve">Effet placebo</w:t>
      </w:r>
      <w:r>
        <w:t xml:space="preserve"> </w:t>
      </w:r>
      <w:r>
        <w:t xml:space="preserve">: amélioration de troubles qui n’est pas due à une substance active, mais aux attentes, à l’attention reçue ou à l’évolution naturelle.</w:t>
      </w:r>
    </w:p>
    <w:p>
      <w:pPr>
        <w:pStyle w:val="BodyText"/>
      </w:pPr>
      <w:r>
        <w:rPr>
          <w:bCs/>
          <w:b/>
        </w:rPr>
        <w:t xml:space="preserve">Endotoxines</w:t>
      </w:r>
      <w:r>
        <w:t xml:space="preserve"> </w:t>
      </w:r>
      <w:r>
        <w:t xml:space="preserve">: composants thermostables de la paroi cellulaire de certaines bactéries. S’ils passent dans le sang, ils peuvent déclencher fièvre, inflammations et réactions circulatoires ; ils restent actifs même après la destruction des bactéries.</w:t>
      </w:r>
    </w:p>
    <w:p>
      <w:pPr>
        <w:pStyle w:val="BodyText"/>
      </w:pPr>
      <w:r>
        <w:rPr>
          <w:bCs/>
          <w:b/>
        </w:rPr>
        <w:t xml:space="preserve">Estimand</w:t>
      </w:r>
      <w:r>
        <w:t xml:space="preserve"> </w:t>
      </w:r>
      <w:r>
        <w:t xml:space="preserve">: description précise de l’effet du traitement estimé dans une étude – par exemple indépendamment du fait que les participants arrêtent le traitement, ou uniquement pour la période de prise effective.</w:t>
      </w:r>
    </w:p>
    <w:p>
      <w:pPr>
        <w:pStyle w:val="BodyText"/>
      </w:pPr>
      <w:r>
        <w:rPr>
          <w:bCs/>
          <w:b/>
        </w:rPr>
        <w:t xml:space="preserve">Étude de cohorte</w:t>
      </w:r>
      <w:r>
        <w:t xml:space="preserve"> </w:t>
      </w:r>
      <w:r>
        <w:t xml:space="preserve">: étude observationnelle qui suit un groupe de personnes sur une longue période et compare la fréquence de certains événements selon différentes caractéristiques ou différents traitements.</w:t>
      </w:r>
    </w:p>
    <w:p>
      <w:pPr>
        <w:pStyle w:val="BodyText"/>
      </w:pPr>
      <w:r>
        <w:rPr>
          <w:bCs/>
          <w:b/>
        </w:rPr>
        <w:t xml:space="preserve">Étude ouverte</w:t>
      </w:r>
      <w:r>
        <w:t xml:space="preserve"> </w:t>
      </w:r>
      <w:r>
        <w:t xml:space="preserve">: étude sans mise en aveugle, dans laquelle les participants et le personnel de l’étude savent quel traitement est administré.</w:t>
      </w:r>
    </w:p>
    <w:p>
      <w:pPr>
        <w:pStyle w:val="BodyText"/>
      </w:pPr>
      <w:r>
        <w:rPr>
          <w:bCs/>
          <w:b/>
        </w:rPr>
        <w:t xml:space="preserve">Études précliniques</w:t>
      </w:r>
      <w:r>
        <w:t xml:space="preserve"> </w:t>
      </w:r>
      <w:r>
        <w:t xml:space="preserve">: investigations en laboratoire et chez l’animal menées avant les premières études chez l’humain.</w:t>
      </w:r>
    </w:p>
    <w:p>
      <w:pPr>
        <w:pStyle w:val="BodyText"/>
      </w:pPr>
      <w:r>
        <w:rPr>
          <w:bCs/>
          <w:b/>
        </w:rPr>
        <w:t xml:space="preserve">EudraVigilance</w:t>
      </w:r>
      <w:r>
        <w:t xml:space="preserve"> </w:t>
      </w:r>
      <w:r>
        <w:t xml:space="preserve">: base de données de l’Agence européenne des médicaments recueillant les déclarations de suspicions d’effets indésirables.</w:t>
      </w:r>
    </w:p>
    <w:p>
      <w:pPr>
        <w:pStyle w:val="BodyText"/>
      </w:pPr>
      <w:r>
        <w:rPr>
          <w:bCs/>
          <w:b/>
        </w:rPr>
        <w:t xml:space="preserve">Événement indésirable</w:t>
      </w:r>
      <w:r>
        <w:t xml:space="preserve"> </w:t>
      </w:r>
      <w:r>
        <w:t xml:space="preserve">: tout problème de santé survenant au cours d’une étude, qu’il soit causé ou non par le traitement. Seule la comparaison avec le groupe témoin montre si un lien est probable.</w:t>
      </w:r>
    </w:p>
    <w:p>
      <w:pPr>
        <w:pStyle w:val="BodyText"/>
      </w:pPr>
      <w:r>
        <w:rPr>
          <w:bCs/>
          <w:b/>
        </w:rPr>
        <w:t xml:space="preserve">Extrémité C-terminale</w:t>
      </w:r>
      <w:r>
        <w:t xml:space="preserve"> </w:t>
      </w:r>
      <w:r>
        <w:t xml:space="preserve">: extrémité d’une chaîne peptidique portant le groupe acide libre. Les séquences peptidiques s’écrivent de l’extrémité N-terminale vers l’extrémité C-terminale.</w:t>
      </w:r>
    </w:p>
    <w:p>
      <w:pPr>
        <w:pStyle w:val="BodyText"/>
      </w:pPr>
      <w:r>
        <w:rPr>
          <w:bCs/>
          <w:b/>
        </w:rPr>
        <w:t xml:space="preserve">Extrémité N-terminale</w:t>
      </w:r>
      <w:r>
        <w:t xml:space="preserve"> </w:t>
      </w:r>
      <w:r>
        <w:t xml:space="preserve">: début d’une chaîne peptidique portant le groupe amine libre.</w:t>
      </w:r>
    </w:p>
    <w:bookmarkEnd w:id="2982"/>
    <w:bookmarkStart w:id="2983" w:name="f"/>
    <w:p>
      <w:pPr>
        <w:pStyle w:val="Heading3"/>
      </w:pPr>
      <w:r>
        <w:t xml:space="preserve">F</w:t>
      </w:r>
    </w:p>
    <w:p>
      <w:pPr>
        <w:pStyle w:val="FirstParagraph"/>
      </w:pPr>
      <w:r>
        <w:rPr>
          <w:bCs/>
          <w:b/>
        </w:rPr>
        <w:t xml:space="preserve">Facteur de confusion (confounding)</w:t>
      </w:r>
      <w:r>
        <w:t xml:space="preserve"> </w:t>
      </w:r>
      <w:r>
        <w:t xml:space="preserve">: facteur lié à la fois à un traitement et à un résultat, qui peut ainsi créer une association apparente. Problème typique des études observationnelles.</w:t>
      </w:r>
    </w:p>
    <w:p>
      <w:pPr>
        <w:pStyle w:val="BodyText"/>
      </w:pPr>
      <w:r>
        <w:rPr>
          <w:bCs/>
          <w:b/>
        </w:rPr>
        <w:t xml:space="preserve">FAERS</w:t>
      </w:r>
      <w:r>
        <w:t xml:space="preserve"> </w:t>
      </w:r>
      <w:r>
        <w:t xml:space="preserve">: système de déclaration de l’autorité américaine du médicament (FDA) pour les suspicions d’effets indésirables.</w:t>
      </w:r>
    </w:p>
    <w:bookmarkEnd w:id="2983"/>
    <w:bookmarkStart w:id="2984" w:name="g"/>
    <w:p>
      <w:pPr>
        <w:pStyle w:val="Heading3"/>
      </w:pPr>
      <w:r>
        <w:t xml:space="preserve">G</w:t>
      </w:r>
    </w:p>
    <w:p>
      <w:pPr>
        <w:pStyle w:val="FirstParagraph"/>
      </w:pPr>
      <w:r>
        <w:rPr>
          <w:bCs/>
          <w:b/>
        </w:rPr>
        <w:t xml:space="preserve">Ghréline</w:t>
      </w:r>
      <w:r>
        <w:t xml:space="preserve"> </w:t>
      </w:r>
      <w:r>
        <w:t xml:space="preserve">: hormone peptidique produite principalement dans l’estomac, qui déclenche la faim et stimule la sécrétion d’hormone de croissance.</w:t>
      </w:r>
    </w:p>
    <w:p>
      <w:pPr>
        <w:pStyle w:val="BodyText"/>
      </w:pPr>
      <w:r>
        <w:rPr>
          <w:bCs/>
          <w:b/>
        </w:rPr>
        <w:t xml:space="preserve">GHRH (growth hormone-releasing hormone)</w:t>
      </w:r>
      <w:r>
        <w:t xml:space="preserve"> </w:t>
      </w:r>
      <w:r>
        <w:t xml:space="preserve">: hormone de l’hypothalamus qui incite l’hypophyse à sécréter l’hormone de croissance. La sermoréline, la tésamoréline et le CJC-1295 en sont dérivés.</w:t>
      </w:r>
    </w:p>
    <w:p>
      <w:pPr>
        <w:pStyle w:val="BodyText"/>
      </w:pPr>
      <w:r>
        <w:rPr>
          <w:bCs/>
          <w:b/>
        </w:rPr>
        <w:t xml:space="preserve">GHRP (growth hormone-releasing peptides)</w:t>
      </w:r>
      <w:r>
        <w:t xml:space="preserve"> </w:t>
      </w:r>
      <w:r>
        <w:t xml:space="preserve">: groupe de peptides synthétiques qui augmentent la sécrétion d’hormone de croissance par l’intermédiaire du récepteur de la ghréline, par exemple le GHRP-2, le GHRP-6, l’hexaréline et l’ipamoréline.</w:t>
      </w:r>
    </w:p>
    <w:p>
      <w:pPr>
        <w:pStyle w:val="BodyText"/>
      </w:pPr>
      <w:r>
        <w:rPr>
          <w:bCs/>
          <w:b/>
        </w:rPr>
        <w:t xml:space="preserve">GIP (polypeptide insulinotrope dépendant du glucose)</w:t>
      </w:r>
      <w:r>
        <w:t xml:space="preserve"> </w:t>
      </w:r>
      <w:r>
        <w:t xml:space="preserve">: hormone intestinale du groupe des incrétines. Le tirzépatide active, en plus du récepteur du GLP-1, le récepteur du GIP.</w:t>
      </w:r>
    </w:p>
    <w:p>
      <w:pPr>
        <w:pStyle w:val="BodyText"/>
      </w:pPr>
      <w:r>
        <w:rPr>
          <w:bCs/>
          <w:b/>
        </w:rPr>
        <w:t xml:space="preserve">GLP-1 (glucagon-like peptide-1)</w:t>
      </w:r>
      <w:r>
        <w:t xml:space="preserve"> </w:t>
      </w:r>
      <w:r>
        <w:t xml:space="preserve">: hormone intestinale sécrétée après les repas, qui renforce la libération d’insuline en fonction de la glycémie, ralentit la vidange gastrique et influence la sensation de satiété.</w:t>
      </w:r>
    </w:p>
    <w:p>
      <w:pPr>
        <w:pStyle w:val="BodyText"/>
      </w:pPr>
      <w:r>
        <w:rPr>
          <w:bCs/>
          <w:b/>
        </w:rPr>
        <w:t xml:space="preserve">Glucagon</w:t>
      </w:r>
      <w:r>
        <w:t xml:space="preserve"> </w:t>
      </w:r>
      <w:r>
        <w:t xml:space="preserve">: hormone peptidique du pancréas qui augmente la glycémie. Certaines nouvelles substances activent en plus le récepteur du glucagon.</w:t>
      </w:r>
    </w:p>
    <w:p>
      <w:pPr>
        <w:pStyle w:val="BodyText"/>
      </w:pPr>
      <w:r>
        <w:rPr>
          <w:bCs/>
          <w:b/>
        </w:rPr>
        <w:t xml:space="preserve">GnRH (gonadolibérine)</w:t>
      </w:r>
      <w:r>
        <w:t xml:space="preserve"> </w:t>
      </w:r>
      <w:r>
        <w:t xml:space="preserve">: hormone de l’hypothalamus qui régule la sécrétion de la LH et de la FSH, les hormones qui pilotent les hormones sexuelles. La gonadoréline en est une forme synthétique.</w:t>
      </w:r>
    </w:p>
    <w:p>
      <w:pPr>
        <w:pStyle w:val="BodyText"/>
      </w:pPr>
      <w:r>
        <w:rPr>
          <w:bCs/>
          <w:b/>
        </w:rPr>
        <w:t xml:space="preserve">Groupe témoin</w:t>
      </w:r>
      <w:r>
        <w:t xml:space="preserve"> </w:t>
      </w:r>
      <w:r>
        <w:t xml:space="preserve">: groupe de comparaison d’une étude, qui ne reçoit pas de substance active, reçoit un placebo ou un traitement standard.</w:t>
      </w:r>
    </w:p>
    <w:bookmarkEnd w:id="2984"/>
    <w:bookmarkStart w:id="2985" w:name="h"/>
    <w:p>
      <w:pPr>
        <w:pStyle w:val="Heading3"/>
      </w:pPr>
      <w:r>
        <w:t xml:space="preserve">H</w:t>
      </w:r>
    </w:p>
    <w:p>
      <w:pPr>
        <w:pStyle w:val="FirstParagraph"/>
      </w:pPr>
      <w:r>
        <w:rPr>
          <w:bCs/>
          <w:b/>
        </w:rPr>
        <w:t xml:space="preserve">Hazard ratio</w:t>
      </w:r>
      <w:r>
        <w:t xml:space="preserve"> </w:t>
      </w:r>
      <w:r>
        <w:t xml:space="preserve">: mesure de la différence du risque de survenue d’un événement au cours du temps entre deux groupes. Une valeur de 0,80 signifie un risque relatif inférieur d’environ 20 %.</w:t>
      </w:r>
    </w:p>
    <w:p>
      <w:pPr>
        <w:pStyle w:val="BodyText"/>
      </w:pPr>
      <w:r>
        <w:rPr>
          <w:bCs/>
          <w:b/>
        </w:rPr>
        <w:t xml:space="preserve">HbA1c</w:t>
      </w:r>
      <w:r>
        <w:t xml:space="preserve"> </w:t>
      </w:r>
      <w:r>
        <w:t xml:space="preserve">: proportion du pigment rouge du sang à laquelle du sucre est lié. Elle reflète la glycémie moyenne des deux à trois derniers mois et constitue un critère de substitution important dans les études sur le diabète.</w:t>
      </w:r>
    </w:p>
    <w:p>
      <w:pPr>
        <w:pStyle w:val="BodyText"/>
      </w:pPr>
      <w:r>
        <w:rPr>
          <w:bCs/>
          <w:b/>
        </w:rPr>
        <w:t xml:space="preserve">Hormone de croissance (somatotropine)</w:t>
      </w:r>
      <w:r>
        <w:t xml:space="preserve"> </w:t>
      </w:r>
      <w:r>
        <w:t xml:space="preserve">: protéine de l’hypophyse qui influence la croissance, le métabolisme et la composition corporelle. De nombreux peptides de ce livre sont censés en augmenter la sécrétion.</w:t>
      </w:r>
    </w:p>
    <w:p>
      <w:pPr>
        <w:pStyle w:val="BodyText"/>
      </w:pPr>
      <w:r>
        <w:rPr>
          <w:bCs/>
          <w:b/>
        </w:rPr>
        <w:t xml:space="preserve">HPLC (chromatographie liquide haute performance)</w:t>
      </w:r>
      <w:r>
        <w:t xml:space="preserve"> </w:t>
      </w:r>
      <w:r>
        <w:t xml:space="preserve">: méthode de laboratoire permettant de séparer des mélanges de substances et de déterminer la pureté des peptides.</w:t>
      </w:r>
    </w:p>
    <w:p>
      <w:pPr>
        <w:pStyle w:val="BodyText"/>
      </w:pPr>
      <w:r>
        <w:rPr>
          <w:bCs/>
          <w:b/>
        </w:rPr>
        <w:t xml:space="preserve">Hydrolysat</w:t>
      </w:r>
      <w:r>
        <w:t xml:space="preserve"> </w:t>
      </w:r>
      <w:r>
        <w:t xml:space="preserve">: mélange de fragments obtenu lorsque des protéines sont scindées par des enzymes ou par un acide. Les peptides de collagène sont obtenus de cette manière.</w:t>
      </w:r>
    </w:p>
    <w:p>
      <w:pPr>
        <w:pStyle w:val="BodyText"/>
      </w:pPr>
      <w:r>
        <w:rPr>
          <w:bCs/>
          <w:b/>
        </w:rPr>
        <w:t xml:space="preserve">Hypoglycémie</w:t>
      </w:r>
      <w:r>
        <w:t xml:space="preserve"> </w:t>
      </w:r>
      <w:r>
        <w:t xml:space="preserve">: taux de sucre dans le sang trop bas. Elle peut entraîner tremblements, sueurs, confusion et perte de connaissance et constitue une urgence.</w:t>
      </w:r>
    </w:p>
    <w:p>
      <w:pPr>
        <w:pStyle w:val="BodyText"/>
      </w:pPr>
      <w:r>
        <w:rPr>
          <w:bCs/>
          <w:b/>
        </w:rPr>
        <w:t xml:space="preserve">Hypophyse</w:t>
      </w:r>
      <w:r>
        <w:t xml:space="preserve"> </w:t>
      </w:r>
      <w:r>
        <w:t xml:space="preserve">: petite glande hormonale située à la base du crâne, qui sécrète notamment l’hormone de croissance et les hormones de commande de la thyroïde, des glandes surrénales et des glandes sexuelles.</w:t>
      </w:r>
    </w:p>
    <w:p>
      <w:pPr>
        <w:pStyle w:val="BodyText"/>
      </w:pPr>
      <w:r>
        <w:rPr>
          <w:bCs/>
          <w:b/>
        </w:rPr>
        <w:t xml:space="preserve">Hypothalamus</w:t>
      </w:r>
      <w:r>
        <w:t xml:space="preserve"> </w:t>
      </w:r>
      <w:r>
        <w:t xml:space="preserve">: région du cerveau qui pilote l’hypophyse par l’intermédiaire d’hormones de libération et participe à la régulation de la faim, de la soif, du sommeil et de la température corporelle.</w:t>
      </w:r>
    </w:p>
    <w:bookmarkEnd w:id="2985"/>
    <w:bookmarkStart w:id="2986" w:name="i"/>
    <w:p>
      <w:pPr>
        <w:pStyle w:val="Heading3"/>
      </w:pPr>
      <w:r>
        <w:t xml:space="preserve">I</w:t>
      </w:r>
    </w:p>
    <w:p>
      <w:pPr>
        <w:pStyle w:val="FirstParagraph"/>
      </w:pPr>
      <w:r>
        <w:rPr>
          <w:bCs/>
          <w:b/>
        </w:rPr>
        <w:t xml:space="preserve">IGF-1 (facteur de croissance analogue à l’insuline 1)</w:t>
      </w:r>
      <w:r>
        <w:t xml:space="preserve"> </w:t>
      </w:r>
      <w:r>
        <w:t xml:space="preserve">: facteur de croissance produit principalement dans le foie sous l’influence de l’hormone de croissance. Il transmet de nombreux effets de l’hormone de croissance et sert de valeur de laboratoire pour l’évaluer.</w:t>
      </w:r>
    </w:p>
    <w:p>
      <w:pPr>
        <w:pStyle w:val="BodyText"/>
      </w:pPr>
      <w:r>
        <w:rPr>
          <w:bCs/>
          <w:b/>
        </w:rPr>
        <w:t xml:space="preserve">IMC (indice de masse corporelle)</w:t>
      </w:r>
      <w:r>
        <w:t xml:space="preserve"> </w:t>
      </w:r>
      <w:r>
        <w:t xml:space="preserve">: poids corporel en kilogrammes divisé par le carré de la taille en mètres. Mesure approximative de l’insuffisance pondérale, du poids normal et du surpoids.</w:t>
      </w:r>
    </w:p>
    <w:p>
      <w:pPr>
        <w:pStyle w:val="BodyText"/>
      </w:pPr>
      <w:r>
        <w:rPr>
          <w:bCs/>
          <w:b/>
        </w:rPr>
        <w:t xml:space="preserve">Immunogénicité</w:t>
      </w:r>
      <w:r>
        <w:t xml:space="preserve"> </w:t>
      </w:r>
      <w:r>
        <w:t xml:space="preserve">: capacité d’une substance à déclencher une réaction du système immunitaire, par exemple la formation d’anticorps.</w:t>
      </w:r>
    </w:p>
    <w:p>
      <w:pPr>
        <w:pStyle w:val="BodyText"/>
      </w:pPr>
      <w:r>
        <w:rPr>
          <w:bCs/>
          <w:b/>
        </w:rPr>
        <w:t xml:space="preserve">Impureté</w:t>
      </w:r>
      <w:r>
        <w:t xml:space="preserve"> </w:t>
      </w:r>
      <w:r>
        <w:t xml:space="preserve">: composants indésirables d’un produit, par exemple des chaînes peptidiques défectueuses issues de la synthèse, des résidus de solvants, des métaux ou des composants bactériens.</w:t>
      </w:r>
    </w:p>
    <w:p>
      <w:pPr>
        <w:pStyle w:val="BodyText"/>
      </w:pPr>
      <w:r>
        <w:rPr>
          <w:bCs/>
          <w:b/>
        </w:rPr>
        <w:t xml:space="preserve">In vitro</w:t>
      </w:r>
      <w:r>
        <w:t xml:space="preserve"> </w:t>
      </w:r>
      <w:r>
        <w:t xml:space="preserve">: « dans le verre » – expériences menées en laboratoire sur des cellules, des tissus ou des molécules isolées, en dehors d’un organisme vivant.</w:t>
      </w:r>
    </w:p>
    <w:p>
      <w:pPr>
        <w:pStyle w:val="BodyText"/>
      </w:pPr>
      <w:r>
        <w:rPr>
          <w:bCs/>
          <w:b/>
        </w:rPr>
        <w:t xml:space="preserve">Incrétines</w:t>
      </w:r>
      <w:r>
        <w:t xml:space="preserve"> </w:t>
      </w:r>
      <w:r>
        <w:t xml:space="preserve">: hormones intestinales qui renforcent la sécrétion d’insuline après un repas. Les principales sont le GLP-1 et le GIP.</w:t>
      </w:r>
    </w:p>
    <w:p>
      <w:pPr>
        <w:pStyle w:val="BodyText"/>
      </w:pPr>
      <w:r>
        <w:rPr>
          <w:bCs/>
          <w:b/>
        </w:rPr>
        <w:t xml:space="preserve">Insuline</w:t>
      </w:r>
      <w:r>
        <w:t xml:space="preserve"> </w:t>
      </w:r>
      <w:r>
        <w:t xml:space="preserve">: hormone peptidique du pancréas composée de 51 acides aminés, qui abaisse la glycémie. En 1922, elle a été le premier peptide utilisé comme médicament.</w:t>
      </w:r>
    </w:p>
    <w:p>
      <w:pPr>
        <w:pStyle w:val="BodyText"/>
      </w:pPr>
      <w:r>
        <w:rPr>
          <w:bCs/>
          <w:b/>
        </w:rPr>
        <w:t xml:space="preserve">Intervalle de confiance</w:t>
      </w:r>
      <w:r>
        <w:t xml:space="preserve"> </w:t>
      </w:r>
      <w:r>
        <w:t xml:space="preserve">: fourchette autour d’un résultat d’étude dans laquelle se situe la vraie valeur avec une probabilité donnée (le plus souvent 95 %). Des intervalles larges indiquent une estimation incertaine.</w:t>
      </w:r>
    </w:p>
    <w:bookmarkEnd w:id="2986"/>
    <w:bookmarkStart w:id="2987" w:name="l"/>
    <w:p>
      <w:pPr>
        <w:pStyle w:val="Heading3"/>
      </w:pPr>
      <w:r>
        <w:t xml:space="preserve">L</w:t>
      </w:r>
    </w:p>
    <w:p>
      <w:pPr>
        <w:pStyle w:val="FirstParagraph"/>
      </w:pPr>
      <w:r>
        <w:rPr>
          <w:bCs/>
          <w:b/>
        </w:rPr>
        <w:t xml:space="preserve">Liaison peptidique</w:t>
      </w:r>
      <w:r>
        <w:t xml:space="preserve"> </w:t>
      </w:r>
      <w:r>
        <w:t xml:space="preserve">: liaison chimique entre le groupe acide d’un acide aminé et le groupe amine du suivant, dont la formation libère une molécule d’eau.</w:t>
      </w:r>
    </w:p>
    <w:p>
      <w:pPr>
        <w:pStyle w:val="BodyText"/>
      </w:pPr>
      <w:r>
        <w:rPr>
          <w:bCs/>
          <w:b/>
        </w:rPr>
        <w:t xml:space="preserve">Lyophilisat</w:t>
      </w:r>
      <w:r>
        <w:t xml:space="preserve"> </w:t>
      </w:r>
      <w:r>
        <w:t xml:space="preserve">: poudre lyophilisée. De nombreux peptides sont conservés sous cette forme et doivent être dissous dans un liquide avant utilisation.</w:t>
      </w:r>
    </w:p>
    <w:bookmarkEnd w:id="2987"/>
    <w:bookmarkStart w:id="2988" w:name="m"/>
    <w:p>
      <w:pPr>
        <w:pStyle w:val="Heading3"/>
      </w:pPr>
      <w:r>
        <w:t xml:space="preserve">M</w:t>
      </w:r>
    </w:p>
    <w:p>
      <w:pPr>
        <w:pStyle w:val="FirstParagraph"/>
      </w:pPr>
      <w:r>
        <w:rPr>
          <w:bCs/>
          <w:b/>
        </w:rPr>
        <w:t xml:space="preserve">Médicament</w:t>
      </w:r>
      <w:r>
        <w:t xml:space="preserve"> </w:t>
      </w:r>
      <w:r>
        <w:t xml:space="preserve">: substance ou préparation destinée à guérir, soulager ou prévenir des maladies, ou modifiant des fonctions de l’organisme par une action pharmacologique, immunologique ou métabolique. Dans l’UE, un médicament doit obtenir une autorisation avant d’être vendu.</w:t>
      </w:r>
    </w:p>
    <w:p>
      <w:pPr>
        <w:pStyle w:val="BodyText"/>
      </w:pPr>
      <w:r>
        <w:rPr>
          <w:bCs/>
          <w:b/>
        </w:rPr>
        <w:t xml:space="preserve">Médicament biologique</w:t>
      </w:r>
      <w:r>
        <w:t xml:space="preserve"> </w:t>
      </w:r>
      <w:r>
        <w:t xml:space="preserve">: médicament dont la substance active est produite à l’aide de cellules vivantes, par exemple par génie génétique dans des bactéries ou des cellules de mammifères. De nombreux peptides de grande taille et tous les médicaments à base d’anticorps en font partie.</w:t>
      </w:r>
    </w:p>
    <w:p>
      <w:pPr>
        <w:pStyle w:val="BodyText"/>
      </w:pPr>
      <w:r>
        <w:rPr>
          <w:bCs/>
          <w:b/>
        </w:rPr>
        <w:t xml:space="preserve">Médicament par fonction</w:t>
      </w:r>
      <w:r>
        <w:t xml:space="preserve"> </w:t>
      </w:r>
      <w:r>
        <w:t xml:space="preserve">: notion juridique désignant un produit considéré comme médicament en raison de son action pharmacologique, immunologique ou métabolique – quelle que soit la manière dont il est promu.</w:t>
      </w:r>
    </w:p>
    <w:p>
      <w:pPr>
        <w:pStyle w:val="BodyText"/>
      </w:pPr>
      <w:r>
        <w:rPr>
          <w:bCs/>
          <w:b/>
        </w:rPr>
        <w:t xml:space="preserve">Médicament par présentation</w:t>
      </w:r>
      <w:r>
        <w:t xml:space="preserve"> </w:t>
      </w:r>
      <w:r>
        <w:t xml:space="preserve">: notion juridique désignant un produit considéré comme médicament parce qu’il est présenté ou promu comme remède contre des maladies.</w:t>
      </w:r>
    </w:p>
    <w:p>
      <w:pPr>
        <w:pStyle w:val="BodyText"/>
      </w:pPr>
      <w:r>
        <w:rPr>
          <w:bCs/>
          <w:b/>
        </w:rPr>
        <w:t xml:space="preserve">Méta-analyse</w:t>
      </w:r>
      <w:r>
        <w:t xml:space="preserve"> </w:t>
      </w:r>
      <w:r>
        <w:t xml:space="preserve">: synthèse statistique des résultats de plusieurs études portant sur la même question. Elle ne vaut que ce que valent les études qui y sont incluses.</w:t>
      </w:r>
    </w:p>
    <w:p>
      <w:pPr>
        <w:pStyle w:val="BodyText"/>
      </w:pPr>
      <w:r>
        <w:rPr>
          <w:bCs/>
          <w:b/>
        </w:rPr>
        <w:t xml:space="preserve">Mimétique</w:t>
      </w:r>
      <w:r>
        <w:t xml:space="preserve"> </w:t>
      </w:r>
      <w:r>
        <w:t xml:space="preserve">: substance qui imite l’effet d’une autre sans en avoir la structure – par exemple une petite molécule qui active un récepteur comme une hormone peptidique.</w:t>
      </w:r>
    </w:p>
    <w:p>
      <w:pPr>
        <w:pStyle w:val="BodyText"/>
      </w:pPr>
      <w:r>
        <w:rPr>
          <w:bCs/>
          <w:b/>
        </w:rPr>
        <w:t xml:space="preserve">Mise en aveugle</w:t>
      </w:r>
      <w:r>
        <w:t xml:space="preserve"> </w:t>
      </w:r>
      <w:r>
        <w:t xml:space="preserve">: fait de cacher l’attribution aux groupes aux participants et/ou au personnel de l’étude, afin d’éviter les effets liés aux attentes.</w:t>
      </w:r>
    </w:p>
    <w:bookmarkEnd w:id="2988"/>
    <w:bookmarkStart w:id="2989" w:name="n"/>
    <w:p>
      <w:pPr>
        <w:pStyle w:val="Heading3"/>
      </w:pPr>
      <w:r>
        <w:t xml:space="preserve">N</w:t>
      </w:r>
    </w:p>
    <w:p>
      <w:pPr>
        <w:pStyle w:val="FirstParagraph"/>
      </w:pPr>
      <w:r>
        <w:rPr>
          <w:bCs/>
          <w:b/>
        </w:rPr>
        <w:t xml:space="preserve">Niveau de preuve</w:t>
      </w:r>
      <w:r>
        <w:t xml:space="preserve"> </w:t>
      </w:r>
      <w:r>
        <w:t xml:space="preserve">: dans ce livre, classement de A à D indiquant dans quelle mesure l’effet d’un peptide chez l’humain est démontré. A correspond à plusieurs grandes études randomisées et à une autorisation, D à des études exclusivement animales et de laboratoire.</w:t>
      </w:r>
    </w:p>
    <w:p>
      <w:pPr>
        <w:pStyle w:val="BodyText"/>
      </w:pPr>
      <w:r>
        <w:rPr>
          <w:bCs/>
          <w:b/>
        </w:rPr>
        <w:t xml:space="preserve">Nombre de sujets à traiter (number needed to treat, NNT)</w:t>
      </w:r>
      <w:r>
        <w:t xml:space="preserve"> </w:t>
      </w:r>
      <w:r>
        <w:t xml:space="preserve">: nombre de personnes qui doivent être traitées pendant une période donnée pour qu’une personne évite un événement. Il est calculé à partir de la réduction absolue du risque.</w:t>
      </w:r>
    </w:p>
    <w:p>
      <w:pPr>
        <w:pStyle w:val="BodyText"/>
      </w:pPr>
      <w:r>
        <w:rPr>
          <w:bCs/>
          <w:b/>
        </w:rPr>
        <w:t xml:space="preserve">Nouvel aliment (novel food)</w:t>
      </w:r>
      <w:r>
        <w:t xml:space="preserve"> </w:t>
      </w:r>
      <w:r>
        <w:t xml:space="preserve">: dans l’UE, denrée alimentaire ou ingrédient qui n’était pas consommé de manière significative avant le 15 mai 1997. Ces produits nécessitent une autorisation avant d’être vendus.</w:t>
      </w:r>
    </w:p>
    <w:p>
      <w:pPr>
        <w:pStyle w:val="BodyText"/>
      </w:pPr>
      <w:r>
        <w:rPr>
          <w:bCs/>
          <w:b/>
        </w:rPr>
        <w:t xml:space="preserve">Numéro NCT</w:t>
      </w:r>
      <w:r>
        <w:t xml:space="preserve"> </w:t>
      </w:r>
      <w:r>
        <w:t xml:space="preserve">: numéro d’identification d’une étude dans le registre ClinicalTrials.gov, composé de « NCT » et de huit chiffres.</w:t>
      </w:r>
    </w:p>
    <w:bookmarkEnd w:id="2989"/>
    <w:bookmarkStart w:id="2990" w:name="o"/>
    <w:p>
      <w:pPr>
        <w:pStyle w:val="Heading3"/>
      </w:pPr>
      <w:r>
        <w:t xml:space="preserve">O</w:t>
      </w:r>
    </w:p>
    <w:p>
      <w:pPr>
        <w:pStyle w:val="FirstParagraph"/>
      </w:pPr>
      <w:r>
        <w:rPr>
          <w:bCs/>
          <w:b/>
        </w:rPr>
        <w:t xml:space="preserve">Obésité</w:t>
      </w:r>
      <w:r>
        <w:t xml:space="preserve"> </w:t>
      </w:r>
      <w:r>
        <w:t xml:space="preserve">: excès de poids pathologique, généralement défini par un indice de masse corporelle de 30 ou plus. Elle est considérée comme une maladie chronique associée à un risque accru de diabète, de maladies cardiovasculaires et articulaires.</w:t>
      </w:r>
    </w:p>
    <w:p>
      <w:pPr>
        <w:pStyle w:val="BodyText"/>
      </w:pPr>
      <w:r>
        <w:rPr>
          <w:bCs/>
          <w:b/>
        </w:rPr>
        <w:t xml:space="preserve">Oligopeptide</w:t>
      </w:r>
      <w:r>
        <w:t xml:space="preserve"> </w:t>
      </w:r>
      <w:r>
        <w:t xml:space="preserve">: peptide court composé d’environ deux à dix acides aminés.</w:t>
      </w:r>
    </w:p>
    <w:bookmarkEnd w:id="2990"/>
    <w:bookmarkStart w:id="2991" w:name="p"/>
    <w:p>
      <w:pPr>
        <w:pStyle w:val="Heading3"/>
      </w:pPr>
      <w:r>
        <w:t xml:space="preserve">P</w:t>
      </w:r>
    </w:p>
    <w:p>
      <w:pPr>
        <w:pStyle w:val="FirstParagraph"/>
      </w:pPr>
      <w:r>
        <w:rPr>
          <w:bCs/>
          <w:b/>
        </w:rPr>
        <w:t xml:space="preserve">Pancréatite</w:t>
      </w:r>
      <w:r>
        <w:t xml:space="preserve"> </w:t>
      </w:r>
      <w:r>
        <w:t xml:space="preserve">: inflammation du pancréas. Elle est discutée comme effet indésirable possible et rare des médicaments GLP-1.</w:t>
      </w:r>
    </w:p>
    <w:p>
      <w:pPr>
        <w:pStyle w:val="BodyText"/>
      </w:pPr>
      <w:r>
        <w:rPr>
          <w:bCs/>
          <w:b/>
        </w:rPr>
        <w:t xml:space="preserve">Peptide</w:t>
      </w:r>
      <w:r>
        <w:t xml:space="preserve"> </w:t>
      </w:r>
      <w:r>
        <w:t xml:space="preserve">: chaîne d’acides aminés reliés par des liaisons peptidiques. À partir d’environ 50 acides aminés, on parle généralement de protéine.</w:t>
      </w:r>
    </w:p>
    <w:p>
      <w:pPr>
        <w:pStyle w:val="BodyText"/>
      </w:pPr>
      <w:r>
        <w:rPr>
          <w:bCs/>
          <w:b/>
        </w:rPr>
        <w:t xml:space="preserve">Peptide cyclique</w:t>
      </w:r>
      <w:r>
        <w:t xml:space="preserve"> </w:t>
      </w:r>
      <w:r>
        <w:t xml:space="preserve">: peptide dont la chaîne est fermée en anneau. Les structures cycliques rendent souvent les peptides plus stables vis-à-vis des enzymes.</w:t>
      </w:r>
    </w:p>
    <w:p>
      <w:pPr>
        <w:pStyle w:val="BodyText"/>
      </w:pPr>
      <w:r>
        <w:rPr>
          <w:bCs/>
          <w:b/>
        </w:rPr>
        <w:t xml:space="preserve">Peptides antimicrobiens</w:t>
      </w:r>
      <w:r>
        <w:t xml:space="preserve"> </w:t>
      </w:r>
      <w:r>
        <w:t xml:space="preserve">: peptides endogènes faisant partie des défenses immunitaires innées et capables d’endommager les bactéries, les champignons ou les virus. Le LL-37 en est un exemple.</w:t>
      </w:r>
    </w:p>
    <w:p>
      <w:pPr>
        <w:pStyle w:val="BodyText"/>
      </w:pPr>
      <w:r>
        <w:rPr>
          <w:bCs/>
          <w:b/>
        </w:rPr>
        <w:t xml:space="preserve">Pharmacocinétique</w:t>
      </w:r>
      <w:r>
        <w:t xml:space="preserve"> </w:t>
      </w:r>
      <w:r>
        <w:t xml:space="preserve">: étude de ce que l’organisme fait d’une substance active – absorption, distribution, dégradation et élimination.</w:t>
      </w:r>
    </w:p>
    <w:p>
      <w:pPr>
        <w:pStyle w:val="BodyText"/>
      </w:pPr>
      <w:r>
        <w:rPr>
          <w:bCs/>
          <w:b/>
        </w:rPr>
        <w:t xml:space="preserve">Pharmacodynamie</w:t>
      </w:r>
      <w:r>
        <w:t xml:space="preserve"> </w:t>
      </w:r>
      <w:r>
        <w:t xml:space="preserve">: étude de ce qu’une substance active produit dans l’organisme – c’est-à-dire de ses effets et de ses mécanismes d’action.</w:t>
      </w:r>
    </w:p>
    <w:p>
      <w:pPr>
        <w:pStyle w:val="BodyText"/>
      </w:pPr>
      <w:r>
        <w:rPr>
          <w:bCs/>
          <w:b/>
        </w:rPr>
        <w:t xml:space="preserve">Pharmacovigilance</w:t>
      </w:r>
      <w:r>
        <w:t xml:space="preserve"> </w:t>
      </w:r>
      <w:r>
        <w:t xml:space="preserve">: surveillance systématique des médicaments après leur autorisation, afin de détecter et d’évaluer les effets indésirables.</w:t>
      </w:r>
    </w:p>
    <w:p>
      <w:pPr>
        <w:pStyle w:val="BodyText"/>
      </w:pPr>
      <w:r>
        <w:rPr>
          <w:bCs/>
          <w:b/>
        </w:rPr>
        <w:t xml:space="preserve">Phases des études</w:t>
      </w:r>
      <w:r>
        <w:t xml:space="preserve"> </w:t>
      </w:r>
      <w:r>
        <w:t xml:space="preserve">: étapes de l’évaluation des médicaments chez l’humain, de la phase 1 (tolérance chez quelques personnes) à la phase 3 (grandes études comparatives) et à la phase 4 (surveillance après l’autorisation).</w:t>
      </w:r>
    </w:p>
    <w:p>
      <w:pPr>
        <w:pStyle w:val="BodyText"/>
      </w:pPr>
      <w:r>
        <w:rPr>
          <w:bCs/>
          <w:b/>
        </w:rPr>
        <w:t xml:space="preserve">Placebo</w:t>
      </w:r>
      <w:r>
        <w:t xml:space="preserve"> </w:t>
      </w:r>
      <w:r>
        <w:t xml:space="preserve">: préparation factice sans substance active, utilisée à titre de comparaison dans les études.</w:t>
      </w:r>
    </w:p>
    <w:p>
      <w:pPr>
        <w:pStyle w:val="BodyText"/>
      </w:pPr>
      <w:r>
        <w:rPr>
          <w:bCs/>
          <w:b/>
        </w:rPr>
        <w:t xml:space="preserve">PMID</w:t>
      </w:r>
      <w:r>
        <w:t xml:space="preserve"> </w:t>
      </w:r>
      <w:r>
        <w:t xml:space="preserve">: numéro d’identification PubMed, un numéro unique attribué à chaque entrée de la base de données bibliographique PubMed.</w:t>
      </w:r>
    </w:p>
    <w:p>
      <w:pPr>
        <w:pStyle w:val="BodyText"/>
      </w:pPr>
      <w:r>
        <w:rPr>
          <w:bCs/>
          <w:b/>
        </w:rPr>
        <w:t xml:space="preserve">Polypeptide</w:t>
      </w:r>
      <w:r>
        <w:t xml:space="preserve"> </w:t>
      </w:r>
      <w:r>
        <w:t xml:space="preserve">: chaîne peptidique plus longue, généralement de plus de dix acides aminés.</w:t>
      </w:r>
    </w:p>
    <w:p>
      <w:pPr>
        <w:pStyle w:val="BodyText"/>
      </w:pPr>
      <w:r>
        <w:rPr>
          <w:bCs/>
          <w:b/>
        </w:rPr>
        <w:t xml:space="preserve">Prépublication (preprint)</w:t>
      </w:r>
      <w:r>
        <w:t xml:space="preserve"> </w:t>
      </w:r>
      <w:r>
        <w:t xml:space="preserve">: travail scientifique rendu public avant son évaluation par des pairs.</w:t>
      </w:r>
    </w:p>
    <w:p>
      <w:pPr>
        <w:pStyle w:val="BodyText"/>
      </w:pPr>
      <w:r>
        <w:rPr>
          <w:bCs/>
          <w:b/>
        </w:rPr>
        <w:t xml:space="preserve">Produit cosmétique</w:t>
      </w:r>
      <w:r>
        <w:t xml:space="preserve"> </w:t>
      </w:r>
      <w:r>
        <w:t xml:space="preserve">: produit à usage externe destiné à nettoyer, entretenir, protéger ou modifier l’apparence. Il ne peut revendiquer aucun effet médicamenteux et ne nécessite pas d’autorisation dans l’UE.</w:t>
      </w:r>
    </w:p>
    <w:p>
      <w:pPr>
        <w:pStyle w:val="BodyText"/>
      </w:pPr>
      <w:r>
        <w:rPr>
          <w:bCs/>
          <w:b/>
        </w:rPr>
        <w:t xml:space="preserve">Protéase</w:t>
      </w:r>
      <w:r>
        <w:t xml:space="preserve"> </w:t>
      </w:r>
      <w:r>
        <w:t xml:space="preserve">: enzyme qui scinde les liaisons peptidiques et dégrade ainsi les protéines et les peptides. Appelée aussi peptidase.</w:t>
      </w:r>
    </w:p>
    <w:p>
      <w:pPr>
        <w:pStyle w:val="BodyText"/>
      </w:pPr>
      <w:r>
        <w:rPr>
          <w:bCs/>
          <w:b/>
        </w:rPr>
        <w:t xml:space="preserve">Protéine</w:t>
      </w:r>
      <w:r>
        <w:t xml:space="preserve"> </w:t>
      </w:r>
      <w:r>
        <w:t xml:space="preserve">: grosse molécule composée le plus souvent de plus de 50 acides aminés, avec un repliement spatial déterminé.</w:t>
      </w:r>
    </w:p>
    <w:p>
      <w:pPr>
        <w:pStyle w:val="BodyText"/>
      </w:pPr>
      <w:r>
        <w:rPr>
          <w:bCs/>
          <w:b/>
        </w:rPr>
        <w:t xml:space="preserve">PubMed</w:t>
      </w:r>
      <w:r>
        <w:t xml:space="preserve"> </w:t>
      </w:r>
      <w:r>
        <w:t xml:space="preserve">: base de données bibliographique en libre accès de la National Library of Medicine américaine, comptant des millions d’entrées issues de la recherche biomédicale.</w:t>
      </w:r>
    </w:p>
    <w:p>
      <w:pPr>
        <w:pStyle w:val="BodyText"/>
      </w:pPr>
      <w:r>
        <w:rPr>
          <w:bCs/>
          <w:b/>
        </w:rPr>
        <w:t xml:space="preserve">Pyramide des preuves</w:t>
      </w:r>
      <w:r>
        <w:t xml:space="preserve"> </w:t>
      </w:r>
      <w:r>
        <w:t xml:space="preserve">: classement des types d’études selon leur valeur probante, des études de laboratoire et animales en bas jusqu’aux méta-analyses d’études randomisées en haut.</w:t>
      </w:r>
    </w:p>
    <w:bookmarkEnd w:id="2991"/>
    <w:bookmarkStart w:id="2992" w:name="r"/>
    <w:p>
      <w:pPr>
        <w:pStyle w:val="Heading3"/>
      </w:pPr>
      <w:r>
        <w:t xml:space="preserve">R</w:t>
      </w:r>
    </w:p>
    <w:p>
      <w:pPr>
        <w:pStyle w:val="FirstParagraph"/>
      </w:pPr>
      <w:r>
        <w:rPr>
          <w:bCs/>
          <w:b/>
        </w:rPr>
        <w:t xml:space="preserve">Randomisation</w:t>
      </w:r>
      <w:r>
        <w:t xml:space="preserve"> </w:t>
      </w:r>
      <w:r>
        <w:t xml:space="preserve">: attribution au hasard des participants aux groupes d’une étude. Elle garantit que les groupes ne diffèrent systématiquement que par le traitement.</w:t>
      </w:r>
    </w:p>
    <w:p>
      <w:pPr>
        <w:pStyle w:val="BodyText"/>
      </w:pPr>
      <w:r>
        <w:rPr>
          <w:bCs/>
          <w:b/>
        </w:rPr>
        <w:t xml:space="preserve">Rapport de cas</w:t>
      </w:r>
      <w:r>
        <w:t xml:space="preserve"> </w:t>
      </w:r>
      <w:r>
        <w:t xml:space="preserve">: description d’un cas clinique isolé dans une revue spécialisée. Les rapports de cas sont importants pour détecter des effets indésirables rares, mais disent peu de choses sur l’efficacité.</w:t>
      </w:r>
    </w:p>
    <w:p>
      <w:pPr>
        <w:pStyle w:val="BodyText"/>
      </w:pPr>
      <w:r>
        <w:rPr>
          <w:bCs/>
          <w:b/>
        </w:rPr>
        <w:t xml:space="preserve">RCP (résumé des caractéristiques du produit)</w:t>
      </w:r>
      <w:r>
        <w:t xml:space="preserve"> </w:t>
      </w:r>
      <w:r>
        <w:t xml:space="preserve">: information approuvée par les autorités et destinée aux médecins et aux pharmacies sur un médicament autorisé, avec ses indications, sa posologie, ses contre-indications et ses effets indésirables.</w:t>
      </w:r>
    </w:p>
    <w:p>
      <w:pPr>
        <w:pStyle w:val="BodyText"/>
      </w:pPr>
      <w:r>
        <w:rPr>
          <w:bCs/>
          <w:b/>
        </w:rPr>
        <w:t xml:space="preserve">Récepteur</w:t>
      </w:r>
      <w:r>
        <w:t xml:space="preserve"> </w:t>
      </w:r>
      <w:r>
        <w:t xml:space="preserve">: molécule protéique, le plus souvent située à la surface des cellules, à laquelle se lie un messager, déclenchant ainsi un signal dans la cellule.</w:t>
      </w:r>
    </w:p>
    <w:p>
      <w:pPr>
        <w:pStyle w:val="BodyText"/>
      </w:pPr>
      <w:r>
        <w:rPr>
          <w:bCs/>
          <w:b/>
        </w:rPr>
        <w:t xml:space="preserve">Récepteurs de la mélanocortine</w:t>
      </w:r>
      <w:r>
        <w:t xml:space="preserve"> </w:t>
      </w:r>
      <w:r>
        <w:t xml:space="preserve">: famille de récepteurs qui influencent notamment la pigmentation de la peau, l’appétit et la fonction sexuelle. L’afamélanotide, le brémélanotide, le Melanotan II et le setmélanotide agissent sur ces récepteurs.</w:t>
      </w:r>
    </w:p>
    <w:p>
      <w:pPr>
        <w:pStyle w:val="BodyText"/>
      </w:pPr>
      <w:r>
        <w:rPr>
          <w:bCs/>
          <w:b/>
        </w:rPr>
        <w:t xml:space="preserve">Recombinant</w:t>
      </w:r>
      <w:r>
        <w:t xml:space="preserve"> </w:t>
      </w:r>
      <w:r>
        <w:t xml:space="preserve">: produit par génie génétique, en introduisant le plan de construction d’un peptide ou d’une protéine dans des bactéries, des levures ou d’autres cellules.</w:t>
      </w:r>
    </w:p>
    <w:p>
      <w:pPr>
        <w:pStyle w:val="BodyText"/>
      </w:pPr>
      <w:r>
        <w:rPr>
          <w:bCs/>
          <w:b/>
        </w:rPr>
        <w:t xml:space="preserve">Réduction absolue du risque</w:t>
      </w:r>
      <w:r>
        <w:t xml:space="preserve"> </w:t>
      </w:r>
      <w:r>
        <w:t xml:space="preserve">: différence de fréquence d’un événement entre deux groupes, exprimée en points de pourcentage. Si un risque passe de 8 % à 6,5 %, la réduction absolue du risque est de 1,5 point de pourcentage.</w:t>
      </w:r>
    </w:p>
    <w:p>
      <w:pPr>
        <w:pStyle w:val="BodyText"/>
      </w:pPr>
      <w:r>
        <w:rPr>
          <w:bCs/>
          <w:b/>
        </w:rPr>
        <w:t xml:space="preserve">Registre d’études</w:t>
      </w:r>
      <w:r>
        <w:t xml:space="preserve"> </w:t>
      </w:r>
      <w:r>
        <w:t xml:space="preserve">: bases de données publiques dans lesquelles les études cliniques sont inscrites avant leur début, par exemple ClinicalTrials.gov ou le registre de l’UE.</w:t>
      </w:r>
    </w:p>
    <w:p>
      <w:pPr>
        <w:pStyle w:val="BodyText"/>
      </w:pPr>
      <w:r>
        <w:rPr>
          <w:bCs/>
          <w:b/>
        </w:rPr>
        <w:t xml:space="preserve">Research peptides</w:t>
      </w:r>
      <w:r>
        <w:t xml:space="preserve"> </w:t>
      </w:r>
      <w:r>
        <w:t xml:space="preserve">: peptides vendus avec la mention « uniquement à des fins de recherche » ou « impropre à l’usage humain », mais souvent à des particuliers. Ce ne sont pas des médicaments contrôlés.</w:t>
      </w:r>
    </w:p>
    <w:p>
      <w:pPr>
        <w:pStyle w:val="BodyText"/>
      </w:pPr>
      <w:r>
        <w:rPr>
          <w:bCs/>
          <w:b/>
        </w:rPr>
        <w:t xml:space="preserve">Revue systématique</w:t>
      </w:r>
      <w:r>
        <w:t xml:space="preserve"> </w:t>
      </w:r>
      <w:r>
        <w:t xml:space="preserve">: travail qui recherche, évalue et résume selon des règles prédéfinies toutes les études disponibles sur une question.</w:t>
      </w:r>
    </w:p>
    <w:p>
      <w:pPr>
        <w:pStyle w:val="BodyText"/>
      </w:pPr>
      <w:r>
        <w:rPr>
          <w:bCs/>
          <w:b/>
        </w:rPr>
        <w:t xml:space="preserve">Rhabdomyolyse</w:t>
      </w:r>
      <w:r>
        <w:t xml:space="preserve"> </w:t>
      </w:r>
      <w:r>
        <w:t xml:space="preserve">: destruction du tissu musculaire, au cours de laquelle des composants musculaires passent dans le sang et peuvent endommager les reins.</w:t>
      </w:r>
    </w:p>
    <w:p>
      <w:pPr>
        <w:pStyle w:val="BodyText"/>
      </w:pPr>
      <w:r>
        <w:rPr>
          <w:bCs/>
          <w:b/>
        </w:rPr>
        <w:t xml:space="preserve">Risque relatif</w:t>
      </w:r>
      <w:r>
        <w:t xml:space="preserve"> </w:t>
      </w:r>
      <w:r>
        <w:t xml:space="preserve">: rapport entre les fréquences d’un événement dans deux groupes. Un risque relatif de 0,5 signifie une réduction de moitié – quelle que soit la fréquence globale de l’événement.</w:t>
      </w:r>
    </w:p>
    <w:bookmarkEnd w:id="2992"/>
    <w:bookmarkStart w:id="2993" w:name="s"/>
    <w:p>
      <w:pPr>
        <w:pStyle w:val="Heading3"/>
      </w:pPr>
      <w:r>
        <w:t xml:space="preserve">S</w:t>
      </w:r>
    </w:p>
    <w:p>
      <w:pPr>
        <w:pStyle w:val="FirstParagraph"/>
      </w:pPr>
      <w:r>
        <w:rPr>
          <w:bCs/>
          <w:b/>
        </w:rPr>
        <w:t xml:space="preserve">Sécrétagogue</w:t>
      </w:r>
      <w:r>
        <w:t xml:space="preserve"> </w:t>
      </w:r>
      <w:r>
        <w:t xml:space="preserve">: substance qui stimule la sécrétion d’une autre substance. Les sécrétagogues de l’hormone de croissance augmentent la libération d’hormone de croissance.</w:t>
      </w:r>
    </w:p>
    <w:p>
      <w:pPr>
        <w:pStyle w:val="BodyText"/>
      </w:pPr>
      <w:r>
        <w:rPr>
          <w:bCs/>
          <w:b/>
        </w:rPr>
        <w:t xml:space="preserve">Séquence</w:t>
      </w:r>
      <w:r>
        <w:t xml:space="preserve"> </w:t>
      </w:r>
      <w:r>
        <w:t xml:space="preserve">: ordre des acides aminés dans une chaîne peptidique. Elle détermine les propriétés du peptide.</w:t>
      </w:r>
    </w:p>
    <w:p>
      <w:pPr>
        <w:pStyle w:val="BodyText"/>
      </w:pPr>
      <w:r>
        <w:rPr>
          <w:bCs/>
          <w:b/>
        </w:rPr>
        <w:t xml:space="preserve">Significativité (statistique)</w:t>
      </w:r>
      <w:r>
        <w:t xml:space="preserve"> </w:t>
      </w:r>
      <w:r>
        <w:t xml:space="preserve">: affirmation selon laquelle une différence observée n’est probablement pas due au seul hasard. Elle ne dit rien de l’ampleur ou de l’importance de la différence.</w:t>
      </w:r>
    </w:p>
    <w:p>
      <w:pPr>
        <w:pStyle w:val="BodyText"/>
      </w:pPr>
      <w:r>
        <w:rPr>
          <w:bCs/>
          <w:b/>
        </w:rPr>
        <w:t xml:space="preserve">SNAC</w:t>
      </w:r>
      <w:r>
        <w:t xml:space="preserve"> </w:t>
      </w:r>
      <w:r>
        <w:t xml:space="preserve">: excipient (N-[8-(2-hydroxybenzoyl)amino]caprylate de sodium) qui permet l’absorption du peptide dans l’estomac dans le comprimé de sémaglutide.</w:t>
      </w:r>
    </w:p>
    <w:p>
      <w:pPr>
        <w:pStyle w:val="BodyText"/>
      </w:pPr>
      <w:r>
        <w:rPr>
          <w:bCs/>
          <w:b/>
        </w:rPr>
        <w:t xml:space="preserve">Sous-cutané</w:t>
      </w:r>
      <w:r>
        <w:t xml:space="preserve"> </w:t>
      </w:r>
      <w:r>
        <w:t xml:space="preserve">: injecté sous la peau, dans le tissu adipeux sous-cutané. C’est la voie d’administration la plus fréquente des médicaments peptidiques.</w:t>
      </w:r>
    </w:p>
    <w:p>
      <w:pPr>
        <w:pStyle w:val="BodyText"/>
      </w:pPr>
      <w:r>
        <w:rPr>
          <w:bCs/>
          <w:b/>
        </w:rPr>
        <w:t xml:space="preserve">Spectrométrie de masse</w:t>
      </w:r>
      <w:r>
        <w:t xml:space="preserve"> </w:t>
      </w:r>
      <w:r>
        <w:t xml:space="preserve">: méthode de mesure qui identifie les molécules selon leur masse. Elle permet d’identifier sans ambiguïté des peptides dans des produits et des liquides biologiques, par exemple lors des contrôles antidopage.</w:t>
      </w:r>
    </w:p>
    <w:p>
      <w:pPr>
        <w:pStyle w:val="BodyText"/>
      </w:pPr>
      <w:r>
        <w:rPr>
          <w:bCs/>
          <w:b/>
        </w:rPr>
        <w:t xml:space="preserve">Stérilité</w:t>
      </w:r>
      <w:r>
        <w:t xml:space="preserve"> </w:t>
      </w:r>
      <w:r>
        <w:t xml:space="preserve">: absence de micro-organismes vivants. Un produit stérile peut néanmoins contenir des endotoxines.</w:t>
      </w:r>
    </w:p>
    <w:p>
      <w:pPr>
        <w:pStyle w:val="BodyText"/>
      </w:pPr>
      <w:r>
        <w:rPr>
          <w:bCs/>
          <w:b/>
        </w:rPr>
        <w:t xml:space="preserve">Synthèse peptidique en phase solide</w:t>
      </w:r>
      <w:r>
        <w:t xml:space="preserve"> </w:t>
      </w:r>
      <w:r>
        <w:t xml:space="preserve">: procédé chimique dans lequel une chaîne peptidique est construite élément par élément sur un support solide. C’est la base de la fabrication de la plupart des peptides courts.</w:t>
      </w:r>
    </w:p>
    <w:bookmarkEnd w:id="2993"/>
    <w:bookmarkStart w:id="2994" w:name="u"/>
    <w:p>
      <w:pPr>
        <w:pStyle w:val="Heading3"/>
      </w:pPr>
      <w:r>
        <w:t xml:space="preserve">U</w:t>
      </w:r>
    </w:p>
    <w:p>
      <w:pPr>
        <w:pStyle w:val="FirstParagraph"/>
      </w:pPr>
      <w:r>
        <w:rPr>
          <w:bCs/>
          <w:b/>
        </w:rPr>
        <w:t xml:space="preserve">Utilisation hors autorisation (off-label)</w:t>
      </w:r>
      <w:r>
        <w:t xml:space="preserve"> </w:t>
      </w:r>
      <w:r>
        <w:t xml:space="preserve">: utilisation d’un médicament autorisé en dehors des indications, posologies ou groupes de personnes autorisés.</w:t>
      </w:r>
    </w:p>
    <w:bookmarkEnd w:id="2994"/>
    <w:bookmarkStart w:id="2995" w:name="v"/>
    <w:p>
      <w:pPr>
        <w:pStyle w:val="Heading3"/>
      </w:pPr>
      <w:r>
        <w:t xml:space="preserve">V</w:t>
      </w:r>
    </w:p>
    <w:p>
      <w:pPr>
        <w:pStyle w:val="FirstParagraph"/>
      </w:pPr>
      <w:r>
        <w:rPr>
          <w:bCs/>
          <w:b/>
        </w:rPr>
        <w:t xml:space="preserve">Valeur p</w:t>
      </w:r>
      <w:r>
        <w:t xml:space="preserve"> </w:t>
      </w:r>
      <w:r>
        <w:t xml:space="preserve">: mesure statistique de la probabilité d’observer une différence au moins aussi grande s’il n’existait en réalité aucun effet. Les valeurs inférieures à 0,05 sont habituellement considérées comme statistiquement significatives.</w:t>
      </w:r>
    </w:p>
    <w:bookmarkEnd w:id="2995"/>
    <w:bookmarkStart w:id="2996" w:name="w"/>
    <w:p>
      <w:pPr>
        <w:pStyle w:val="Heading3"/>
      </w:pPr>
      <w:r>
        <w:t xml:space="preserve">W</w:t>
      </w:r>
    </w:p>
    <w:p>
      <w:pPr>
        <w:pStyle w:val="FirstParagraph"/>
      </w:pPr>
      <w:r>
        <w:rPr>
          <w:bCs/>
          <w:b/>
        </w:rPr>
        <w:t xml:space="preserve">WADA (Agence mondiale antidopage)</w:t>
      </w:r>
      <w:r>
        <w:t xml:space="preserve"> </w:t>
      </w:r>
      <w:r>
        <w:t xml:space="preserve">: organisation internationale qui publie chaque année la liste des substances et méthodes interdites dans le sport.</w:t>
      </w:r>
    </w:p>
    <w:bookmarkEnd w:id="2996"/>
    <w:bookmarkEnd w:id="2997"/>
    <w:bookmarkStart w:id="3013" w:name="méthodologie"/>
    <w:p>
      <w:pPr>
        <w:pStyle w:val="Heading1"/>
      </w:pPr>
      <w:r>
        <w:t xml:space="preserve">Méthodologie</w:t>
      </w:r>
    </w:p>
    <w:p>
      <w:pPr>
        <w:pStyle w:val="FirstParagraph"/>
      </w:pPr>
      <w:r>
        <w:t xml:space="preserve">Cette annexe décrit comment les études de ce livre ont été recherchées, sélectionnées et vérifiées. Elle doit te permettre de retracer la recherche documentaire et, si nécessaire, de la refaire toi-même ou de la mettre à jour.</w:t>
      </w:r>
    </w:p>
    <w:bookmarkStart w:id="2998" w:name="bases-de-données"/>
    <w:p>
      <w:pPr>
        <w:pStyle w:val="Heading3"/>
      </w:pPr>
      <w:r>
        <w:t xml:space="preserve">Bases de données</w:t>
      </w:r>
    </w:p>
    <w:p>
      <w:pPr>
        <w:pStyle w:val="FirstParagraph"/>
      </w:pPr>
      <w:r>
        <w:t xml:space="preserve">La recherche repose sur deux bases de données en libre accès :</w:t>
      </w:r>
    </w:p>
    <w:p>
      <w:pPr>
        <w:numPr>
          <w:ilvl w:val="0"/>
          <w:numId w:val="1373"/>
        </w:numPr>
        <w:pStyle w:val="Compact"/>
      </w:pPr>
      <w:r>
        <w:rPr>
          <w:bCs/>
          <w:b/>
        </w:rPr>
        <w:t xml:space="preserve">PubMed</w:t>
      </w:r>
      <w:r>
        <w:t xml:space="preserve"> </w:t>
      </w:r>
      <w:r>
        <w:t xml:space="preserve">(pubmed.ncbi.nlm.nih.gov), la base de données bibliographique de la National Library of Medicine américaine. Elle répertorie les publications de revues biomédicales avec leur titre, leurs autrices et auteurs, leur résumé (abstract) et leurs mots-clés. Chaque entrée possède un numéro unique, le PMID.</w:t>
      </w:r>
    </w:p>
    <w:p>
      <w:pPr>
        <w:numPr>
          <w:ilvl w:val="0"/>
          <w:numId w:val="1373"/>
        </w:numPr>
        <w:pStyle w:val="Compact"/>
      </w:pPr>
      <w:r>
        <w:rPr>
          <w:bCs/>
          <w:b/>
        </w:rPr>
        <w:t xml:space="preserve">ClinicalTrials.gov</w:t>
      </w:r>
      <w:r>
        <w:t xml:space="preserve"> </w:t>
      </w:r>
      <w:r>
        <w:t xml:space="preserve">(clinicaltrials.gov), le registre d’études des National Institutes of Health américains. Des études cliniques du monde entier y sont enregistrées avant leur début, avec leur plan, le nombre de participants prévu, les critères d’évaluation et leur statut. Chaque étude possède un numéro NCT.</w:t>
      </w:r>
    </w:p>
    <w:p>
      <w:pPr>
        <w:pStyle w:val="FirstParagraph"/>
      </w:pPr>
      <w:r>
        <w:t xml:space="preserve">Les deux bases de données ont été interrogées via leurs interfaces de programmation officielles et accessibles au public : PubMed via les E-Utilities du National Center for Biotechnology Information, ClinicalTrials.gov via l’interface de programmation en version 2. D’autres bases de données comme Embase, la Cochrane Library, Web of Science, le registre des essais cliniques de l’UE ou des registres nationaux n’ont pas été explorées de manière systématique.</w:t>
      </w:r>
    </w:p>
    <w:bookmarkEnd w:id="2998"/>
    <w:bookmarkStart w:id="2999" w:name="période-dinterrogation"/>
    <w:p>
      <w:pPr>
        <w:pStyle w:val="Heading3"/>
      </w:pPr>
      <w:r>
        <w:t xml:space="preserve">Période d’interrogation</w:t>
      </w:r>
    </w:p>
    <w:p>
      <w:pPr>
        <w:pStyle w:val="FirstParagraph"/>
      </w:pPr>
      <w:r>
        <w:t xml:space="preserve">Les interrogations systématiques ont eu lieu en</w:t>
      </w:r>
      <w:r>
        <w:t xml:space="preserve"> </w:t>
      </w:r>
      <w:r>
        <w:rPr>
          <w:bCs/>
          <w:b/>
        </w:rPr>
        <w:t xml:space="preserve">octobre 2026</w:t>
      </w:r>
      <w:r>
        <w:t xml:space="preserve"> </w:t>
      </w:r>
      <w:r>
        <w:t xml:space="preserve">; le décompte des résultats pour tous les peptides date du 28 octobre 2026. Des recherches ciblées complémentaires sur certaines études, certains rapports de cas et certaines revues ont été effectuées au cours de la même période. Les études parues ultérieurement ne sont pas prises en compte. Le livre reflète la situation de novembre 2026.</w:t>
      </w:r>
    </w:p>
    <w:bookmarkEnd w:id="2999"/>
    <w:bookmarkStart w:id="3000" w:name="stratégie-de-recherche"/>
    <w:p>
      <w:pPr>
        <w:pStyle w:val="Heading3"/>
      </w:pPr>
      <w:r>
        <w:t xml:space="preserve">Stratégie de recherche</w:t>
      </w:r>
    </w:p>
    <w:p>
      <w:pPr>
        <w:pStyle w:val="FirstParagraph"/>
      </w:pPr>
      <w:r>
        <w:t xml:space="preserve">Pour chacun des 58 peptides et substances de comparaison, un terme de recherche PubMed spécifique a été défini. Il comprend la dénomination commune internationale ainsi que les abréviations, noms de code et noms commerciaux usuels, et cherche dans le titre et le résumé (balise</w:t>
      </w:r>
      <w:r>
        <w:t xml:space="preserve"> </w:t>
      </w:r>
      <w:r>
        <w:rPr>
          <w:rStyle w:val="VerbatimChar"/>
        </w:rPr>
        <w:t xml:space="preserve">[tiab]</w:t>
      </w:r>
      <w:r>
        <w:t xml:space="preserve">) ou uniquement dans le titre (</w:t>
      </w:r>
      <w:r>
        <w:rPr>
          <w:rStyle w:val="VerbatimChar"/>
        </w:rPr>
        <w:t xml:space="preserve">[ti]</w:t>
      </w:r>
      <w:r>
        <w:t xml:space="preserve">). Pour les termes ambigus, la recherche a été restreinte, par exemple aux travaux portant sur la prise orale pour les peptides de collagène ou aux travaux portant sur l’administration du peptide pour la kisspeptine.</w:t>
      </w:r>
    </w:p>
    <w:p>
      <w:pPr>
        <w:pStyle w:val="BodyText"/>
      </w:pPr>
      <w:r>
        <w:t xml:space="preserve">Trois filtres ont été appliqués à ce terme de recherche :</w:t>
      </w:r>
    </w:p>
    <w:p>
      <w:pPr>
        <w:pStyle w:val="BodyText"/>
      </w:pPr>
      <w:r>
        <w:rPr>
          <w:bCs/>
          <w:b/>
        </w:rPr>
        <w:t xml:space="preserve">Études chez l’humain.</w:t>
      </w:r>
      <w:r>
        <w:t xml:space="preserve"> </w:t>
      </w:r>
      <w:r>
        <w:t xml:space="preserve">Pour trouver des études cliniques chez l’humain, le terme de recherche a été combiné avec le filtre suivant :</w:t>
      </w:r>
    </w:p>
    <w:p>
      <w:pPr>
        <w:pStyle w:val="BodyText"/>
      </w:pPr>
      <w:r>
        <w:rPr>
          <w:rStyle w:val="VerbatimChar"/>
        </w:rPr>
        <w:t xml:space="preserve">(clinical trial[pt] OR randomized controlled trial[pt]) AND humans[mh]</w:t>
      </w:r>
    </w:p>
    <w:p>
      <w:pPr>
        <w:pStyle w:val="BodyText"/>
      </w:pPr>
      <w:r>
        <w:t xml:space="preserve">La partie</w:t>
      </w:r>
      <w:r>
        <w:t xml:space="preserve"> </w:t>
      </w:r>
      <w:r>
        <w:rPr>
          <w:rStyle w:val="VerbatimChar"/>
        </w:rPr>
        <w:t xml:space="preserve">[pt]</w:t>
      </w:r>
      <w:r>
        <w:t xml:space="preserve"> </w:t>
      </w:r>
      <w:r>
        <w:t xml:space="preserve">recherche le type de publication que PubMed attribue à chaque article ;</w:t>
      </w:r>
      <w:r>
        <w:t xml:space="preserve"> </w:t>
      </w:r>
      <w:r>
        <w:rPr>
          <w:rStyle w:val="VerbatimChar"/>
        </w:rPr>
        <w:t xml:space="preserve">humans[mh]</w:t>
      </w:r>
      <w:r>
        <w:t xml:space="preserve"> </w:t>
      </w:r>
      <w:r>
        <w:t xml:space="preserve">correspond au mot-clé « humains » du système de mots-clés MeSH. On trouve ainsi les articles signalés comme étude clinique ou comme étude contrôlée randomisée et portant sur des humains.</w:t>
      </w:r>
    </w:p>
    <w:p>
      <w:pPr>
        <w:pStyle w:val="BodyText"/>
      </w:pPr>
      <w:r>
        <w:rPr>
          <w:bCs/>
          <w:b/>
        </w:rPr>
        <w:t xml:space="preserve">Méta-analyses et revues.</w:t>
      </w:r>
      <w:r>
        <w:t xml:space="preserve"> </w:t>
      </w:r>
      <w:r>
        <w:t xml:space="preserve">Pour les travaux de synthèse, le terme de recherche a été combiné avec ce filtre :</w:t>
      </w:r>
    </w:p>
    <w:p>
      <w:pPr>
        <w:pStyle w:val="BodyText"/>
      </w:pPr>
      <w:r>
        <w:rPr>
          <w:rStyle w:val="VerbatimChar"/>
        </w:rPr>
        <w:t xml:space="preserve">(meta-analysis[pt] OR systematic review[pt])</w:t>
      </w:r>
    </w:p>
    <w:p>
      <w:pPr>
        <w:pStyle w:val="BodyText"/>
      </w:pPr>
      <w:r>
        <w:rPr>
          <w:bCs/>
          <w:b/>
        </w:rPr>
        <w:t xml:space="preserve">Études précliniques.</w:t>
      </w:r>
      <w:r>
        <w:t xml:space="preserve"> </w:t>
      </w:r>
      <w:r>
        <w:t xml:space="preserve">Pour les peptides comptant moins de 25 études chez l’humain, les autres travaux les plus pertinents ont en outre été analysés sans le filtre « études chez l’humain », afin de recenser les études animales et de laboratoire, les rapports de cas et les analyses de produits du marché gris.</w:t>
      </w:r>
    </w:p>
    <w:p>
      <w:pPr>
        <w:pStyle w:val="BodyText"/>
      </w:pPr>
      <w:r>
        <w:rPr>
          <w:bCs/>
          <w:b/>
        </w:rPr>
        <w:t xml:space="preserve">Études enregistrées.</w:t>
      </w:r>
      <w:r>
        <w:t xml:space="preserve"> </w:t>
      </w:r>
      <w:r>
        <w:t xml:space="preserve">Dans ClinicalTrials.gov, un terme de recherche spécifique, le plus souvent simple, reprenant le nom de la substance a été utilisé pour chaque peptide. Toutes les inscriptions ont été recensées, quels que soient leur statut et la phase de l’étude.</w:t>
      </w:r>
    </w:p>
    <w:p>
      <w:pPr>
        <w:pStyle w:val="BodyText"/>
      </w:pPr>
      <w:r>
        <w:t xml:space="preserve">Au-delà de ces recherches automatisées, une recherche ciblée a été menée pour chaque chapitre afin de trouver les principales études d’autorisation et de critères cliniques, les grandes méta-analyses, les programmes d’études (par exemple STEP, SURMOUNT ou SELECT), les données de sécurité, les rapports de cas et les analyses de laboratoire de produits du marché gris. Pour la partie I, des travaux sur l’histoire de la médecine peptidique, les formes galéniques, la méthodologie des études et le marché gris ont en outre été recherchés.</w:t>
      </w:r>
    </w:p>
    <w:bookmarkEnd w:id="3000"/>
    <w:bookmarkStart w:id="3007" w:name="termes-de-recherche-par-peptide"/>
    <w:p>
      <w:pPr>
        <w:pStyle w:val="Heading3"/>
      </w:pPr>
      <w:r>
        <w:t xml:space="preserve">Termes de recherche par peptide</w:t>
      </w:r>
    </w:p>
    <w:p>
      <w:pPr>
        <w:pStyle w:val="FirstParagraph"/>
      </w:pPr>
      <w:r>
        <w:t xml:space="preserve">Les tableaux suivants reproduisent les termes de recherche PubMed utilisés pour l’interrogation systématique. Les filtres décrits plus haut ont été ajoutés à chaque terme. Un astérisque en fin de mot remplace n’importe quelle terminaison,</w:t>
      </w:r>
      <w:r>
        <w:t xml:space="preserve"> </w:t>
      </w:r>
      <w:r>
        <w:rPr>
          <w:rStyle w:val="VerbatimChar"/>
        </w:rPr>
        <w:t xml:space="preserve">OR</w:t>
      </w:r>
      <w:r>
        <w:t xml:space="preserve"> </w:t>
      </w:r>
      <w:r>
        <w:t xml:space="preserve">relie des dénominations alternatives,</w:t>
      </w:r>
      <w:r>
        <w:t xml:space="preserve"> </w:t>
      </w:r>
      <w:r>
        <w:rPr>
          <w:rStyle w:val="VerbatimChar"/>
        </w:rPr>
        <w:t xml:space="preserve">AND</w:t>
      </w:r>
      <w:r>
        <w:t xml:space="preserve"> </w:t>
      </w:r>
      <w:r>
        <w:t xml:space="preserve">restreint la recherche.</w:t>
      </w:r>
    </w:p>
    <w:bookmarkStart w:id="3001" w:name="a.-métabolisme-et-poids-1"/>
    <w:p>
      <w:pPr>
        <w:pStyle w:val="Heading4"/>
      </w:pPr>
      <w:r>
        <w:t xml:space="preserve">A. Métabolisme et poids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Exénatide</w:t>
            </w:r>
          </w:p>
        </w:tc>
        <w:tc>
          <w:tcPr/>
          <w:p>
            <w:pPr>
              <w:pStyle w:val="Compact"/>
              <w:jc w:val="left"/>
            </w:pPr>
            <w:r>
              <w:rPr>
                <w:rStyle w:val="VerbatimChar"/>
              </w:rPr>
              <w:t xml:space="preserve">exenatide[tiab]</w:t>
            </w:r>
          </w:p>
        </w:tc>
      </w:tr>
      <w:tr>
        <w:tc>
          <w:tcPr/>
          <w:p>
            <w:pPr>
              <w:pStyle w:val="Compact"/>
              <w:jc w:val="left"/>
            </w:pPr>
            <w:r>
              <w:t xml:space="preserve">Liraglutide</w:t>
            </w:r>
          </w:p>
        </w:tc>
        <w:tc>
          <w:tcPr/>
          <w:p>
            <w:pPr>
              <w:pStyle w:val="Compact"/>
              <w:jc w:val="left"/>
            </w:pPr>
            <w:r>
              <w:rPr>
                <w:rStyle w:val="VerbatimChar"/>
              </w:rPr>
              <w:t xml:space="preserve">liraglutide[tiab]</w:t>
            </w:r>
          </w:p>
        </w:tc>
      </w:tr>
      <w:tr>
        <w:tc>
          <w:tcPr/>
          <w:p>
            <w:pPr>
              <w:pStyle w:val="Compact"/>
              <w:jc w:val="left"/>
            </w:pPr>
            <w:r>
              <w:t xml:space="preserve">Dulaglutide</w:t>
            </w:r>
          </w:p>
        </w:tc>
        <w:tc>
          <w:tcPr/>
          <w:p>
            <w:pPr>
              <w:pStyle w:val="Compact"/>
              <w:jc w:val="left"/>
            </w:pPr>
            <w:r>
              <w:rPr>
                <w:rStyle w:val="VerbatimChar"/>
              </w:rPr>
              <w:t xml:space="preserve">dulaglutide[tiab]</w:t>
            </w:r>
          </w:p>
        </w:tc>
      </w:tr>
      <w:tr>
        <w:tc>
          <w:tcPr/>
          <w:p>
            <w:pPr>
              <w:pStyle w:val="Compact"/>
              <w:jc w:val="left"/>
            </w:pPr>
            <w:r>
              <w:t xml:space="preserve">Sémaglutide</w:t>
            </w:r>
          </w:p>
        </w:tc>
        <w:tc>
          <w:tcPr/>
          <w:p>
            <w:pPr>
              <w:pStyle w:val="Compact"/>
              <w:jc w:val="left"/>
            </w:pPr>
            <w:r>
              <w:rPr>
                <w:rStyle w:val="VerbatimChar"/>
              </w:rPr>
              <w:t xml:space="preserve">semaglutide[tiab]</w:t>
            </w:r>
          </w:p>
        </w:tc>
      </w:tr>
      <w:tr>
        <w:tc>
          <w:tcPr/>
          <w:p>
            <w:pPr>
              <w:pStyle w:val="Compact"/>
              <w:jc w:val="left"/>
            </w:pPr>
            <w:r>
              <w:t xml:space="preserve">Tirzépatide</w:t>
            </w:r>
          </w:p>
        </w:tc>
        <w:tc>
          <w:tcPr/>
          <w:p>
            <w:pPr>
              <w:pStyle w:val="Compact"/>
              <w:jc w:val="left"/>
            </w:pPr>
            <w:r>
              <w:rPr>
                <w:rStyle w:val="VerbatimChar"/>
              </w:rPr>
              <w:t xml:space="preserve">tirzepatide[tiab]</w:t>
            </w:r>
          </w:p>
        </w:tc>
      </w:tr>
      <w:tr>
        <w:tc>
          <w:tcPr/>
          <w:p>
            <w:pPr>
              <w:pStyle w:val="Compact"/>
              <w:jc w:val="left"/>
            </w:pPr>
            <w:r>
              <w:t xml:space="preserve">Rétatrutide</w:t>
            </w:r>
          </w:p>
        </w:tc>
        <w:tc>
          <w:tcPr/>
          <w:p>
            <w:pPr>
              <w:pStyle w:val="Compact"/>
              <w:jc w:val="left"/>
            </w:pPr>
            <w:r>
              <w:rPr>
                <w:rStyle w:val="VerbatimChar"/>
              </w:rPr>
              <w:t xml:space="preserve">retatrutide[tiab]</w:t>
            </w:r>
          </w:p>
        </w:tc>
      </w:tr>
      <w:tr>
        <w:tc>
          <w:tcPr/>
          <w:p>
            <w:pPr>
              <w:pStyle w:val="Compact"/>
              <w:jc w:val="left"/>
            </w:pPr>
            <w:r>
              <w:t xml:space="preserve">Survodutide</w:t>
            </w:r>
          </w:p>
        </w:tc>
        <w:tc>
          <w:tcPr/>
          <w:p>
            <w:pPr>
              <w:pStyle w:val="Compact"/>
              <w:jc w:val="left"/>
            </w:pPr>
            <w:r>
              <w:rPr>
                <w:rStyle w:val="VerbatimChar"/>
              </w:rPr>
              <w:t xml:space="preserve">survodutide[tiab]</w:t>
            </w:r>
          </w:p>
        </w:tc>
      </w:tr>
      <w:tr>
        <w:tc>
          <w:tcPr/>
          <w:p>
            <w:pPr>
              <w:pStyle w:val="Compact"/>
              <w:jc w:val="left"/>
            </w:pPr>
            <w:r>
              <w:t xml:space="preserve">Mazdutide</w:t>
            </w:r>
          </w:p>
        </w:tc>
        <w:tc>
          <w:tcPr/>
          <w:p>
            <w:pPr>
              <w:pStyle w:val="Compact"/>
              <w:jc w:val="left"/>
            </w:pPr>
            <w:r>
              <w:rPr>
                <w:rStyle w:val="VerbatimChar"/>
              </w:rPr>
              <w:t xml:space="preserve">mazdutide[tiab]</w:t>
            </w:r>
          </w:p>
        </w:tc>
      </w:tr>
      <w:tr>
        <w:tc>
          <w:tcPr/>
          <w:p>
            <w:pPr>
              <w:pStyle w:val="Compact"/>
              <w:jc w:val="left"/>
            </w:pPr>
            <w:r>
              <w:t xml:space="preserve">Cagrilintide ou CagriSema</w:t>
            </w:r>
          </w:p>
        </w:tc>
        <w:tc>
          <w:tcPr/>
          <w:p>
            <w:pPr>
              <w:pStyle w:val="Compact"/>
              <w:jc w:val="left"/>
            </w:pPr>
            <w:r>
              <w:rPr>
                <w:rStyle w:val="VerbatimChar"/>
              </w:rPr>
              <w:t xml:space="preserve">cagrilintide[tiab]</w:t>
            </w:r>
          </w:p>
        </w:tc>
      </w:tr>
      <w:tr>
        <w:tc>
          <w:tcPr/>
          <w:p>
            <w:pPr>
              <w:pStyle w:val="Compact"/>
              <w:jc w:val="left"/>
            </w:pPr>
            <w:r>
              <w:t xml:space="preserve">Amycrétine</w:t>
            </w:r>
          </w:p>
        </w:tc>
        <w:tc>
          <w:tcPr/>
          <w:p>
            <w:pPr>
              <w:pStyle w:val="Compact"/>
              <w:jc w:val="left"/>
            </w:pPr>
            <w:r>
              <w:rPr>
                <w:rStyle w:val="VerbatimChar"/>
              </w:rPr>
              <w:t xml:space="preserve">amycretin[tiab]</w:t>
            </w:r>
          </w:p>
        </w:tc>
      </w:tr>
      <w:tr>
        <w:tc>
          <w:tcPr/>
          <w:p>
            <w:pPr>
              <w:pStyle w:val="Compact"/>
              <w:jc w:val="left"/>
            </w:pPr>
            <w:r>
              <w:t xml:space="preserve">Maridebart cafraglutide (MariTide)</w:t>
            </w:r>
          </w:p>
        </w:tc>
        <w:tc>
          <w:tcPr/>
          <w:p>
            <w:pPr>
              <w:pStyle w:val="Compact"/>
              <w:jc w:val="left"/>
            </w:pPr>
            <w:r>
              <w:rPr>
                <w:rStyle w:val="VerbatimChar"/>
              </w:rPr>
              <w:t xml:space="preserve">maridebart[tiab] OR AMG 133[tiab]</w:t>
            </w:r>
          </w:p>
        </w:tc>
      </w:tr>
      <w:tr>
        <w:tc>
          <w:tcPr/>
          <w:p>
            <w:pPr>
              <w:pStyle w:val="Compact"/>
              <w:jc w:val="left"/>
            </w:pPr>
            <w:r>
              <w:t xml:space="preserve">Pramlintide</w:t>
            </w:r>
          </w:p>
        </w:tc>
        <w:tc>
          <w:tcPr/>
          <w:p>
            <w:pPr>
              <w:pStyle w:val="Compact"/>
              <w:jc w:val="left"/>
            </w:pPr>
            <w:r>
              <w:rPr>
                <w:rStyle w:val="VerbatimChar"/>
              </w:rPr>
              <w:t xml:space="preserve">pramlintide[tiab]</w:t>
            </w:r>
          </w:p>
        </w:tc>
      </w:tr>
      <w:tr>
        <w:tc>
          <w:tcPr/>
          <w:p>
            <w:pPr>
              <w:pStyle w:val="Compact"/>
              <w:jc w:val="left"/>
            </w:pPr>
            <w:r>
              <w:t xml:space="preserve">Setmélanotide</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(comparaison)</w:t>
            </w:r>
          </w:p>
        </w:tc>
        <w:tc>
          <w:tcPr/>
          <w:p>
            <w:pPr>
              <w:pStyle w:val="Compact"/>
              <w:jc w:val="left"/>
            </w:pPr>
            <w:r>
              <w:rPr>
                <w:rStyle w:val="VerbatimChar"/>
              </w:rPr>
              <w:t xml:space="preserve">orforglipron[tiab]</w:t>
            </w:r>
          </w:p>
        </w:tc>
      </w:tr>
    </w:tbl>
    <w:bookmarkEnd w:id="3001"/>
    <w:bookmarkStart w:id="3002" w:name="X885e914f4ea5da2d9fc614249cc39d150ddbbd6"/>
    <w:p>
      <w:pPr>
        <w:pStyle w:val="Heading4"/>
      </w:pPr>
      <w:r>
        <w:t xml:space="preserve">B. Guérison, régénération et système immunitaire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ou thymosine bêta 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Thymosine alpha 1 (thymalfasine)</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(cibinétide)</w:t>
            </w:r>
          </w:p>
        </w:tc>
        <w:tc>
          <w:tcPr/>
          <w:p>
            <w:pPr>
              <w:pStyle w:val="Compact"/>
              <w:jc w:val="left"/>
            </w:pPr>
            <w:r>
              <w:rPr>
                <w:rStyle w:val="VerbatimChar"/>
              </w:rPr>
              <w:t xml:space="preserve">ARA 290[tiab] OR ARA290[tiab] OR cibinetide[tiab]</w:t>
            </w:r>
          </w:p>
        </w:tc>
      </w:tr>
      <w:tr>
        <w:tc>
          <w:tcPr/>
          <w:p>
            <w:pPr>
              <w:pStyle w:val="Compact"/>
              <w:jc w:val="left"/>
            </w:pPr>
            <w:r>
              <w:t xml:space="preserve">Larazotide</w:t>
            </w:r>
          </w:p>
        </w:tc>
        <w:tc>
          <w:tcPr/>
          <w:p>
            <w:pPr>
              <w:pStyle w:val="Compact"/>
              <w:jc w:val="left"/>
            </w:pPr>
            <w:r>
              <w:rPr>
                <w:rStyle w:val="VerbatimChar"/>
              </w:rPr>
              <w:t xml:space="preserve">larazotide[tiab]</w:t>
            </w:r>
          </w:p>
        </w:tc>
      </w:tr>
      <w:tr>
        <w:tc>
          <w:tcPr/>
          <w:p>
            <w:pPr>
              <w:pStyle w:val="Compact"/>
              <w:jc w:val="left"/>
            </w:pPr>
            <w:r>
              <w:t xml:space="preserve">Thymaline ou thymogène</w:t>
            </w:r>
          </w:p>
        </w:tc>
        <w:tc>
          <w:tcPr/>
          <w:p>
            <w:pPr>
              <w:pStyle w:val="Compact"/>
              <w:jc w:val="left"/>
            </w:pPr>
            <w:r>
              <w:rPr>
                <w:rStyle w:val="VerbatimChar"/>
              </w:rPr>
              <w:t xml:space="preserve">thymalin[tiab] OR thymogen[tiab]</w:t>
            </w:r>
          </w:p>
        </w:tc>
      </w:tr>
    </w:tbl>
    <w:bookmarkEnd w:id="3002"/>
    <w:bookmarkStart w:id="3003" w:name="c.-axe-de-lhormone-de-croissance-1"/>
    <w:p>
      <w:pPr>
        <w:pStyle w:val="Heading4"/>
      </w:pPr>
      <w:r>
        <w:t xml:space="preserve">C. Axe de l’hormone de croissance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Sermoréline</w:t>
            </w:r>
          </w:p>
        </w:tc>
        <w:tc>
          <w:tcPr/>
          <w:p>
            <w:pPr>
              <w:pStyle w:val="Compact"/>
              <w:jc w:val="left"/>
            </w:pPr>
            <w:r>
              <w:rPr>
                <w:rStyle w:val="VerbatimChar"/>
              </w:rPr>
              <w:t xml:space="preserve">sermorelin[tiab]</w:t>
            </w:r>
          </w:p>
        </w:tc>
      </w:tr>
      <w:tr>
        <w:tc>
          <w:tcPr/>
          <w:p>
            <w:pPr>
              <w:pStyle w:val="Compact"/>
              <w:jc w:val="left"/>
            </w:pPr>
            <w:r>
              <w:t xml:space="preserve">Tésamoréline</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Ipamoréline</w:t>
            </w:r>
          </w:p>
        </w:tc>
        <w:tc>
          <w:tcPr/>
          <w:p>
            <w:pPr>
              <w:pStyle w:val="Compact"/>
              <w:jc w:val="left"/>
            </w:pPr>
            <w:r>
              <w:rPr>
                <w:rStyle w:val="VerbatimChar"/>
              </w:rPr>
              <w:t xml:space="preserve">ipamorelin[tiab]</w:t>
            </w:r>
          </w:p>
        </w:tc>
      </w:tr>
      <w:tr>
        <w:tc>
          <w:tcPr/>
          <w:p>
            <w:pPr>
              <w:pStyle w:val="Compact"/>
              <w:jc w:val="left"/>
            </w:pPr>
            <w:r>
              <w:t xml:space="preserve">GHRP-2 (pralmoréline)</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Hexaréline</w:t>
            </w:r>
          </w:p>
        </w:tc>
        <w:tc>
          <w:tcPr/>
          <w:p>
            <w:pPr>
              <w:pStyle w:val="Compact"/>
              <w:jc w:val="left"/>
            </w:pPr>
            <w:r>
              <w:rPr>
                <w:rStyle w:val="VerbatimChar"/>
              </w:rPr>
              <w:t xml:space="preserve">hexarelin[tiab]</w:t>
            </w:r>
          </w:p>
        </w:tc>
      </w:tr>
      <w:tr>
        <w:tc>
          <w:tcPr/>
          <w:p>
            <w:pPr>
              <w:pStyle w:val="Compact"/>
              <w:jc w:val="left"/>
            </w:pPr>
            <w:r>
              <w:t xml:space="preserve">Macimoréline</w:t>
            </w:r>
          </w:p>
        </w:tc>
        <w:tc>
          <w:tcPr/>
          <w:p>
            <w:pPr>
              <w:pStyle w:val="Compact"/>
              <w:jc w:val="left"/>
            </w:pPr>
            <w:r>
              <w:rPr>
                <w:rStyle w:val="VerbatimChar"/>
              </w:rPr>
              <w:t xml:space="preserve">macimorelin[tiab]</w:t>
            </w:r>
          </w:p>
        </w:tc>
      </w:tr>
      <w:tr>
        <w:tc>
          <w:tcPr/>
          <w:p>
            <w:pPr>
              <w:pStyle w:val="Compact"/>
              <w:jc w:val="left"/>
            </w:pPr>
            <w:r>
              <w:t xml:space="preserve">Mécasermine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Ibutamorène (MK-677) (comparaison)</w:t>
            </w:r>
          </w:p>
        </w:tc>
        <w:tc>
          <w:tcPr/>
          <w:p>
            <w:pPr>
              <w:pStyle w:val="Compact"/>
              <w:jc w:val="left"/>
            </w:pPr>
            <w:r>
              <w:rPr>
                <w:rStyle w:val="VerbatimChar"/>
              </w:rPr>
              <w:t xml:space="preserve">ibutamoren[tiab] OR MK-677[tiab] OR MK-0677[tiab]</w:t>
            </w:r>
          </w:p>
        </w:tc>
      </w:tr>
    </w:tbl>
    <w:bookmarkEnd w:id="3003"/>
    <w:bookmarkStart w:id="3004" w:name="d.-cerveau-sommeil-et-longévité-1"/>
    <w:p>
      <w:pPr>
        <w:pStyle w:val="Heading4"/>
      </w:pPr>
      <w:r>
        <w:t xml:space="preserve">D. Cerveau, sommeil et longévité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Humanine</w:t>
            </w:r>
          </w:p>
        </w:tc>
        <w:tc>
          <w:tcPr/>
          <w:p>
            <w:pPr>
              <w:pStyle w:val="Compact"/>
              <w:jc w:val="left"/>
            </w:pPr>
            <w:r>
              <w:rPr>
                <w:rStyle w:val="VerbatimChar"/>
              </w:rPr>
              <w:t xml:space="preserve">humanin[tiab]</w:t>
            </w:r>
          </w:p>
        </w:tc>
      </w:tr>
      <w:tr>
        <w:tc>
          <w:tcPr/>
          <w:p>
            <w:pPr>
              <w:pStyle w:val="Compact"/>
              <w:jc w:val="left"/>
            </w:pPr>
            <w:r>
              <w:t xml:space="preserve">SS-31 (élamipretide)</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w:t>
            </w:r>
          </w:p>
        </w:tc>
        <w:tc>
          <w:tcPr/>
          <w:p>
            <w:pPr>
              <w:pStyle w:val="Compact"/>
              <w:jc w:val="left"/>
            </w:pPr>
            <w:r>
              <w:rPr>
                <w:rStyle w:val="VerbatimChar"/>
              </w:rPr>
              <w:t xml:space="preserve">glutathione[ti] AND (supplementation[tiab] OR oral[tiab] OR intravenous[tiab])</w:t>
            </w:r>
          </w:p>
        </w:tc>
      </w:tr>
    </w:tbl>
    <w:bookmarkEnd w:id="3004"/>
    <w:bookmarkStart w:id="3005" w:name="e.-hormones-sexualité-et-pigmentation-1"/>
    <w:p>
      <w:pPr>
        <w:pStyle w:val="Heading4"/>
      </w:pPr>
      <w:r>
        <w:t xml:space="preserve">E. Hormones, sexualité et pigmentation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Brémélanotide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Afamélanotide</w:t>
            </w:r>
          </w:p>
        </w:tc>
        <w:tc>
          <w:tcPr/>
          <w:p>
            <w:pPr>
              <w:pStyle w:val="Compact"/>
              <w:jc w:val="left"/>
            </w:pPr>
            <w:r>
              <w:rPr>
                <w:rStyle w:val="VerbatimChar"/>
              </w:rPr>
              <w:t xml:space="preserve">afamelanotide[tiab]</w:t>
            </w:r>
          </w:p>
        </w:tc>
      </w:tr>
      <w:tr>
        <w:tc>
          <w:tcPr/>
          <w:p>
            <w:pPr>
              <w:pStyle w:val="Compact"/>
              <w:jc w:val="left"/>
            </w:pPr>
            <w:r>
              <w:t xml:space="preserve">Kisspeptine</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Ocytocine (intranasale)</w:t>
            </w:r>
          </w:p>
        </w:tc>
        <w:tc>
          <w:tcPr/>
          <w:p>
            <w:pPr>
              <w:pStyle w:val="Compact"/>
              <w:jc w:val="left"/>
            </w:pPr>
            <w:r>
              <w:rPr>
                <w:rStyle w:val="VerbatimChar"/>
              </w:rPr>
              <w:t xml:space="preserve">intranasal oxytocin[tiab]</w:t>
            </w:r>
          </w:p>
        </w:tc>
      </w:tr>
      <w:tr>
        <w:tc>
          <w:tcPr/>
          <w:p>
            <w:pPr>
              <w:pStyle w:val="Compact"/>
              <w:jc w:val="left"/>
            </w:pPr>
            <w:r>
              <w:t xml:space="preserve">Gonadoréline</w:t>
            </w:r>
          </w:p>
        </w:tc>
        <w:tc>
          <w:tcPr/>
          <w:p>
            <w:pPr>
              <w:pStyle w:val="Compact"/>
              <w:jc w:val="left"/>
            </w:pPr>
            <w:r>
              <w:rPr>
                <w:rStyle w:val="VerbatimChar"/>
              </w:rPr>
              <w:t xml:space="preserve">gonadorelin[tiab]</w:t>
            </w:r>
          </w:p>
        </w:tc>
      </w:tr>
    </w:tbl>
    <w:bookmarkEnd w:id="3005"/>
    <w:bookmarkStart w:id="3006" w:name="f.-collagène-nutrition-et-cosmétique"/>
    <w:p>
      <w:pPr>
        <w:pStyle w:val="Heading4"/>
      </w:pPr>
      <w:r>
        <w:t xml:space="preserve">F. Collagène, nutrition et cosmétique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Terme de recherche PubMed</w:t>
            </w:r>
          </w:p>
        </w:tc>
      </w:tr>
      <w:tr>
        <w:tc>
          <w:tcPr/>
          <w:p>
            <w:pPr>
              <w:pStyle w:val="Compact"/>
              <w:jc w:val="left"/>
            </w:pPr>
            <w:r>
              <w:t xml:space="preserve">Hydrolysat de collagène ou peptides de collagène</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Lactotripeptides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Carnosine</w:t>
            </w:r>
          </w:p>
        </w:tc>
        <w:tc>
          <w:tcPr/>
          <w:p>
            <w:pPr>
              <w:pStyle w:val="Compact"/>
              <w:jc w:val="left"/>
            </w:pPr>
            <w:r>
              <w:rPr>
                <w:rStyle w:val="VerbatimChar"/>
              </w:rPr>
              <w:t xml:space="preserve">carnosine[ti] AND (supplementation[tiab] OR oral[tiab])</w:t>
            </w:r>
          </w:p>
        </w:tc>
      </w:tr>
      <w:tr>
        <w:tc>
          <w:tcPr/>
          <w:p>
            <w:pPr>
              <w:pStyle w:val="Compact"/>
              <w:jc w:val="left"/>
            </w:pPr>
            <w:r>
              <w:t xml:space="preserve">GHK-Cu (peptide de cuivre)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 pentapeptide-4 (Matrixyl)</w:t>
            </w:r>
          </w:p>
        </w:tc>
        <w:tc>
          <w:tcPr/>
          <w:p>
            <w:pPr>
              <w:pStyle w:val="Compact"/>
              <w:jc w:val="left"/>
            </w:pPr>
            <w:r>
              <w:rPr>
                <w:rStyle w:val="VerbatimChar"/>
              </w:rPr>
              <w:t xml:space="preserve">palmitoyl pentapeptide[tiab] OR matrixyl[tiab]</w:t>
            </w:r>
          </w:p>
        </w:tc>
      </w:tr>
      <w:tr>
        <w:tc>
          <w:tcPr/>
          <w:p>
            <w:pPr>
              <w:pStyle w:val="Compact"/>
              <w:jc w:val="left"/>
            </w:pPr>
            <w:r>
              <w:t xml:space="preserve">Acétyl hexapeptide-8 (Argireline)</w:t>
            </w:r>
          </w:p>
        </w:tc>
        <w:tc>
          <w:tcPr/>
          <w:p>
            <w:pPr>
              <w:pStyle w:val="Compact"/>
              <w:jc w:val="left"/>
            </w:pPr>
            <w:r>
              <w:rPr>
                <w:rStyle w:val="VerbatimChar"/>
              </w:rPr>
              <w:t xml:space="preserve">acetyl hexapeptide[tiab] OR argireline[tiab]</w:t>
            </w:r>
          </w:p>
        </w:tc>
      </w:tr>
    </w:tbl>
    <w:bookmarkEnd w:id="3006"/>
    <w:bookmarkEnd w:id="3007"/>
    <w:bookmarkStart w:id="3008" w:name="volume-des-résultats"/>
    <w:p>
      <w:pPr>
        <w:pStyle w:val="Heading3"/>
      </w:pPr>
      <w:r>
        <w:t xml:space="preserve">Volume des résultats</w:t>
      </w:r>
    </w:p>
    <w:p>
      <w:pPr>
        <w:pStyle w:val="FirstParagraph"/>
      </w:pPr>
      <w:r>
        <w:t xml:space="preserve">Au total, les 58 interrogations ont donné 3 216 résultats avec le filtre « études chez l’humain » et 1 739 résultats avec le filtre « méta-analyses et revues ». Dans ClinicalTrials.gov, 4 879 inscriptions au registre ont été trouvées. Ces totaux comportent des doubles comptages, car certaines études concernent plusieurs peptides – par exemple les études comparant le sémaglutide et le tirzépatide. Les chiffres par peptide sont indiqués au début de la section « Études chez l’humain » de chaque chapitre.</w:t>
      </w:r>
    </w:p>
    <w:p>
      <w:pPr>
        <w:pStyle w:val="BodyText"/>
      </w:pPr>
      <w:r>
        <w:t xml:space="preserve">La répartition est très inégale : les médicaments GLP-1 autorisés totalisent des centaines d’études chez l’humain, tandis que de nombreux peptides du marché gris n’en comptent aucune ou seulement une poignée.</w:t>
      </w:r>
    </w:p>
    <w:bookmarkEnd w:id="3008"/>
    <w:bookmarkStart w:id="3009" w:name="sélection-et-analyse"/>
    <w:p>
      <w:pPr>
        <w:pStyle w:val="Heading3"/>
      </w:pPr>
      <w:r>
        <w:t xml:space="preserve">Sélection et analyse</w:t>
      </w:r>
    </w:p>
    <w:p>
      <w:pPr>
        <w:pStyle w:val="FirstParagraph"/>
      </w:pPr>
      <w:r>
        <w:t xml:space="preserve">Pour chaque peptide, tous les résultats obtenus avec le filtre « études chez l’humain » ont été consignés sous forme de liste abrégée (titre, année, revue, première autrice ou premier auteur) ; ils constituent la base du répertoire des études en annexe. Les études chez l’humain et les revues les plus importantes selon la pertinence PubMed ont été lues et analysées à partir de leurs résumés, complétées par les travaux recherchés de manière ciblée.</w:t>
      </w:r>
    </w:p>
    <w:p>
      <w:pPr>
        <w:pStyle w:val="BodyText"/>
      </w:pPr>
      <w:r>
        <w:t xml:space="preserve">Pour la présentation dans le texte, les règles suivantes s’appliquent :</w:t>
      </w:r>
    </w:p>
    <w:p>
      <w:pPr>
        <w:numPr>
          <w:ilvl w:val="0"/>
          <w:numId w:val="1374"/>
        </w:numPr>
        <w:pStyle w:val="Compact"/>
      </w:pPr>
      <w:r>
        <w:t xml:space="preserve">Chaque étude citée a été lue à partir de son entrée PubMed ou de son inscription au registre.</w:t>
      </w:r>
    </w:p>
    <w:p>
      <w:pPr>
        <w:numPr>
          <w:ilvl w:val="0"/>
          <w:numId w:val="1374"/>
        </w:numPr>
        <w:pStyle w:val="Compact"/>
      </w:pPr>
      <w:r>
        <w:t xml:space="preserve">Les chiffres – par exemple le nombre de participants, les pourcentages, les variations de poids ou les valeurs p – proviennent exclusivement du résumé de la publication ou de l’inscription au registre. Ce qui n’y est pas étayé n’est pas indiqué sous forme de chiffre.</w:t>
      </w:r>
    </w:p>
    <w:p>
      <w:pPr>
        <w:numPr>
          <w:ilvl w:val="0"/>
          <w:numId w:val="1374"/>
        </w:numPr>
        <w:pStyle w:val="Compact"/>
      </w:pPr>
      <w:r>
        <w:t xml:space="preserve">Les textes intégraux n’ont pas été analysés de manière systématique. Les détails qui ne figurent que dans le texte intégral, par exemple certains taux d’effets indésirables ou certains sous-groupes, manquent donc en partie.</w:t>
      </w:r>
    </w:p>
    <w:p>
      <w:pPr>
        <w:numPr>
          <w:ilvl w:val="0"/>
          <w:numId w:val="1374"/>
        </w:numPr>
        <w:pStyle w:val="Compact"/>
      </w:pPr>
      <w:r>
        <w:t xml:space="preserve">Les résultats animaux et de laboratoire sont expressément signalés comme tels.</w:t>
      </w:r>
    </w:p>
    <w:p>
      <w:pPr>
        <w:numPr>
          <w:ilvl w:val="0"/>
          <w:numId w:val="1374"/>
        </w:numPr>
        <w:pStyle w:val="Compact"/>
      </w:pPr>
      <w:r>
        <w:t xml:space="preserve">Pour les études en cours, seul ce qui figure dans le registre est rapporté. Elles sont désignées comme</w:t>
      </w:r>
      <w:r>
        <w:t xml:space="preserve"> </w:t>
      </w:r>
      <w:r>
        <w:rPr>
          <w:iCs/>
          <w:i/>
        </w:rPr>
        <w:t xml:space="preserve">établies</w:t>
      </w:r>
      <w:r>
        <w:t xml:space="preserve"> </w:t>
      </w:r>
      <w:r>
        <w:t xml:space="preserve">(enregistrées, en cours), les prévisions personnelles comme</w:t>
      </w:r>
      <w:r>
        <w:t xml:space="preserve"> </w:t>
      </w:r>
      <w:r>
        <w:rPr>
          <w:iCs/>
          <w:i/>
        </w:rPr>
        <w:t xml:space="preserve">appréciation</w:t>
      </w:r>
      <w:r>
        <w:t xml:space="preserve">.</w:t>
      </w:r>
    </w:p>
    <w:bookmarkEnd w:id="3009"/>
    <w:bookmarkStart w:id="3010" w:name="niveaux-de-preuve"/>
    <w:p>
      <w:pPr>
        <w:pStyle w:val="Heading3"/>
      </w:pPr>
      <w:r>
        <w:t xml:space="preserve">Niveaux de preuve</w:t>
      </w:r>
    </w:p>
    <w:p>
      <w:pPr>
        <w:pStyle w:val="FirstParagraph"/>
      </w:pPr>
      <w:r>
        <w:t xml:space="preserve">Chaque peptide a reçu un niveau de preuve selon les critères suivants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Critère</w:t>
            </w:r>
          </w:p>
        </w:tc>
      </w:tr>
      <w:tr>
        <w:tc>
          <w:tcPr/>
          <w:p>
            <w:pPr>
              <w:pStyle w:val="Compact"/>
              <w:jc w:val="left"/>
            </w:pPr>
            <w:r>
              <w:t xml:space="preserve">A</w:t>
            </w:r>
          </w:p>
        </w:tc>
        <w:tc>
          <w:tcPr/>
          <w:p>
            <w:pPr>
              <w:pStyle w:val="Compact"/>
              <w:jc w:val="left"/>
            </w:pPr>
            <w:r>
              <w:t xml:space="preserve">plusieurs grandes études randomisées chez l’humain, autorisation comme médicament</w:t>
            </w:r>
          </w:p>
        </w:tc>
      </w:tr>
      <w:tr>
        <w:tc>
          <w:tcPr/>
          <w:p>
            <w:pPr>
              <w:pStyle w:val="Compact"/>
              <w:jc w:val="left"/>
            </w:pPr>
            <w:r>
              <w:t xml:space="preserve">B</w:t>
            </w:r>
          </w:p>
        </w:tc>
        <w:tc>
          <w:tcPr/>
          <w:p>
            <w:pPr>
              <w:pStyle w:val="Compact"/>
              <w:jc w:val="left"/>
            </w:pPr>
            <w:r>
              <w:t xml:space="preserve">études randomisées isolées chez l’humain</w:t>
            </w:r>
          </w:p>
        </w:tc>
      </w:tr>
      <w:tr>
        <w:tc>
          <w:tcPr/>
          <w:p>
            <w:pPr>
              <w:pStyle w:val="Compact"/>
              <w:jc w:val="left"/>
            </w:pPr>
            <w:r>
              <w:t xml:space="preserve">C</w:t>
            </w:r>
          </w:p>
        </w:tc>
        <w:tc>
          <w:tcPr/>
          <w:p>
            <w:pPr>
              <w:pStyle w:val="Compact"/>
              <w:jc w:val="left"/>
            </w:pPr>
            <w:r>
              <w:t xml:space="preserve">uniquement de petites études ou des études non contrôlées chez l’humain</w:t>
            </w:r>
          </w:p>
        </w:tc>
      </w:tr>
      <w:tr>
        <w:tc>
          <w:tcPr/>
          <w:p>
            <w:pPr>
              <w:pStyle w:val="Compact"/>
              <w:jc w:val="left"/>
            </w:pPr>
            <w:r>
              <w:t xml:space="preserve">D</w:t>
            </w:r>
          </w:p>
        </w:tc>
        <w:tc>
          <w:tcPr/>
          <w:p>
            <w:pPr>
              <w:pStyle w:val="Compact"/>
              <w:jc w:val="left"/>
            </w:pPr>
            <w:r>
              <w:t xml:space="preserve">uniquement des études animales et de laboratoire</w:t>
            </w:r>
          </w:p>
        </w:tc>
      </w:tr>
    </w:tbl>
    <w:p>
      <w:pPr>
        <w:pStyle w:val="BodyText"/>
      </w:pPr>
      <w:r>
        <w:t xml:space="preserve">Le classement se rapporte à l’ensemble des données chez l’humain et au principal domaine d’utilisation étudié. Il s’agit d’une évaluation de l’auteur fondée sur les études analysées, et non d’une classification officielle.</w:t>
      </w:r>
    </w:p>
    <w:bookmarkEnd w:id="3010"/>
    <w:bookmarkStart w:id="3011" w:name="limites-de-la-méthodologie"/>
    <w:p>
      <w:pPr>
        <w:pStyle w:val="Heading3"/>
      </w:pPr>
      <w:r>
        <w:t xml:space="preserve">Limites de la méthodologie</w:t>
      </w:r>
    </w:p>
    <w:p>
      <w:pPr>
        <w:pStyle w:val="FirstParagraph"/>
      </w:pPr>
      <w:r>
        <w:t xml:space="preserve">Comme toute recherche bibliographique, celle-ci a des limites dont tu devrais tenir compte à la lecture :</w:t>
      </w:r>
    </w:p>
    <w:p>
      <w:pPr>
        <w:pStyle w:val="BodyText"/>
      </w:pPr>
      <w:r>
        <w:rPr>
          <w:bCs/>
          <w:b/>
        </w:rPr>
        <w:t xml:space="preserve">Un résultat n’est pas forcément une étude indépendante.</w:t>
      </w:r>
      <w:r>
        <w:t xml:space="preserve"> </w:t>
      </w:r>
      <w:r>
        <w:t xml:space="preserve">Une grande étude est souvent publiée dans plusieurs articles – résultat principal, sous-groupes, suivi, qualité de vie. Chacun de ces articles constitue un résultat distinct. À l’inverse, plusieurs études peuvent être regroupées dans un même article. Le nombre de résultats reflète donc l’ordre de grandeur de la recherche, et non le nombre exact d’études indépendantes.</w:t>
      </w:r>
    </w:p>
    <w:p>
      <w:pPr>
        <w:pStyle w:val="BodyText"/>
      </w:pPr>
      <w:r>
        <w:rPr>
          <w:bCs/>
          <w:b/>
        </w:rPr>
        <w:t xml:space="preserve">Les types de publication ne sont pas toujours corrects.</w:t>
      </w:r>
      <w:r>
        <w:t xml:space="preserve"> </w:t>
      </w:r>
      <w:r>
        <w:t xml:space="preserve">Le filtre « études chez l’humain » repose sur l’indexation effectuée par PubMed. Certaines études ne sont pas signalées comme études cliniques et manquent donc ; certains travaux signalés comme études cliniques se révèlent, à y regarder de plus près, être des études observationnelles ou des travaux de laboratoire sur du matériel humain. Les articles très récents ne sont souvent pas encore entièrement indexés.</w:t>
      </w:r>
    </w:p>
    <w:p>
      <w:pPr>
        <w:pStyle w:val="BodyText"/>
      </w:pPr>
      <w:r>
        <w:rPr>
          <w:bCs/>
          <w:b/>
        </w:rPr>
        <w:t xml:space="preserve">Les termes de recherche peuvent présenter des lacunes.</w:t>
      </w:r>
      <w:r>
        <w:t xml:space="preserve"> </w:t>
      </w:r>
      <w:r>
        <w:t xml:space="preserve">Un terme de recherche ne trouve que ce qui est décrit avec les mots choisis dans le titre ou le résumé. Les études qui ne désignent une substance que par un nom de code ou une autre orthographe peuvent manquer. À l’inverse, des abréviations ambiguës comme « KPV » ou « SS-31 » peuvent aussi faire apparaître des travaux portant sur des sujets tout à fait différents. Pour les chapitres, les résultats ont donc été examinés et non repris sans vérification.</w:t>
      </w:r>
    </w:p>
    <w:p>
      <w:pPr>
        <w:pStyle w:val="BodyText"/>
      </w:pPr>
      <w:r>
        <w:rPr>
          <w:bCs/>
          <w:b/>
        </w:rPr>
        <w:t xml:space="preserve">Langues.</w:t>
      </w:r>
      <w:r>
        <w:t xml:space="preserve"> </w:t>
      </w:r>
      <w:r>
        <w:t xml:space="preserve">PubMed répertorie principalement des revues anglophones. Les travaux parus uniquement dans d’autres langues et dans des revues non répertoriées manquent en grande partie. Cela concerne en particulier certains peptides étudiés et utilisés surtout en Russie ou dans d’autres pays d’Europe de l’Est, comme le Semax, le Selank, l’Epitalon ou la thymaline. Pour eux, les données réelles sont peut-être plus abondantes, mais difficilement vérifiables pour des lectrices et lecteurs internationaux.</w:t>
      </w:r>
    </w:p>
    <w:p>
      <w:pPr>
        <w:pStyle w:val="BodyText"/>
      </w:pPr>
      <w:r>
        <w:rPr>
          <w:bCs/>
          <w:b/>
        </w:rPr>
        <w:t xml:space="preserve">Études non publiées.</w:t>
      </w:r>
      <w:r>
        <w:t xml:space="preserve"> </w:t>
      </w:r>
      <w:r>
        <w:t xml:space="preserve">Les études qui n’ont jamais été publiées ne figurent pas dans PubMed. Le registre ClinicalTrials.gov aide à repérer ces lacunes, mais ne recense pas toutes les études du monde entier.</w:t>
      </w:r>
    </w:p>
    <w:p>
      <w:pPr>
        <w:pStyle w:val="BodyText"/>
      </w:pPr>
      <w:r>
        <w:rPr>
          <w:bCs/>
          <w:b/>
        </w:rPr>
        <w:t xml:space="preserve">Uniquement des résumés.</w:t>
      </w:r>
      <w:r>
        <w:t xml:space="preserve"> </w:t>
      </w:r>
      <w:r>
        <w:t xml:space="preserve">L’analyse repose sur les résumés. Ceux-ci rendent compte des principaux résultats, mais peuvent présenter de manière abrégée les limites, les effets indésirables ou les faiblesses méthodologiques.</w:t>
      </w:r>
    </w:p>
    <w:p>
      <w:pPr>
        <w:pStyle w:val="BodyText"/>
      </w:pPr>
      <w:r>
        <w:rPr>
          <w:bCs/>
          <w:b/>
        </w:rPr>
        <w:t xml:space="preserve">Instantané.</w:t>
      </w:r>
      <w:r>
        <w:t xml:space="preserve"> </w:t>
      </w:r>
      <w:r>
        <w:t xml:space="preserve">La recherche reflète la situation d’octobre 2026. Dans des domaines en croissance rapide comme celui des médicaments GLP-1, de nouvelles études paraissent chaque semaine.</w:t>
      </w:r>
    </w:p>
    <w:bookmarkEnd w:id="3011"/>
    <w:bookmarkStart w:id="3012" w:name="contrôle-de-la-qualité"/>
    <w:p>
      <w:pPr>
        <w:pStyle w:val="Heading3"/>
      </w:pPr>
      <w:r>
        <w:t xml:space="preserve">Contrôle de la qualité</w:t>
      </w:r>
    </w:p>
    <w:p>
      <w:pPr>
        <w:pStyle w:val="FirstParagraph"/>
      </w:pPr>
      <w:r>
        <w:t xml:space="preserve">Les interrogations des bases de données ont été réalisées via les interfaces citées, à l’aide de programmes auxiliaires écrits spécialement à cet effet. Des règles contraignantes s’appliquaient à l’analyse : chaque étude mentionnée dans le texte est citée avec son PMID ou son numéro NCT ; chaque chiffre doit provenir d’un résumé ou d’une inscription au registre effectivement consultés ; les études ne peuvent être citées que si leur entrée a été préalablement consultée et lue.</w:t>
      </w:r>
    </w:p>
    <w:p>
      <w:pPr>
        <w:pStyle w:val="BodyText"/>
      </w:pPr>
      <w:r>
        <w:t xml:space="preserve">En outre, chaque chapitre a été contrôlé à l’aide d’un programme de vérification. Pour chaque PMID et chaque numéro NCT mentionné dans le texte, celui-ci consulte l’entrée dans PubMed ou ClinicalTrials.gov et signale une erreur si un numéro n’existe pas. Il compare aussi la première autrice ou le premier auteur et l’année de publication indiqués dans le texte avant le PMID avec l’entrée de la base de données et signale les divergences. Enfin, il recherche des formulations inadmissibles comme des promesses de guérison, des recommandations de dosage ou des indications de sources d’approvisionnement. Un chapitre n’était considéré comme terminé que lorsque ce contrôle se déroulait sans erreur. Le programme vérifie en outre si un travail cité a entre-temps été rétracté ; ces travaux sont expressément signalés dans le texte. Pour finir, environ 1 450 passages contenant des chiffres ont été comparés un à un avec les résumés et, si nécessaire, corrigés.</w:t>
      </w:r>
    </w:p>
    <w:p>
      <w:pPr>
        <w:pStyle w:val="BodyText"/>
      </w:pPr>
      <w:r>
        <w:t xml:space="preserve">Ce contrôle garantit que chaque source citée existe et est correctement attribuée. Il ne peut pas exclure entièrement qu’un résultat soit rendu de manière abrégée ou ambiguë dans le texte. C’est pourquoi toutes les sources sont indiquées de manière à ce que tu puisses les consulter toi-même – la marche à suivre est expliquée dans la section « À propos de ce livre », au début.</w:t>
      </w:r>
    </w:p>
    <w:bookmarkEnd w:id="3012"/>
    <w:bookmarkEnd w:id="3013"/>
    <w:bookmarkStart w:id="3072" w:name="index-des-études"/>
    <w:p>
      <w:pPr>
        <w:pStyle w:val="Heading1"/>
      </w:pPr>
      <w:r>
        <w:t xml:space="preserve">Index des études</w:t>
      </w:r>
    </w:p>
    <w:p>
      <w:pPr>
        <w:pStyle w:val="FirstParagraph"/>
      </w:pPr>
      <w:r>
        <w:t xml:space="preserve">Cet index recense toutes les publications d’études cliniques chez l’humain que la recherche a trouvées dans PubMed pour chaque peptide (requête d’octobre 2026, filtres : voir Méthodologie). Les titres et revues sont donnés dans leur langue d’origine. Chaque étude peut être consultée par son PMID sur pubmed.ncbi.nlm.nih.gov. Toutes les entrées ne correspondent pas à une étude distincte : certaines études ont été analysées et publiées plusieurs fois.</w:t>
      </w:r>
      <w:r>
        <w:t xml:space="preserve"> </w:t>
      </w:r>
      <w:r>
        <w:t xml:space="preserve">Total : 3 216 entrées.</w:t>
      </w:r>
    </w:p>
    <w:bookmarkStart w:id="3014" w:name="exénatide-437"/>
    <w:p>
      <w:pPr>
        <w:pStyle w:val="Heading2"/>
      </w:pPr>
      <w:r>
        <w:t xml:space="preserve">Exénatide (437)</w:t>
      </w:r>
    </w:p>
    <w:p>
      <w:pPr>
        <w:numPr>
          <w:ilvl w:val="0"/>
          <w:numId w:val="1375"/>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5"/>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5"/>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5"/>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5"/>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5"/>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5"/>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5"/>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5"/>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5"/>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5"/>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5"/>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5"/>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5"/>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5"/>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5"/>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5"/>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5"/>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5"/>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5"/>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5"/>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5"/>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5"/>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5"/>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5"/>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5"/>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5"/>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5"/>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5"/>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5"/>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5"/>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5"/>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5"/>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5"/>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5"/>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5"/>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5"/>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5"/>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5"/>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5"/>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5"/>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5"/>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5"/>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5"/>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5"/>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5"/>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5"/>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5"/>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5"/>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5"/>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5"/>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5"/>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5"/>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5"/>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5"/>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5"/>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5"/>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5"/>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5"/>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5"/>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5"/>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5"/>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5"/>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5"/>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5"/>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5"/>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5"/>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5"/>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5"/>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5"/>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5"/>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5"/>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5"/>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5"/>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5"/>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5"/>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5"/>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5"/>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5"/>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5"/>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5"/>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5"/>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5"/>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5"/>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5"/>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5"/>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5"/>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5"/>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5"/>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5"/>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5"/>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5"/>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5"/>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5"/>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5"/>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5"/>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5"/>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5"/>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5"/>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5"/>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5"/>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5"/>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5"/>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5"/>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5"/>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5"/>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5"/>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5"/>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5"/>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5"/>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5"/>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5"/>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5"/>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5"/>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5"/>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5"/>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5"/>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5"/>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5"/>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5"/>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5"/>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5"/>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5"/>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5"/>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5"/>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5"/>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5"/>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5"/>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5"/>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5"/>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5"/>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5"/>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5"/>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5"/>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5"/>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5"/>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5"/>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5"/>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5"/>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5"/>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5"/>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5"/>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5"/>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5"/>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5"/>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5"/>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5"/>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5"/>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5"/>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5"/>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5"/>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5"/>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5"/>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5"/>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5"/>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5"/>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5"/>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5"/>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5"/>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5"/>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5"/>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5"/>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5"/>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5"/>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5"/>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5"/>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5"/>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5"/>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5"/>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5"/>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5"/>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5"/>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5"/>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5"/>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5"/>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5"/>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5"/>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5"/>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5"/>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5"/>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5"/>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5"/>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5"/>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5"/>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5"/>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5"/>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5"/>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5"/>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5"/>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5"/>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5"/>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5"/>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5"/>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5"/>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5"/>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5"/>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5"/>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5"/>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5"/>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5"/>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5"/>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5"/>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5"/>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5"/>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5"/>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5"/>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5"/>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5"/>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5"/>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5"/>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5"/>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5"/>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5"/>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5"/>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5"/>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5"/>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5"/>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5"/>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5"/>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5"/>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5"/>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5"/>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5"/>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5"/>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5"/>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5"/>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5"/>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5"/>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5"/>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5"/>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5"/>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5"/>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5"/>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5"/>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5"/>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5"/>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5"/>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5"/>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5"/>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5"/>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5"/>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5"/>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5"/>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5"/>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5"/>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5"/>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5"/>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5"/>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5"/>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5"/>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5"/>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5"/>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5"/>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5"/>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5"/>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5"/>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5"/>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5"/>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5"/>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5"/>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5"/>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5"/>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5"/>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5"/>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5"/>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5"/>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5"/>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5"/>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5"/>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5"/>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5"/>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5"/>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5"/>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5"/>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5"/>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5"/>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5"/>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5"/>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5"/>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5"/>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5"/>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5"/>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5"/>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5"/>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5"/>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5"/>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5"/>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5"/>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5"/>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5"/>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5"/>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5"/>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5"/>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5"/>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5"/>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5"/>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5"/>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5"/>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5"/>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5"/>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5"/>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5"/>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5"/>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5"/>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5"/>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5"/>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5"/>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5"/>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5"/>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5"/>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5"/>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5"/>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5"/>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5"/>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5"/>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5"/>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5"/>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5"/>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5"/>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5"/>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5"/>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5"/>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5"/>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5"/>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5"/>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5"/>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5"/>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5"/>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5"/>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5"/>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5"/>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5"/>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5"/>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5"/>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5"/>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5"/>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5"/>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5"/>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5"/>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5"/>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5"/>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5"/>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5"/>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5"/>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5"/>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5"/>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5"/>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5"/>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5"/>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5"/>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5"/>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5"/>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5"/>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5"/>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5"/>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5"/>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5"/>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5"/>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5"/>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5"/>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5"/>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5"/>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5"/>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5"/>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5"/>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5"/>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5"/>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5"/>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5"/>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5"/>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5"/>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5"/>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5"/>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5"/>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5"/>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5"/>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5"/>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5"/>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5"/>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5"/>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5"/>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5"/>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5"/>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5"/>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5"/>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5"/>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5"/>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5"/>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5"/>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5"/>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5"/>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5"/>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5"/>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5"/>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5"/>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5"/>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5"/>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5"/>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5"/>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5"/>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5"/>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5"/>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5"/>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5"/>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5"/>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5"/>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5"/>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5"/>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5"/>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5"/>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5"/>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5"/>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5"/>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5"/>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5"/>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5"/>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5"/>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5"/>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5"/>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5"/>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5"/>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5"/>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5"/>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5"/>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5"/>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5"/>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5"/>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5"/>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5"/>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5"/>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5"/>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5"/>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5"/>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3014"/>
    <w:bookmarkStart w:id="3015" w:name="liraglutide-613"/>
    <w:p>
      <w:pPr>
        <w:pStyle w:val="Heading2"/>
      </w:pPr>
      <w:r>
        <w:t xml:space="preserve">Liraglutide (613)</w:t>
      </w:r>
    </w:p>
    <w:p>
      <w:pPr>
        <w:numPr>
          <w:ilvl w:val="0"/>
          <w:numId w:val="1376"/>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6"/>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6"/>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6"/>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6"/>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6"/>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6"/>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6"/>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6"/>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6"/>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6"/>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6"/>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6"/>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6"/>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6"/>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6"/>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6"/>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6"/>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6"/>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6"/>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6"/>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6"/>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6"/>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6"/>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6"/>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6"/>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6"/>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6"/>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6"/>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6"/>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6"/>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6"/>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6"/>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6"/>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6"/>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6"/>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6"/>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6"/>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6"/>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6"/>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6"/>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6"/>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6"/>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6"/>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6"/>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6"/>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6"/>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6"/>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6"/>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6"/>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6"/>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6"/>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6"/>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6"/>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6"/>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6"/>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6"/>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6"/>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6"/>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6"/>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6"/>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6"/>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6"/>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6"/>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6"/>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6"/>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6"/>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6"/>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6"/>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6"/>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6"/>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6"/>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6"/>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6"/>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6"/>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6"/>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6"/>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6"/>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6"/>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6"/>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6"/>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6"/>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6"/>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6"/>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6"/>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6"/>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6"/>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6"/>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6"/>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6"/>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6"/>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6"/>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6"/>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6"/>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6"/>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6"/>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6"/>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6"/>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6"/>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6"/>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6"/>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6"/>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6"/>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6"/>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6"/>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6"/>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6"/>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6"/>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6"/>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6"/>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6"/>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6"/>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6"/>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6"/>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6"/>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6"/>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6"/>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6"/>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6"/>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6"/>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6"/>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6"/>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6"/>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6"/>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6"/>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6"/>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6"/>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6"/>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6"/>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6"/>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6"/>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6"/>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6"/>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6"/>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6"/>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6"/>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6"/>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6"/>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6"/>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6"/>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6"/>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6"/>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6"/>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6"/>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6"/>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6"/>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6"/>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6"/>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6"/>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6"/>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6"/>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6"/>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6"/>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6"/>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6"/>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6"/>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6"/>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6"/>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6"/>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6"/>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6"/>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6"/>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6"/>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6"/>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6"/>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6"/>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6"/>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6"/>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6"/>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6"/>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6"/>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6"/>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6"/>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6"/>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6"/>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6"/>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6"/>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6"/>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6"/>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6"/>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6"/>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6"/>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6"/>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6"/>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6"/>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6"/>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6"/>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6"/>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6"/>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6"/>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6"/>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6"/>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6"/>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6"/>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6"/>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6"/>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6"/>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6"/>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6"/>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6"/>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6"/>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6"/>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6"/>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6"/>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6"/>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6"/>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6"/>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6"/>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6"/>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6"/>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6"/>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6"/>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6"/>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6"/>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6"/>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6"/>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6"/>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6"/>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6"/>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6"/>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6"/>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6"/>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6"/>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6"/>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6"/>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6"/>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6"/>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6"/>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6"/>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6"/>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6"/>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6"/>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6"/>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6"/>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6"/>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6"/>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6"/>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6"/>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6"/>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6"/>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6"/>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6"/>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6"/>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6"/>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6"/>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6"/>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6"/>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6"/>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6"/>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6"/>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6"/>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6"/>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6"/>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6"/>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6"/>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6"/>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6"/>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6"/>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6"/>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6"/>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6"/>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6"/>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6"/>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6"/>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6"/>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6"/>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6"/>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6"/>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6"/>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6"/>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6"/>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6"/>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6"/>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6"/>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6"/>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6"/>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6"/>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6"/>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6"/>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6"/>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6"/>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6"/>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6"/>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6"/>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6"/>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6"/>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6"/>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6"/>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6"/>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6"/>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6"/>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6"/>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6"/>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6"/>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6"/>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6"/>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6"/>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6"/>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6"/>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6"/>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6"/>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6"/>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6"/>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6"/>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6"/>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6"/>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6"/>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6"/>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6"/>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6"/>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6"/>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6"/>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6"/>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6"/>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6"/>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6"/>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6"/>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6"/>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6"/>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6"/>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6"/>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6"/>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6"/>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6"/>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6"/>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6"/>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6"/>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6"/>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6"/>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6"/>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6"/>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6"/>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6"/>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6"/>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6"/>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6"/>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6"/>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6"/>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6"/>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6"/>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6"/>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6"/>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6"/>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6"/>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6"/>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6"/>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6"/>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6"/>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6"/>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6"/>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6"/>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6"/>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6"/>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6"/>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6"/>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6"/>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6"/>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6"/>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6"/>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6"/>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6"/>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6"/>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6"/>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6"/>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6"/>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6"/>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6"/>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6"/>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6"/>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6"/>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6"/>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6"/>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6"/>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6"/>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6"/>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6"/>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6"/>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6"/>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6"/>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6"/>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6"/>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6"/>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6"/>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6"/>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6"/>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6"/>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6"/>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6"/>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6"/>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6"/>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6"/>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6"/>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6"/>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6"/>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6"/>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6"/>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6"/>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6"/>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6"/>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6"/>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6"/>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6"/>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6"/>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6"/>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6"/>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6"/>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6"/>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6"/>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6"/>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6"/>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6"/>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6"/>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6"/>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6"/>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6"/>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6"/>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6"/>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6"/>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6"/>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6"/>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6"/>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6"/>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6"/>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6"/>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6"/>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6"/>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6"/>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6"/>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6"/>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6"/>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6"/>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6"/>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6"/>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6"/>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6"/>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6"/>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6"/>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6"/>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6"/>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6"/>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6"/>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6"/>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6"/>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6"/>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6"/>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6"/>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6"/>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6"/>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6"/>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6"/>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6"/>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6"/>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6"/>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6"/>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6"/>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6"/>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6"/>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6"/>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6"/>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6"/>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6"/>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6"/>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6"/>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6"/>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6"/>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6"/>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6"/>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6"/>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6"/>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6"/>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6"/>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6"/>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6"/>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6"/>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6"/>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6"/>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6"/>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6"/>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6"/>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6"/>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6"/>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6"/>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6"/>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6"/>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6"/>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6"/>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6"/>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6"/>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6"/>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6"/>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6"/>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6"/>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6"/>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6"/>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6"/>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6"/>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6"/>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6"/>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6"/>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6"/>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6"/>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6"/>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6"/>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6"/>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6"/>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6"/>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6"/>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6"/>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6"/>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6"/>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6"/>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6"/>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6"/>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6"/>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6"/>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6"/>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6"/>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6"/>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6"/>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6"/>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6"/>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6"/>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6"/>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6"/>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6"/>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6"/>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6"/>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6"/>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6"/>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6"/>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6"/>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6"/>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6"/>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6"/>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6"/>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6"/>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6"/>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6"/>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6"/>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6"/>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6"/>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6"/>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6"/>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6"/>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6"/>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6"/>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6"/>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6"/>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6"/>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6"/>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6"/>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6"/>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6"/>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6"/>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6"/>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6"/>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6"/>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6"/>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6"/>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6"/>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3015"/>
    <w:bookmarkStart w:id="3016" w:name="dulaglutide-158"/>
    <w:p>
      <w:pPr>
        <w:pStyle w:val="Heading2"/>
      </w:pPr>
      <w:r>
        <w:t xml:space="preserve">Dulaglutide (158)</w:t>
      </w:r>
    </w:p>
    <w:p>
      <w:pPr>
        <w:numPr>
          <w:ilvl w:val="0"/>
          <w:numId w:val="1377"/>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7"/>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7"/>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7"/>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7"/>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7"/>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7"/>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7"/>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7"/>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7"/>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7"/>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7"/>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7"/>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7"/>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7"/>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7"/>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7"/>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7"/>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7"/>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7"/>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7"/>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7"/>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7"/>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7"/>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7"/>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7"/>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7"/>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7"/>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7"/>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7"/>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7"/>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7"/>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7"/>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7"/>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7"/>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7"/>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7"/>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7"/>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7"/>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7"/>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7"/>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7"/>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7"/>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7"/>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7"/>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7"/>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7"/>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7"/>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7"/>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7"/>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7"/>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7"/>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7"/>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7"/>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7"/>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7"/>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7"/>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7"/>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7"/>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7"/>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7"/>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7"/>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7"/>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7"/>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7"/>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7"/>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7"/>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7"/>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7"/>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7"/>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7"/>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7"/>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7"/>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7"/>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7"/>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7"/>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7"/>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7"/>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7"/>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7"/>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7"/>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7"/>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7"/>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7"/>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7"/>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7"/>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7"/>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7"/>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7"/>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7"/>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7"/>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7"/>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7"/>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7"/>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7"/>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7"/>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7"/>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7"/>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7"/>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7"/>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7"/>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7"/>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7"/>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7"/>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7"/>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7"/>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7"/>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7"/>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7"/>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7"/>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7"/>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7"/>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7"/>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7"/>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7"/>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7"/>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7"/>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7"/>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7"/>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7"/>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7"/>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7"/>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7"/>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7"/>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7"/>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7"/>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7"/>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7"/>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7"/>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3016"/>
    <w:bookmarkStart w:id="3017" w:name="sémaglutide-342"/>
    <w:p>
      <w:pPr>
        <w:pStyle w:val="Heading2"/>
      </w:pPr>
      <w:r>
        <w:t xml:space="preserve">Sémaglutide (342)</w:t>
      </w:r>
    </w:p>
    <w:p>
      <w:pPr>
        <w:numPr>
          <w:ilvl w:val="0"/>
          <w:numId w:val="1378"/>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8"/>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8"/>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8"/>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8"/>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8"/>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8"/>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8"/>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8"/>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8"/>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8"/>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8"/>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8"/>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8"/>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8"/>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8"/>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8"/>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8"/>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8"/>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8"/>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8"/>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8"/>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8"/>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8"/>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8"/>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8"/>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8"/>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8"/>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8"/>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8"/>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8"/>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8"/>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8"/>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8"/>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8"/>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8"/>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8"/>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8"/>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8"/>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8"/>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8"/>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8"/>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8"/>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8"/>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8"/>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8"/>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8"/>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8"/>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8"/>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8"/>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8"/>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8"/>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8"/>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8"/>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8"/>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8"/>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8"/>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8"/>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8"/>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8"/>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8"/>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8"/>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8"/>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8"/>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8"/>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8"/>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8"/>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8"/>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8"/>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8"/>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8"/>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8"/>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8"/>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8"/>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8"/>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8"/>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8"/>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8"/>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8"/>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8"/>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8"/>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8"/>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8"/>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8"/>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8"/>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8"/>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8"/>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8"/>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8"/>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8"/>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8"/>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8"/>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8"/>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8"/>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8"/>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8"/>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8"/>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8"/>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8"/>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8"/>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8"/>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8"/>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8"/>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8"/>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8"/>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8"/>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8"/>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8"/>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8"/>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8"/>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8"/>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8"/>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8"/>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8"/>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8"/>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8"/>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8"/>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8"/>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8"/>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8"/>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8"/>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8"/>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8"/>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8"/>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8"/>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8"/>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8"/>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8"/>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8"/>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8"/>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8"/>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8"/>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8"/>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8"/>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8"/>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8"/>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8"/>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8"/>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8"/>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8"/>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8"/>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8"/>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8"/>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8"/>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8"/>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8"/>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8"/>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8"/>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8"/>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8"/>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8"/>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8"/>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8"/>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8"/>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8"/>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8"/>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8"/>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8"/>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8"/>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8"/>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8"/>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8"/>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8"/>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8"/>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8"/>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8"/>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8"/>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8"/>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8"/>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8"/>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8"/>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8"/>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8"/>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8"/>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8"/>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8"/>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8"/>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8"/>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8"/>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8"/>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8"/>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8"/>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8"/>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8"/>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8"/>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8"/>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8"/>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8"/>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8"/>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8"/>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8"/>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8"/>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8"/>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8"/>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8"/>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8"/>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8"/>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8"/>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8"/>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8"/>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8"/>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8"/>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8"/>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8"/>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8"/>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8"/>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8"/>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8"/>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8"/>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8"/>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8"/>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8"/>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8"/>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8"/>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8"/>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8"/>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8"/>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8"/>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8"/>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8"/>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8"/>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8"/>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8"/>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8"/>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8"/>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8"/>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8"/>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8"/>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8"/>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8"/>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8"/>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8"/>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8"/>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8"/>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8"/>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8"/>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8"/>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8"/>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8"/>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8"/>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8"/>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8"/>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8"/>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8"/>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8"/>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8"/>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8"/>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8"/>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8"/>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8"/>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8"/>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8"/>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8"/>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8"/>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8"/>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8"/>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8"/>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8"/>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8"/>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8"/>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8"/>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8"/>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8"/>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8"/>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8"/>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8"/>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8"/>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8"/>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8"/>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8"/>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8"/>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8"/>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8"/>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8"/>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8"/>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8"/>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8"/>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8"/>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8"/>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8"/>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8"/>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8"/>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8"/>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8"/>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8"/>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8"/>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8"/>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8"/>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8"/>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8"/>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8"/>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8"/>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8"/>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8"/>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8"/>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8"/>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8"/>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8"/>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8"/>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8"/>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8"/>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8"/>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8"/>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8"/>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3017"/>
    <w:bookmarkStart w:id="3018" w:name="tirzépatide-144"/>
    <w:p>
      <w:pPr>
        <w:pStyle w:val="Heading2"/>
      </w:pPr>
      <w:r>
        <w:t xml:space="preserve">Tirzépatide (144)</w:t>
      </w:r>
    </w:p>
    <w:p>
      <w:pPr>
        <w:numPr>
          <w:ilvl w:val="0"/>
          <w:numId w:val="1379"/>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79"/>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79"/>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79"/>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79"/>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79"/>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79"/>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79"/>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79"/>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79"/>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79"/>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79"/>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9"/>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79"/>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79"/>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9"/>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9"/>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9"/>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79"/>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79"/>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79"/>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79"/>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79"/>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79"/>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79"/>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9"/>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79"/>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79"/>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79"/>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79"/>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79"/>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79"/>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79"/>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79"/>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79"/>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79"/>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79"/>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79"/>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79"/>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79"/>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79"/>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79"/>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79"/>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79"/>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79"/>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9"/>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79"/>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79"/>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79"/>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79"/>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79"/>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9"/>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79"/>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79"/>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79"/>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9"/>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79"/>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79"/>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79"/>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79"/>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79"/>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79"/>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79"/>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79"/>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79"/>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79"/>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79"/>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9"/>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79"/>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79"/>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79"/>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79"/>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79"/>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79"/>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9"/>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79"/>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79"/>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79"/>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79"/>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79"/>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9"/>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79"/>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79"/>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79"/>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79"/>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79"/>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79"/>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79"/>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9"/>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9"/>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79"/>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79"/>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79"/>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9"/>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9"/>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9"/>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3018"/>
    <w:bookmarkStart w:id="3019" w:name="rétatrutide-10"/>
    <w:p>
      <w:pPr>
        <w:pStyle w:val="Heading2"/>
      </w:pPr>
      <w:r>
        <w:t xml:space="preserve">Rétatrutide (10)</w:t>
      </w:r>
    </w:p>
    <w:p>
      <w:pPr>
        <w:numPr>
          <w:ilvl w:val="0"/>
          <w:numId w:val="1380"/>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0"/>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0"/>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0"/>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0"/>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0"/>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0"/>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0"/>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0"/>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0"/>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3019"/>
    <w:bookmarkStart w:id="3020" w:name="survodutide-10"/>
    <w:p>
      <w:pPr>
        <w:pStyle w:val="Heading2"/>
      </w:pPr>
      <w:r>
        <w:t xml:space="preserve">Survodutide (10)</w:t>
      </w:r>
    </w:p>
    <w:p>
      <w:pPr>
        <w:numPr>
          <w:ilvl w:val="0"/>
          <w:numId w:val="1381"/>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1"/>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1"/>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1"/>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1"/>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1"/>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1"/>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1"/>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1"/>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1"/>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3020"/>
    <w:bookmarkStart w:id="3021" w:name="mazdutide-9"/>
    <w:p>
      <w:pPr>
        <w:pStyle w:val="Heading2"/>
      </w:pPr>
      <w:r>
        <w:t xml:space="preserve">Mazdutide (9)</w:t>
      </w:r>
    </w:p>
    <w:p>
      <w:pPr>
        <w:numPr>
          <w:ilvl w:val="0"/>
          <w:numId w:val="1382"/>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2"/>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2"/>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2"/>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2"/>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2"/>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2"/>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2"/>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2"/>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3021"/>
    <w:bookmarkStart w:id="3022" w:name="cagrilintide-et-cagrisema-15"/>
    <w:p>
      <w:pPr>
        <w:pStyle w:val="Heading2"/>
      </w:pPr>
      <w:r>
        <w:t xml:space="preserve">Cagrilintide et CagriSema (15)</w:t>
      </w:r>
    </w:p>
    <w:p>
      <w:pPr>
        <w:numPr>
          <w:ilvl w:val="0"/>
          <w:numId w:val="1383"/>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3"/>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3"/>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3"/>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3"/>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3"/>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3"/>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3"/>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3"/>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3"/>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3"/>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3"/>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3"/>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3"/>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3"/>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3022"/>
    <w:bookmarkStart w:id="3023" w:name="amycrétine-zénagamtide-4"/>
    <w:p>
      <w:pPr>
        <w:pStyle w:val="Heading2"/>
      </w:pPr>
      <w:r>
        <w:t xml:space="preserve">Amycrétine (zénagamtide) (4)</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4"/>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4"/>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3023"/>
    <w:bookmarkStart w:id="3024" w:name="maridebart-cafraglutide-maritide-2"/>
    <w:p>
      <w:pPr>
        <w:pStyle w:val="Heading2"/>
      </w:pPr>
      <w:r>
        <w:t xml:space="preserve">Maridebart cafraglutide (MariTide) (2)</w:t>
      </w:r>
    </w:p>
    <w:p>
      <w:pPr>
        <w:numPr>
          <w:ilvl w:val="0"/>
          <w:numId w:val="1385"/>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5"/>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3024"/>
    <w:bookmarkStart w:id="3025" w:name="pramlintide-76"/>
    <w:p>
      <w:pPr>
        <w:pStyle w:val="Heading2"/>
      </w:pPr>
      <w:r>
        <w:t xml:space="preserve">Pramlintide (76)</w:t>
      </w:r>
    </w:p>
    <w:p>
      <w:pPr>
        <w:numPr>
          <w:ilvl w:val="0"/>
          <w:numId w:val="1386"/>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6"/>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6"/>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6"/>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6"/>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6"/>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6"/>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6"/>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6"/>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6"/>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6"/>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6"/>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6"/>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6"/>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6"/>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6"/>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6"/>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6"/>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6"/>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6"/>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6"/>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6"/>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6"/>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6"/>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6"/>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6"/>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6"/>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6"/>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6"/>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6"/>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6"/>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6"/>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6"/>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6"/>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6"/>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6"/>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6"/>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6"/>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6"/>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6"/>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6"/>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6"/>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6"/>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6"/>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6"/>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6"/>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6"/>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6"/>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6"/>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6"/>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6"/>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6"/>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6"/>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6"/>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6"/>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6"/>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6"/>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6"/>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6"/>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6"/>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6"/>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6"/>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6"/>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6"/>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6"/>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6"/>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6"/>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6"/>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6"/>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6"/>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6"/>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6"/>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6"/>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3025"/>
    <w:bookmarkStart w:id="3026" w:name="setmélanotide-15"/>
    <w:p>
      <w:pPr>
        <w:pStyle w:val="Heading2"/>
      </w:pPr>
      <w:r>
        <w:t xml:space="preserve">Setmélanotide (15)</w:t>
      </w:r>
    </w:p>
    <w:p>
      <w:pPr>
        <w:numPr>
          <w:ilvl w:val="0"/>
          <w:numId w:val="1387"/>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7"/>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7"/>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7"/>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7"/>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7"/>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7"/>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7"/>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7"/>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7"/>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7"/>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7"/>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7"/>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7"/>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7"/>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3026"/>
    <w:bookmarkStart w:id="3027" w:name="aod-9604-0"/>
    <w:p>
      <w:pPr>
        <w:pStyle w:val="Heading2"/>
      </w:pPr>
      <w:r>
        <w:t xml:space="preserve">AOD-9604 (0)</w:t>
      </w:r>
    </w:p>
    <w:p>
      <w:pPr>
        <w:pStyle w:val="FirstParagraph"/>
      </w:pPr>
      <w:r>
        <w:t xml:space="preserve">Aucune publication d’étude clinique chez l’humain trouvée.</w:t>
      </w:r>
    </w:p>
    <w:bookmarkEnd w:id="3027"/>
    <w:bookmarkStart w:id="3028" w:name="orforglipron-à-titre-de-comparaison-20"/>
    <w:p>
      <w:pPr>
        <w:pStyle w:val="Heading2"/>
      </w:pPr>
      <w:r>
        <w:t xml:space="preserve">Orforglipron (à titre de comparaison) (20)</w:t>
      </w:r>
    </w:p>
    <w:p>
      <w:pPr>
        <w:numPr>
          <w:ilvl w:val="0"/>
          <w:numId w:val="1388"/>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8"/>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8"/>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8"/>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8"/>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8"/>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8"/>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8"/>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8"/>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8"/>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8"/>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8"/>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3028"/>
    <w:bookmarkStart w:id="3029" w:name="bpc-157-0"/>
    <w:p>
      <w:pPr>
        <w:pStyle w:val="Heading2"/>
      </w:pPr>
      <w:r>
        <w:t xml:space="preserve">BPC-157 (0)</w:t>
      </w:r>
    </w:p>
    <w:p>
      <w:pPr>
        <w:pStyle w:val="FirstParagraph"/>
      </w:pPr>
      <w:r>
        <w:t xml:space="preserve">Aucune publication d’étude clinique chez l’humain trouvée.</w:t>
      </w:r>
    </w:p>
    <w:bookmarkEnd w:id="3029"/>
    <w:bookmarkStart w:id="3030" w:name="tb-500-et-thymosine-bêta-4-9"/>
    <w:p>
      <w:pPr>
        <w:pStyle w:val="Heading2"/>
      </w:pPr>
      <w:r>
        <w:t xml:space="preserve">TB-500 et thymosine bêta 4 (9)</w:t>
      </w:r>
    </w:p>
    <w:p>
      <w:pPr>
        <w:numPr>
          <w:ilvl w:val="0"/>
          <w:numId w:val="1389"/>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89"/>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89"/>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89"/>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89"/>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89"/>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89"/>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89"/>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89"/>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3030"/>
    <w:bookmarkStart w:id="3031" w:name="thymosine-alpha-1-thymalfasine-90"/>
    <w:p>
      <w:pPr>
        <w:pStyle w:val="Heading2"/>
      </w:pPr>
      <w:r>
        <w:t xml:space="preserve">Thymosine alpha 1 (thymalfasine) (90)</w:t>
      </w:r>
    </w:p>
    <w:p>
      <w:pPr>
        <w:numPr>
          <w:ilvl w:val="0"/>
          <w:numId w:val="1390"/>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0"/>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0"/>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0"/>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0"/>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0"/>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0"/>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0"/>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0"/>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0"/>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0"/>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0"/>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0"/>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0"/>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0"/>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0"/>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0"/>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0"/>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0"/>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0"/>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0"/>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0"/>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0"/>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0"/>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0"/>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0"/>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0"/>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0"/>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0"/>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0"/>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0"/>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0"/>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0"/>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0"/>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0"/>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0"/>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0"/>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0"/>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0"/>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0"/>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0"/>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0"/>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0"/>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0"/>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0"/>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0"/>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0"/>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0"/>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0"/>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0"/>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0"/>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0"/>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0"/>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0"/>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0"/>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0"/>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0"/>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0"/>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0"/>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0"/>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0"/>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0"/>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0"/>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0"/>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0"/>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0"/>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0"/>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0"/>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0"/>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0"/>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0"/>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0"/>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0"/>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0"/>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0"/>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0"/>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0"/>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0"/>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0"/>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0"/>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0"/>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0"/>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0"/>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0"/>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0"/>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0"/>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0"/>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0"/>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3031"/>
    <w:bookmarkStart w:id="3032" w:name="kpv-0"/>
    <w:p>
      <w:pPr>
        <w:pStyle w:val="Heading2"/>
      </w:pPr>
      <w:r>
        <w:t xml:space="preserve">KPV (0)</w:t>
      </w:r>
    </w:p>
    <w:p>
      <w:pPr>
        <w:pStyle w:val="FirstParagraph"/>
      </w:pPr>
      <w:r>
        <w:t xml:space="preserve">Aucune publication d’étude clinique chez l’humain trouvée.</w:t>
      </w:r>
    </w:p>
    <w:bookmarkEnd w:id="3032"/>
    <w:bookmarkStart w:id="3033" w:name="ll-37-91"/>
    <w:p>
      <w:pPr>
        <w:pStyle w:val="Heading2"/>
      </w:pPr>
      <w:r>
        <w:t xml:space="preserve">LL-37 (91)</w:t>
      </w:r>
    </w:p>
    <w:p>
      <w:pPr>
        <w:numPr>
          <w:ilvl w:val="0"/>
          <w:numId w:val="1391"/>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1"/>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1"/>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1"/>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1"/>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1"/>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1"/>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1"/>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1"/>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1"/>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1"/>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1"/>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1"/>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1"/>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1"/>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1"/>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1"/>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1"/>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1"/>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1"/>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1"/>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1"/>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1"/>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1"/>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1"/>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1"/>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1"/>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1"/>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1"/>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1"/>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1"/>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1"/>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1"/>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1"/>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1"/>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1"/>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1"/>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1"/>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1"/>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1"/>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1"/>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1"/>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1"/>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1"/>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1"/>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1"/>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1"/>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1"/>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1"/>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1"/>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1"/>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1"/>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1"/>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1"/>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1"/>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1"/>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1"/>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1"/>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1"/>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1"/>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1"/>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1"/>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1"/>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1"/>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1"/>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1"/>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1"/>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1"/>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1"/>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1"/>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1"/>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1"/>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1"/>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1"/>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1"/>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1"/>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1"/>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1"/>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1"/>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1"/>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1"/>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1"/>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1"/>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1"/>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1"/>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1"/>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1"/>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1"/>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1"/>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1"/>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1"/>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3033"/>
    <w:bookmarkStart w:id="3034" w:name="ara-290-cibinétide-5"/>
    <w:p>
      <w:pPr>
        <w:pStyle w:val="Heading2"/>
      </w:pPr>
      <w:r>
        <w:t xml:space="preserve">ARA-290 (cibinétide) (5)</w:t>
      </w:r>
    </w:p>
    <w:p>
      <w:pPr>
        <w:numPr>
          <w:ilvl w:val="0"/>
          <w:numId w:val="1392"/>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2"/>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2"/>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2"/>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2"/>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3034"/>
    <w:bookmarkStart w:id="3035" w:name="larazotide-4"/>
    <w:p>
      <w:pPr>
        <w:pStyle w:val="Heading2"/>
      </w:pPr>
      <w:r>
        <w:t xml:space="preserve">Larazotide (4)</w:t>
      </w:r>
    </w:p>
    <w:p>
      <w:pPr>
        <w:numPr>
          <w:ilvl w:val="0"/>
          <w:numId w:val="1393"/>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3"/>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3"/>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3"/>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3035"/>
    <w:bookmarkStart w:id="3036" w:name="thymaline-et-thymogène-17"/>
    <w:p>
      <w:pPr>
        <w:pStyle w:val="Heading2"/>
      </w:pPr>
      <w:r>
        <w:t xml:space="preserve">Thymaline et thymogène (17)</w:t>
      </w:r>
    </w:p>
    <w:p>
      <w:pPr>
        <w:numPr>
          <w:ilvl w:val="0"/>
          <w:numId w:val="1394"/>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4"/>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4"/>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4"/>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4"/>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4"/>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4"/>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4"/>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4"/>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4"/>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4"/>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4"/>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4"/>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4"/>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4"/>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4"/>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4"/>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3036"/>
    <w:bookmarkStart w:id="3037" w:name="sermoréline-0"/>
    <w:p>
      <w:pPr>
        <w:pStyle w:val="Heading2"/>
      </w:pPr>
      <w:r>
        <w:t xml:space="preserve">Sermoréline (0)</w:t>
      </w:r>
    </w:p>
    <w:p>
      <w:pPr>
        <w:pStyle w:val="FirstParagraph"/>
      </w:pPr>
      <w:r>
        <w:t xml:space="preserve">Aucune publication d’étude clinique chez l’humain trouvée.</w:t>
      </w:r>
    </w:p>
    <w:bookmarkEnd w:id="3037"/>
    <w:bookmarkStart w:id="3038" w:name="tésamoréline-23"/>
    <w:p>
      <w:pPr>
        <w:pStyle w:val="Heading2"/>
      </w:pPr>
      <w:r>
        <w:t xml:space="preserve">Tésamoréline (23)</w:t>
      </w:r>
    </w:p>
    <w:p>
      <w:pPr>
        <w:numPr>
          <w:ilvl w:val="0"/>
          <w:numId w:val="1395"/>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5"/>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5"/>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5"/>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5"/>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5"/>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5"/>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5"/>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5"/>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5"/>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5"/>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5"/>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5"/>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5"/>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5"/>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5"/>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5"/>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5"/>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5"/>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5"/>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5"/>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5"/>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5"/>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3038"/>
    <w:bookmarkStart w:id="3039" w:name="cjc-1295-2"/>
    <w:p>
      <w:pPr>
        <w:pStyle w:val="Heading2"/>
      </w:pPr>
      <w:r>
        <w:t xml:space="preserve">CJC-1295 (2)</w:t>
      </w:r>
    </w:p>
    <w:p>
      <w:pPr>
        <w:numPr>
          <w:ilvl w:val="0"/>
          <w:numId w:val="1396"/>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6"/>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3039"/>
    <w:bookmarkStart w:id="3040" w:name="ipamoréline-2"/>
    <w:p>
      <w:pPr>
        <w:pStyle w:val="Heading2"/>
      </w:pPr>
      <w:r>
        <w:t xml:space="preserve">Ipamoréline (2)</w:t>
      </w:r>
    </w:p>
    <w:p>
      <w:pPr>
        <w:numPr>
          <w:ilvl w:val="0"/>
          <w:numId w:val="1397"/>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7"/>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3040"/>
    <w:bookmarkStart w:id="3041" w:name="ghrp-2-pralmoréline-55"/>
    <w:p>
      <w:pPr>
        <w:pStyle w:val="Heading2"/>
      </w:pPr>
      <w:r>
        <w:t xml:space="preserve">GHRP-2 (pralmoréline) (55)</w:t>
      </w:r>
    </w:p>
    <w:p>
      <w:pPr>
        <w:numPr>
          <w:ilvl w:val="0"/>
          <w:numId w:val="1398"/>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8"/>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8"/>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8"/>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8"/>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8"/>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8"/>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8"/>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8"/>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8"/>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8"/>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8"/>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8"/>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8"/>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8"/>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8"/>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8"/>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8"/>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8"/>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8"/>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8"/>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8"/>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8"/>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8"/>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8"/>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8"/>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8"/>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8"/>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8"/>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8"/>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8"/>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8"/>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8"/>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8"/>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8"/>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8"/>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8"/>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8"/>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8"/>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8"/>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8"/>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8"/>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8"/>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8"/>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3041"/>
    <w:bookmarkStart w:id="3042" w:name="ghrp-6-40"/>
    <w:p>
      <w:pPr>
        <w:pStyle w:val="Heading2"/>
      </w:pPr>
      <w:r>
        <w:t xml:space="preserve">GHRP-6 (40)</w:t>
      </w:r>
    </w:p>
    <w:p>
      <w:pPr>
        <w:numPr>
          <w:ilvl w:val="0"/>
          <w:numId w:val="1399"/>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399"/>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399"/>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399"/>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399"/>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399"/>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399"/>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399"/>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399"/>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399"/>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399"/>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399"/>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399"/>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399"/>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399"/>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399"/>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399"/>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399"/>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399"/>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399"/>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399"/>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399"/>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399"/>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399"/>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399"/>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399"/>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399"/>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399"/>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399"/>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399"/>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399"/>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399"/>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399"/>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399"/>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399"/>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399"/>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399"/>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399"/>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3042"/>
    <w:bookmarkStart w:id="3043" w:name="hexaréline-58"/>
    <w:p>
      <w:pPr>
        <w:pStyle w:val="Heading2"/>
      </w:pPr>
      <w:r>
        <w:t xml:space="preserve">Hexaréline (58)</w:t>
      </w:r>
    </w:p>
    <w:p>
      <w:pPr>
        <w:numPr>
          <w:ilvl w:val="0"/>
          <w:numId w:val="1400"/>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0"/>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0"/>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0"/>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0"/>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0"/>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0"/>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0"/>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0"/>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0"/>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0"/>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0"/>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0"/>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0"/>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0"/>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0"/>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0"/>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0"/>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0"/>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0"/>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0"/>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0"/>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0"/>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0"/>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0"/>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0"/>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0"/>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0"/>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0"/>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0"/>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0"/>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0"/>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0"/>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0"/>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0"/>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0"/>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0"/>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0"/>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0"/>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0"/>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0"/>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0"/>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0"/>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0"/>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0"/>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0"/>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0"/>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0"/>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3043"/>
    <w:bookmarkStart w:id="3044" w:name="macimoréline-4"/>
    <w:p>
      <w:pPr>
        <w:pStyle w:val="Heading2"/>
      </w:pPr>
      <w:r>
        <w:t xml:space="preserve">Macimoréline (4)</w:t>
      </w:r>
    </w:p>
    <w:p>
      <w:pPr>
        <w:numPr>
          <w:ilvl w:val="0"/>
          <w:numId w:val="1401"/>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1"/>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1"/>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1"/>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3044"/>
    <w:bookmarkStart w:id="3045" w:name="mécasermine-igf-1-21"/>
    <w:p>
      <w:pPr>
        <w:pStyle w:val="Heading2"/>
      </w:pPr>
      <w:r>
        <w:t xml:space="preserve">Mécasermine (IGF-1) (21)</w:t>
      </w:r>
    </w:p>
    <w:p>
      <w:pPr>
        <w:numPr>
          <w:ilvl w:val="0"/>
          <w:numId w:val="1402"/>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2"/>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2"/>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2"/>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2"/>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2"/>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2"/>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2"/>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2"/>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2"/>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2"/>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2"/>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2"/>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2"/>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2"/>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2"/>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2"/>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2"/>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2"/>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2"/>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2"/>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3045"/>
    <w:bookmarkStart w:id="3046" w:name="igf-1-lr3-0"/>
    <w:p>
      <w:pPr>
        <w:pStyle w:val="Heading2"/>
      </w:pPr>
      <w:r>
        <w:t xml:space="preserve">IGF-1 LR3 (0)</w:t>
      </w:r>
    </w:p>
    <w:p>
      <w:pPr>
        <w:pStyle w:val="FirstParagraph"/>
      </w:pPr>
      <w:r>
        <w:t xml:space="preserve">Aucune publication d’étude clinique chez l’humain trouvée.</w:t>
      </w:r>
    </w:p>
    <w:bookmarkEnd w:id="3046"/>
    <w:bookmarkStart w:id="3047" w:name="ibutamorène-mk-677-19"/>
    <w:p>
      <w:pPr>
        <w:pStyle w:val="Heading2"/>
      </w:pPr>
      <w:r>
        <w:t xml:space="preserve">Ibutamorène (MK-677) (19)</w:t>
      </w:r>
    </w:p>
    <w:p>
      <w:pPr>
        <w:numPr>
          <w:ilvl w:val="0"/>
          <w:numId w:val="1403"/>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3"/>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3"/>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3"/>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3"/>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3"/>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3"/>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3"/>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3"/>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3"/>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3"/>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3"/>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3"/>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3"/>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3"/>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3"/>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3"/>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3"/>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3"/>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3047"/>
    <w:bookmarkStart w:id="3048" w:name="semax-4"/>
    <w:p>
      <w:pPr>
        <w:pStyle w:val="Heading2"/>
      </w:pPr>
      <w:r>
        <w:t xml:space="preserve">Semax (4)</w:t>
      </w:r>
    </w:p>
    <w:p>
      <w:pPr>
        <w:numPr>
          <w:ilvl w:val="0"/>
          <w:numId w:val="1404"/>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4"/>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4"/>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4"/>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3048"/>
    <w:bookmarkStart w:id="3049" w:name="selank-3"/>
    <w:p>
      <w:pPr>
        <w:pStyle w:val="Heading2"/>
      </w:pPr>
      <w:r>
        <w:t xml:space="preserve">Selank (3)</w:t>
      </w:r>
    </w:p>
    <w:p>
      <w:pPr>
        <w:numPr>
          <w:ilvl w:val="0"/>
          <w:numId w:val="1405"/>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5"/>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5"/>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3049"/>
    <w:bookmarkStart w:id="3050" w:name="cerebrolysin-88"/>
    <w:p>
      <w:pPr>
        <w:pStyle w:val="Heading2"/>
      </w:pPr>
      <w:r>
        <w:t xml:space="preserve">Cerebrolysin (88)</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6"/>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6"/>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6"/>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6"/>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6"/>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6"/>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6"/>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6"/>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6"/>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6"/>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6"/>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6"/>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6"/>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6"/>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6"/>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6"/>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6"/>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6"/>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6"/>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6"/>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6"/>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6"/>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6"/>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6"/>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6"/>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6"/>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6"/>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6"/>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6"/>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6"/>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6"/>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6"/>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6"/>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6"/>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6"/>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6"/>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6"/>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6"/>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6"/>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6"/>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6"/>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6"/>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6"/>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6"/>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6"/>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6"/>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6"/>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6"/>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6"/>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6"/>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6"/>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6"/>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6"/>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6"/>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6"/>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6"/>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6"/>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6"/>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6"/>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6"/>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6"/>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6"/>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6"/>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6"/>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6"/>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6"/>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6"/>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6"/>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6"/>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6"/>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6"/>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6"/>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6"/>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6"/>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6"/>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6"/>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6"/>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6"/>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6"/>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6"/>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6"/>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6"/>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6"/>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6"/>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3050"/>
    <w:bookmarkStart w:id="3051" w:name="dihexa-0"/>
    <w:p>
      <w:pPr>
        <w:pStyle w:val="Heading2"/>
      </w:pPr>
      <w:r>
        <w:t xml:space="preserve">Dihexa (0)</w:t>
      </w:r>
    </w:p>
    <w:p>
      <w:pPr>
        <w:pStyle w:val="FirstParagraph"/>
      </w:pPr>
      <w:r>
        <w:t xml:space="preserve">Aucune publication d’étude clinique chez l’humain trouvée.</w:t>
      </w:r>
    </w:p>
    <w:bookmarkEnd w:id="3051"/>
    <w:bookmarkStart w:id="3052" w:name="Xcc5c2d88e91665dfb10c8cfda9032634a8dcff7"/>
    <w:p>
      <w:pPr>
        <w:pStyle w:val="Heading2"/>
      </w:pPr>
      <w:r>
        <w:t xml:space="preserve">DSIP (peptide inducteur du sommeil delta) (18)</w:t>
      </w:r>
    </w:p>
    <w:p>
      <w:pPr>
        <w:numPr>
          <w:ilvl w:val="0"/>
          <w:numId w:val="1407"/>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7"/>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7"/>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7"/>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7"/>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7"/>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7"/>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7"/>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7"/>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7"/>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7"/>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7"/>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7"/>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7"/>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7"/>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7"/>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7"/>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7"/>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3052"/>
    <w:bookmarkStart w:id="3053" w:name="epitalon-epithalon-1"/>
    <w:p>
      <w:pPr>
        <w:pStyle w:val="Heading2"/>
      </w:pPr>
      <w:r>
        <w:t xml:space="preserve">Epitalon (Epithalon) (1)</w:t>
      </w:r>
    </w:p>
    <w:p>
      <w:pPr>
        <w:numPr>
          <w:ilvl w:val="0"/>
          <w:numId w:val="1408"/>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3053"/>
    <w:bookmarkStart w:id="3054" w:name="pinealon-1"/>
    <w:p>
      <w:pPr>
        <w:pStyle w:val="Heading2"/>
      </w:pPr>
      <w:r>
        <w:t xml:space="preserve">Pinealon (1)</w:t>
      </w:r>
    </w:p>
    <w:p>
      <w:pPr>
        <w:numPr>
          <w:ilvl w:val="0"/>
          <w:numId w:val="1409"/>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3054"/>
    <w:bookmarkStart w:id="3055" w:name="mots-c-5"/>
    <w:p>
      <w:pPr>
        <w:pStyle w:val="Heading2"/>
      </w:pPr>
      <w:r>
        <w:t xml:space="preserve">MOTS-c (5)</w:t>
      </w:r>
    </w:p>
    <w:p>
      <w:pPr>
        <w:numPr>
          <w:ilvl w:val="0"/>
          <w:numId w:val="1410"/>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0"/>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0"/>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0"/>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0"/>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3055"/>
    <w:bookmarkStart w:id="3056" w:name="humanine-8"/>
    <w:p>
      <w:pPr>
        <w:pStyle w:val="Heading2"/>
      </w:pPr>
      <w:r>
        <w:t xml:space="preserve">Humanine (8)</w:t>
      </w:r>
    </w:p>
    <w:p>
      <w:pPr>
        <w:numPr>
          <w:ilvl w:val="0"/>
          <w:numId w:val="1411"/>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1"/>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1"/>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1"/>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1"/>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1"/>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3056"/>
    <w:bookmarkStart w:id="3057" w:name="ss-31-élamipretide-19"/>
    <w:p>
      <w:pPr>
        <w:pStyle w:val="Heading2"/>
      </w:pPr>
      <w:r>
        <w:t xml:space="preserve">SS-31 (élamipretide) (19)</w:t>
      </w:r>
    </w:p>
    <w:p>
      <w:pPr>
        <w:numPr>
          <w:ilvl w:val="0"/>
          <w:numId w:val="1412"/>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2"/>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2"/>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2"/>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2"/>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2"/>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2"/>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2"/>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2"/>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2"/>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2"/>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2"/>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2"/>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2"/>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2"/>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2"/>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2"/>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2"/>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2"/>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3057"/>
    <w:bookmarkStart w:id="3058" w:name="foxo4-dri-0"/>
    <w:p>
      <w:pPr>
        <w:pStyle w:val="Heading2"/>
      </w:pPr>
      <w:r>
        <w:t xml:space="preserve">FOXO4-DRI (0)</w:t>
      </w:r>
    </w:p>
    <w:p>
      <w:pPr>
        <w:pStyle w:val="FirstParagraph"/>
      </w:pPr>
      <w:r>
        <w:t xml:space="preserve">Aucune publication d’étude clinique chez l’humain trouvée.</w:t>
      </w:r>
    </w:p>
    <w:bookmarkEnd w:id="3058"/>
    <w:bookmarkStart w:id="3059" w:name="glutathion-161"/>
    <w:p>
      <w:pPr>
        <w:pStyle w:val="Heading2"/>
      </w:pPr>
      <w:r>
        <w:t xml:space="preserve">Glutathion (161)</w:t>
      </w:r>
    </w:p>
    <w:p>
      <w:pPr>
        <w:numPr>
          <w:ilvl w:val="0"/>
          <w:numId w:val="1413"/>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3"/>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3"/>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3"/>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3"/>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3"/>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3"/>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3"/>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3"/>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3"/>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3"/>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3"/>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3"/>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3"/>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3"/>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3"/>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3"/>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3"/>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3"/>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3"/>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3"/>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3"/>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3"/>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3"/>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3"/>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3"/>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3"/>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3"/>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3"/>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3"/>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3"/>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3"/>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3"/>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3"/>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3"/>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3"/>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3"/>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3"/>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3"/>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3"/>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3"/>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3"/>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3"/>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3"/>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3"/>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3"/>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3"/>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3"/>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3"/>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3"/>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3"/>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3"/>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3"/>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3"/>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3"/>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3"/>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3"/>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3"/>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3"/>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3"/>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3"/>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3"/>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3"/>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3"/>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3"/>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3"/>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3"/>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3"/>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3"/>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3"/>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3"/>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3"/>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3"/>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3"/>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3"/>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3"/>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3"/>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3"/>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3"/>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3"/>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3"/>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3"/>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3"/>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3"/>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3"/>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3"/>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3"/>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3"/>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3"/>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3"/>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3"/>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3"/>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3"/>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3"/>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3"/>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3"/>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3"/>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3"/>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3"/>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3"/>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3"/>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3"/>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3"/>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3"/>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3"/>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3"/>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3"/>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3"/>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3"/>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3"/>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3"/>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3"/>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3"/>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3"/>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3"/>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3"/>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3"/>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3"/>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3"/>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3"/>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3"/>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3"/>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3"/>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3"/>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3"/>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3"/>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3"/>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3"/>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3"/>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3"/>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3"/>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3"/>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3"/>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3"/>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3"/>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3"/>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3"/>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3"/>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3"/>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3"/>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3"/>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3"/>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3"/>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3"/>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3"/>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3"/>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3"/>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3"/>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3"/>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3"/>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3"/>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3"/>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3"/>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3"/>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3"/>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3"/>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3"/>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3"/>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3"/>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3"/>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3"/>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3059"/>
    <w:bookmarkStart w:id="3060" w:name="brémélanotide-pt-141-16"/>
    <w:p>
      <w:pPr>
        <w:pStyle w:val="Heading2"/>
      </w:pPr>
      <w:r>
        <w:t xml:space="preserve">Brémélanotide (PT-141) (16)</w:t>
      </w:r>
    </w:p>
    <w:p>
      <w:pPr>
        <w:numPr>
          <w:ilvl w:val="0"/>
          <w:numId w:val="1414"/>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4"/>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4"/>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4"/>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4"/>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4"/>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4"/>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4"/>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4"/>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4"/>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4"/>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4"/>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4"/>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4"/>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4"/>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4"/>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3060"/>
    <w:bookmarkStart w:id="3061" w:name="melanotan-ii-8"/>
    <w:p>
      <w:pPr>
        <w:pStyle w:val="Heading2"/>
      </w:pPr>
      <w:r>
        <w:t xml:space="preserve">Melanotan II (8)</w:t>
      </w:r>
    </w:p>
    <w:p>
      <w:pPr>
        <w:numPr>
          <w:ilvl w:val="0"/>
          <w:numId w:val="1415"/>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5"/>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5"/>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5"/>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5"/>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5"/>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5"/>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5"/>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3061"/>
    <w:bookmarkStart w:id="3062" w:name="afamélanotide-10"/>
    <w:p>
      <w:pPr>
        <w:pStyle w:val="Heading2"/>
      </w:pPr>
      <w:r>
        <w:t xml:space="preserve">Afamélanotide (10)</w:t>
      </w:r>
    </w:p>
    <w:p>
      <w:pPr>
        <w:numPr>
          <w:ilvl w:val="0"/>
          <w:numId w:val="1416"/>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6"/>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6"/>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6"/>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6"/>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6"/>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6"/>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6"/>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6"/>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6"/>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3062"/>
    <w:bookmarkStart w:id="3063" w:name="kisspeptine-37"/>
    <w:p>
      <w:pPr>
        <w:pStyle w:val="Heading2"/>
      </w:pPr>
      <w:r>
        <w:t xml:space="preserve">Kisspeptine (37)</w:t>
      </w:r>
    </w:p>
    <w:p>
      <w:pPr>
        <w:numPr>
          <w:ilvl w:val="0"/>
          <w:numId w:val="1417"/>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7"/>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7"/>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7"/>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7"/>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7"/>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7"/>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7"/>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7"/>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7"/>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7"/>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7"/>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7"/>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7"/>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7"/>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7"/>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7"/>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7"/>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7"/>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7"/>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7"/>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7"/>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7"/>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7"/>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7"/>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7"/>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7"/>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7"/>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7"/>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7"/>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7"/>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7"/>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7"/>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7"/>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7"/>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7"/>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7"/>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3063"/>
    <w:bookmarkStart w:id="3064" w:name="ocytocine-spray-nasal-349"/>
    <w:p>
      <w:pPr>
        <w:pStyle w:val="Heading2"/>
      </w:pPr>
      <w:r>
        <w:t xml:space="preserve">Ocytocine (spray nasal) (349)</w:t>
      </w:r>
    </w:p>
    <w:p>
      <w:pPr>
        <w:numPr>
          <w:ilvl w:val="0"/>
          <w:numId w:val="1418"/>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8"/>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8"/>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8"/>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8"/>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8"/>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8"/>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8"/>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8"/>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8"/>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8"/>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8"/>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8"/>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8"/>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8"/>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8"/>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8"/>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8"/>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8"/>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8"/>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8"/>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8"/>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8"/>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8"/>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8"/>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8"/>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8"/>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8"/>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8"/>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8"/>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8"/>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8"/>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8"/>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8"/>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8"/>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8"/>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8"/>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8"/>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8"/>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8"/>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8"/>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8"/>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8"/>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8"/>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8"/>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8"/>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8"/>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8"/>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8"/>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8"/>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8"/>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8"/>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8"/>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8"/>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8"/>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8"/>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8"/>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8"/>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8"/>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8"/>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8"/>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8"/>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8"/>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8"/>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8"/>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8"/>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8"/>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8"/>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8"/>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8"/>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8"/>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8"/>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8"/>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8"/>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8"/>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8"/>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8"/>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8"/>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8"/>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8"/>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8"/>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8"/>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8"/>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8"/>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8"/>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8"/>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8"/>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8"/>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8"/>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8"/>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8"/>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8"/>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8"/>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8"/>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8"/>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8"/>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8"/>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8"/>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8"/>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8"/>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8"/>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8"/>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8"/>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8"/>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8"/>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8"/>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8"/>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8"/>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8"/>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8"/>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8"/>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8"/>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8"/>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8"/>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8"/>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8"/>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8"/>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8"/>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8"/>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8"/>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8"/>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8"/>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8"/>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8"/>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8"/>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8"/>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8"/>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8"/>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8"/>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8"/>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8"/>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8"/>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8"/>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8"/>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8"/>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8"/>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8"/>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8"/>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8"/>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8"/>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8"/>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8"/>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8"/>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8"/>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8"/>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8"/>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8"/>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8"/>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8"/>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8"/>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8"/>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8"/>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8"/>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8"/>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8"/>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8"/>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8"/>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8"/>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8"/>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8"/>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8"/>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8"/>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8"/>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8"/>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8"/>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8"/>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8"/>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8"/>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8"/>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8"/>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8"/>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8"/>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8"/>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8"/>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8"/>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8"/>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8"/>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8"/>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8"/>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8"/>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8"/>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8"/>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8"/>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8"/>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8"/>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8"/>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8"/>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8"/>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8"/>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8"/>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8"/>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8"/>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8"/>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8"/>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8"/>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8"/>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8"/>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8"/>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8"/>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8"/>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8"/>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8"/>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8"/>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8"/>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8"/>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8"/>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8"/>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8"/>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8"/>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8"/>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8"/>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8"/>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8"/>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8"/>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8"/>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8"/>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8"/>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8"/>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8"/>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8"/>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8"/>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8"/>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8"/>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8"/>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8"/>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8"/>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8"/>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8"/>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8"/>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8"/>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8"/>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8"/>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8"/>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8"/>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8"/>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8"/>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8"/>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8"/>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8"/>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8"/>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8"/>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8"/>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8"/>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8"/>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8"/>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8"/>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8"/>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8"/>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8"/>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8"/>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8"/>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8"/>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8"/>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8"/>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8"/>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8"/>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8"/>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8"/>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8"/>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8"/>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8"/>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8"/>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8"/>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8"/>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8"/>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8"/>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8"/>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8"/>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8"/>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8"/>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8"/>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8"/>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8"/>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8"/>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8"/>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8"/>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8"/>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8"/>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8"/>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8"/>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8"/>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8"/>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8"/>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8"/>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8"/>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8"/>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8"/>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8"/>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8"/>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8"/>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8"/>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8"/>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8"/>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8"/>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8"/>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8"/>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8"/>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8"/>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8"/>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8"/>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8"/>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8"/>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8"/>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8"/>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8"/>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8"/>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8"/>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8"/>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8"/>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8"/>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8"/>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8"/>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8"/>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8"/>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8"/>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8"/>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8"/>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8"/>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8"/>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8"/>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8"/>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8"/>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8"/>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8"/>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8"/>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8"/>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8"/>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8"/>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8"/>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8"/>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8"/>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8"/>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8"/>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8"/>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8"/>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8"/>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8"/>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8"/>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8"/>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8"/>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8"/>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8"/>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8"/>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8"/>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8"/>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8"/>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8"/>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3064"/>
    <w:bookmarkStart w:id="3065" w:name="gonadoréline-9"/>
    <w:p>
      <w:pPr>
        <w:pStyle w:val="Heading2"/>
      </w:pPr>
      <w:r>
        <w:t xml:space="preserve">Gonadoréline (9)</w:t>
      </w:r>
    </w:p>
    <w:p>
      <w:pPr>
        <w:numPr>
          <w:ilvl w:val="0"/>
          <w:numId w:val="1419"/>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19"/>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19"/>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19"/>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19"/>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19"/>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19"/>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19"/>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19"/>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3065"/>
    <w:bookmarkStart w:id="3066" w:name="Xa3ec41ca6917fe1094a57b09f1d45e8d0c25c49"/>
    <w:p>
      <w:pPr>
        <w:pStyle w:val="Heading2"/>
      </w:pPr>
      <w:r>
        <w:t xml:space="preserve">Peptides de collagène (hydrolysat de collagène) (101)</w:t>
      </w:r>
    </w:p>
    <w:p>
      <w:pPr>
        <w:numPr>
          <w:ilvl w:val="0"/>
          <w:numId w:val="1420"/>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0"/>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0"/>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0"/>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0"/>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0"/>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0"/>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0"/>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0"/>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0"/>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0"/>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0"/>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0"/>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0"/>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0"/>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0"/>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0"/>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0"/>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0"/>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0"/>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0"/>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0"/>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0"/>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0"/>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0"/>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0"/>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0"/>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0"/>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0"/>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0"/>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0"/>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0"/>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0"/>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0"/>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0"/>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0"/>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0"/>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0"/>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0"/>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0"/>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0"/>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0"/>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0"/>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0"/>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0"/>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0"/>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0"/>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0"/>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0"/>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0"/>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0"/>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0"/>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0"/>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0"/>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0"/>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0"/>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0"/>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0"/>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0"/>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0"/>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0"/>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0"/>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0"/>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0"/>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0"/>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0"/>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0"/>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0"/>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0"/>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0"/>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0"/>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0"/>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0"/>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0"/>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0"/>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0"/>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0"/>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0"/>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0"/>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0"/>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0"/>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0"/>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0"/>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0"/>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0"/>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0"/>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0"/>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0"/>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0"/>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0"/>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0"/>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0"/>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0"/>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0"/>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0"/>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0"/>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0"/>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0"/>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0"/>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3066"/>
    <w:bookmarkStart w:id="3067" w:name="lactotripeptides-vpp-et-ipp-21"/>
    <w:p>
      <w:pPr>
        <w:pStyle w:val="Heading2"/>
      </w:pPr>
      <w:r>
        <w:t xml:space="preserve">Lactotripeptides (VPP et IPP) (21)</w:t>
      </w:r>
    </w:p>
    <w:p>
      <w:pPr>
        <w:numPr>
          <w:ilvl w:val="0"/>
          <w:numId w:val="1421"/>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1"/>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1"/>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1"/>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1"/>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1"/>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1"/>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1"/>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1"/>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1"/>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1"/>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1"/>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1"/>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1"/>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1"/>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1"/>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1"/>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1"/>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1"/>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1"/>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1"/>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3067"/>
    <w:bookmarkStart w:id="3068" w:name="carnosine-57"/>
    <w:p>
      <w:pPr>
        <w:pStyle w:val="Heading2"/>
      </w:pPr>
      <w:r>
        <w:t xml:space="preserve">Carnosine (57)</w:t>
      </w:r>
    </w:p>
    <w:p>
      <w:pPr>
        <w:numPr>
          <w:ilvl w:val="0"/>
          <w:numId w:val="1422"/>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2"/>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2"/>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2"/>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2"/>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2"/>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2"/>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2"/>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2"/>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2"/>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2"/>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2"/>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2"/>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2"/>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2"/>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2"/>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2"/>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2"/>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2"/>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2"/>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2"/>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2"/>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2"/>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2"/>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2"/>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2"/>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2"/>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2"/>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2"/>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2"/>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2"/>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2"/>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2"/>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2"/>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2"/>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2"/>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2"/>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2"/>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2"/>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2"/>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2"/>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2"/>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2"/>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2"/>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2"/>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2"/>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2"/>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2"/>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2"/>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2"/>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2"/>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2"/>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2"/>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2"/>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2"/>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2"/>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2"/>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3068"/>
    <w:bookmarkStart w:id="3069" w:name="ghk-cu-peptide-de-cuivre-1"/>
    <w:p>
      <w:pPr>
        <w:pStyle w:val="Heading2"/>
      </w:pPr>
      <w:r>
        <w:t xml:space="preserve">GHK-Cu (peptide de cuivre) (1)</w:t>
      </w:r>
    </w:p>
    <w:p>
      <w:pPr>
        <w:numPr>
          <w:ilvl w:val="0"/>
          <w:numId w:val="1423"/>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3069"/>
    <w:bookmarkStart w:id="3070" w:name="palmitoyl-pentapeptide-4-matrixyl-1"/>
    <w:p>
      <w:pPr>
        <w:pStyle w:val="Heading2"/>
      </w:pPr>
      <w:r>
        <w:t xml:space="preserve">Palmitoyl pentapeptide-4 (Matrixyl) (1)</w:t>
      </w:r>
    </w:p>
    <w:p>
      <w:pPr>
        <w:numPr>
          <w:ilvl w:val="0"/>
          <w:numId w:val="1424"/>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3070"/>
    <w:bookmarkStart w:id="3071" w:name="acétyl-hexapeptide-8-argireline-3"/>
    <w:p>
      <w:pPr>
        <w:pStyle w:val="Heading2"/>
      </w:pPr>
      <w:r>
        <w:t xml:space="preserve">Acétyl hexapeptide-8 (Argireline) (3)</w:t>
      </w:r>
    </w:p>
    <w:p>
      <w:pPr>
        <w:numPr>
          <w:ilvl w:val="0"/>
          <w:numId w:val="1425"/>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5"/>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5"/>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3071"/>
    <w:bookmarkEnd w:id="3072"/>
    <w:bookmarkStart w:id="3073" w:name="à-propos-de-lauteur"/>
    <w:p>
      <w:pPr>
        <w:pStyle w:val="Heading1"/>
      </w:pPr>
      <w:r>
        <w:t xml:space="preserve">À propos de l’auteur</w:t>
      </w:r>
    </w:p>
    <w:p>
      <w:pPr>
        <w:pStyle w:val="FirstParagraph"/>
      </w:pPr>
      <w:r>
        <w:t xml:space="preserve">Josef Gallab s’intéresse de près depuis plus de cinq ans aux peptides, au sport et au biohacking. Ce qui l’intéresse, c’est ce qui fait vraiment progresser la santé et la performance – et ce qui reste une simple promesse.</w:t>
      </w:r>
    </w:p>
    <w:p>
      <w:pPr>
        <w:pStyle w:val="BodyText"/>
      </w:pPr>
      <w:r>
        <w:t xml:space="preserve">Le milieu, les promesses et les témoignages autour de nombreux peptides décrits dans ce livre, il les connaît de très près. C’est justement pour cela qu’il tient à distinguer clairement l’enthousiasme de l’état des preuves : prendre au sérieux le potentiel des peptides sans passer sous silence les questions ouvertes.</w:t>
      </w:r>
    </w:p>
    <w:p>
      <w:pPr>
        <w:pStyle w:val="BodyText"/>
      </w:pPr>
      <w:r>
        <w:t xml:space="preserve">Avec</w:t>
      </w:r>
      <w:r>
        <w:t xml:space="preserve"> </w:t>
      </w:r>
      <w:r>
        <w:rPr>
          <w:iCs/>
          <w:i/>
        </w:rPr>
        <w:t xml:space="preserve">Le guide des peptides</w:t>
      </w:r>
      <w:r>
        <w:t xml:space="preserve">, il souhaite donner aux lectrices et aux lecteurs l’outil qui lui a lui-même manqué au début – un aperçu honnête de ce que montrent vraiment les études.</w:t>
      </w:r>
    </w:p>
    <w:bookmarkEnd w:id="30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Krug 2018, PMID 29864719.</w:t>
      </w:r>
    </w:p>
  </w:footnote>
  <w:footnote w:id="41">
    <w:p>
      <w:pPr>
        <w:pStyle w:val="FootnoteText"/>
      </w:pPr>
      <w:r>
        <w:rPr>
          <w:rStyle w:val="FootnoteReference"/>
        </w:rPr>
        <w:footnoteRef/>
      </w:r>
      <w:r>
        <w:t xml:space="preserve"> </w:t>
      </w:r>
      <w:r>
        <w:t xml:space="preserve">Eng 1992, PMID 1313797.</w:t>
      </w:r>
    </w:p>
  </w:footnote>
  <w:footnote w:id="43">
    <w:p>
      <w:pPr>
        <w:pStyle w:val="FootnoteText"/>
      </w:pPr>
      <w:r>
        <w:rPr>
          <w:rStyle w:val="FootnoteReference"/>
        </w:rPr>
        <w:footnoteRef/>
      </w:r>
      <w:r>
        <w:t xml:space="preserve"> </w:t>
      </w:r>
      <w:r>
        <w:t xml:space="preserve">Knudsen 2019, PMID 31031702.</w:t>
      </w:r>
    </w:p>
  </w:footnote>
  <w:footnote w:id="45">
    <w:p>
      <w:pPr>
        <w:pStyle w:val="FootnoteText"/>
      </w:pPr>
      <w:r>
        <w:rPr>
          <w:rStyle w:val="FootnoteReference"/>
        </w:rPr>
        <w:footnoteRef/>
      </w:r>
      <w:r>
        <w:t xml:space="preserve"> </w:t>
      </w:r>
      <w:r>
        <w:t xml:space="preserve">Deacon 1995, PMID 7883856.</w:t>
      </w:r>
    </w:p>
  </w:footnote>
  <w:footnote w:id="46">
    <w:p>
      <w:pPr>
        <w:pStyle w:val="FootnoteText"/>
      </w:pPr>
      <w:r>
        <w:rPr>
          <w:rStyle w:val="FootnoteReference"/>
        </w:rPr>
        <w:footnoteRef/>
      </w:r>
      <w:r>
        <w:t xml:space="preserve"> </w:t>
      </w:r>
      <w:r>
        <w:t xml:space="preserve">Lau 2015, PMID 26308095.</w:t>
      </w:r>
    </w:p>
  </w:footnote>
  <w:footnote w:id="47">
    <w:p>
      <w:pPr>
        <w:pStyle w:val="FootnoteText"/>
      </w:pPr>
      <w:r>
        <w:rPr>
          <w:rStyle w:val="FootnoteReference"/>
        </w:rPr>
        <w:footnoteRef/>
      </w:r>
      <w:r>
        <w:t xml:space="preserve"> </w:t>
      </w:r>
      <w:r>
        <w:t xml:space="preserve">Marso 2016, PMID 27633186.</w:t>
      </w:r>
    </w:p>
  </w:footnote>
  <w:footnote w:id="49">
    <w:p>
      <w:pPr>
        <w:pStyle w:val="FootnoteText"/>
      </w:pPr>
      <w:r>
        <w:rPr>
          <w:rStyle w:val="FootnoteReference"/>
        </w:rPr>
        <w:footnoteRef/>
      </w:r>
      <w:r>
        <w:t xml:space="preserve"> </w:t>
      </w:r>
      <w:r>
        <w:t xml:space="preserve">Merrifield 1969, PMID 4307033.</w:t>
      </w:r>
    </w:p>
  </w:footnote>
  <w:footnote w:id="50">
    <w:p>
      <w:pPr>
        <w:pStyle w:val="FootnoteText"/>
      </w:pPr>
      <w:r>
        <w:rPr>
          <w:rStyle w:val="FootnoteReference"/>
        </w:rPr>
        <w:footnoteRef/>
      </w:r>
      <w:r>
        <w:t xml:space="preserve"> </w:t>
      </w:r>
      <w:r>
        <w:t xml:space="preserve">The 1989, PMID 2690608.</w:t>
      </w:r>
    </w:p>
  </w:footnote>
  <w:footnote w:id="51">
    <w:p>
      <w:pPr>
        <w:pStyle w:val="FootnoteText"/>
      </w:pPr>
      <w:r>
        <w:rPr>
          <w:rStyle w:val="FootnoteReference"/>
        </w:rPr>
        <w:footnoteRef/>
      </w:r>
      <w:r>
        <w:t xml:space="preserve"> </w:t>
      </w:r>
      <w:r>
        <w:t xml:space="preserve">Hach 2024, PMID 39379664.</w:t>
      </w:r>
    </w:p>
  </w:footnote>
  <w:footnote w:id="53">
    <w:p>
      <w:pPr>
        <w:pStyle w:val="FootnoteText"/>
      </w:pPr>
      <w:r>
        <w:rPr>
          <w:rStyle w:val="FootnoteReference"/>
        </w:rPr>
        <w:footnoteRef/>
      </w:r>
      <w:r>
        <w:t xml:space="preserve"> </w:t>
      </w:r>
      <w:r>
        <w:t xml:space="preserve">Muttenthaler 2021, PMID 33536635.</w:t>
      </w:r>
    </w:p>
  </w:footnote>
  <w:footnote w:id="54">
    <w:p>
      <w:pPr>
        <w:pStyle w:val="FootnoteText"/>
      </w:pPr>
      <w:r>
        <w:rPr>
          <w:rStyle w:val="FootnoteReference"/>
        </w:rPr>
        <w:footnoteRef/>
      </w:r>
      <w:r>
        <w:t xml:space="preserve"> </w:t>
      </w:r>
      <w:r>
        <w:t xml:space="preserve">Lau 2018, PMID 28720325.</w:t>
      </w:r>
    </w:p>
  </w:footnote>
  <w:footnote w:id="56">
    <w:p>
      <w:pPr>
        <w:pStyle w:val="FootnoteText"/>
      </w:pPr>
      <w:r>
        <w:rPr>
          <w:rStyle w:val="FootnoteReference"/>
        </w:rPr>
        <w:footnoteRef/>
      </w:r>
      <w:r>
        <w:t xml:space="preserve"> </w:t>
      </w:r>
      <w:r>
        <w:t xml:space="preserve">Cox 2017, PMID 28035768.</w:t>
      </w:r>
    </w:p>
  </w:footnote>
  <w:footnote w:id="59">
    <w:p>
      <w:pPr>
        <w:pStyle w:val="FootnoteText"/>
      </w:pPr>
      <w:r>
        <w:rPr>
          <w:rStyle w:val="FootnoteReference"/>
        </w:rPr>
        <w:footnoteRef/>
      </w:r>
      <w:r>
        <w:t xml:space="preserve"> </w:t>
      </w:r>
      <w:r>
        <w:t xml:space="preserve">Wilding 2021, PMID 33567185.</w:t>
      </w:r>
    </w:p>
  </w:footnote>
  <w:footnote w:id="60">
    <w:p>
      <w:pPr>
        <w:pStyle w:val="FootnoteText"/>
      </w:pPr>
      <w:r>
        <w:rPr>
          <w:rStyle w:val="FootnoteReference"/>
        </w:rPr>
        <w:footnoteRef/>
      </w:r>
      <w:r>
        <w:t xml:space="preserve"> </w:t>
      </w:r>
      <w:r>
        <w:t xml:space="preserve">Hailu 2026, PMID 42437212.</w:t>
      </w:r>
    </w:p>
  </w:footnote>
  <w:footnote w:id="65">
    <w:p>
      <w:pPr>
        <w:pStyle w:val="FootnoteText"/>
      </w:pPr>
      <w:r>
        <w:rPr>
          <w:rStyle w:val="FootnoteReference"/>
        </w:rPr>
        <w:footnoteRef/>
      </w:r>
      <w:r>
        <w:t xml:space="preserve"> </w:t>
      </w:r>
      <w:r>
        <w:t xml:space="preserve">Banting 1922, PMID 20314060.</w:t>
      </w:r>
    </w:p>
  </w:footnote>
  <w:footnote w:id="66">
    <w:p>
      <w:pPr>
        <w:pStyle w:val="FootnoteText"/>
      </w:pPr>
      <w:r>
        <w:rPr>
          <w:rStyle w:val="FootnoteReference"/>
        </w:rPr>
        <w:footnoteRef/>
      </w:r>
      <w:r>
        <w:t xml:space="preserve"> </w:t>
      </w:r>
      <w:r>
        <w:t xml:space="preserve">Sims 2021, PMID 34267380.</w:t>
      </w:r>
    </w:p>
  </w:footnote>
  <w:footnote w:id="67">
    <w:p>
      <w:pPr>
        <w:pStyle w:val="FootnoteText"/>
      </w:pPr>
      <w:r>
        <w:rPr>
          <w:rStyle w:val="FootnoteReference"/>
        </w:rPr>
        <w:footnoteRef/>
      </w:r>
      <w:r>
        <w:t xml:space="preserve"> </w:t>
      </w:r>
      <w:r>
        <w:t xml:space="preserve">Owens 2022, PMID 34708913.</w:t>
      </w:r>
    </w:p>
  </w:footnote>
  <w:footnote w:id="69">
    <w:p>
      <w:pPr>
        <w:pStyle w:val="FootnoteText"/>
      </w:pPr>
      <w:r>
        <w:rPr>
          <w:rStyle w:val="FootnoteReference"/>
        </w:rPr>
        <w:footnoteRef/>
      </w:r>
      <w:r>
        <w:t xml:space="preserve"> </w:t>
      </w:r>
      <w:r>
        <w:t xml:space="preserve">Sanger 1952, PMID 13018185.</w:t>
      </w:r>
    </w:p>
  </w:footnote>
  <w:footnote w:id="70">
    <w:p>
      <w:pPr>
        <w:pStyle w:val="FootnoteText"/>
      </w:pPr>
      <w:r>
        <w:rPr>
          <w:rStyle w:val="FootnoteReference"/>
        </w:rPr>
        <w:footnoteRef/>
      </w:r>
      <w:r>
        <w:t xml:space="preserve"> </w:t>
      </w:r>
      <w:r>
        <w:t xml:space="preserve">Merrifield 1969, PMID 4307033.</w:t>
      </w:r>
    </w:p>
  </w:footnote>
  <w:footnote w:id="72">
    <w:p>
      <w:pPr>
        <w:pStyle w:val="FootnoteText"/>
      </w:pPr>
      <w:r>
        <w:rPr>
          <w:rStyle w:val="FootnoteReference"/>
        </w:rPr>
        <w:footnoteRef/>
      </w:r>
      <w:r>
        <w:t xml:space="preserve"> </w:t>
      </w:r>
      <w:r>
        <w:t xml:space="preserve">Yalow 1960, PMID 13846364.</w:t>
      </w:r>
    </w:p>
  </w:footnote>
  <w:footnote w:id="74">
    <w:p>
      <w:pPr>
        <w:pStyle w:val="FootnoteText"/>
      </w:pPr>
      <w:r>
        <w:rPr>
          <w:rStyle w:val="FootnoteReference"/>
        </w:rPr>
        <w:footnoteRef/>
      </w:r>
      <w:r>
        <w:t xml:space="preserve"> </w:t>
      </w:r>
      <w:r>
        <w:t xml:space="preserve">Ranke 2018, PMID 29546874.</w:t>
      </w:r>
    </w:p>
  </w:footnote>
  <w:footnote w:id="75">
    <w:p>
      <w:pPr>
        <w:pStyle w:val="FootnoteText"/>
      </w:pPr>
      <w:r>
        <w:rPr>
          <w:rStyle w:val="FootnoteReference"/>
        </w:rPr>
        <w:footnoteRef/>
      </w:r>
      <w:r>
        <w:t xml:space="preserve"> </w:t>
      </w:r>
      <w:r>
        <w:t xml:space="preserve">The 1989, PMID 2690608.</w:t>
      </w:r>
    </w:p>
  </w:footnote>
  <w:footnote w:id="76">
    <w:p>
      <w:pPr>
        <w:pStyle w:val="FootnoteText"/>
      </w:pPr>
      <w:r>
        <w:rPr>
          <w:rStyle w:val="FootnoteReference"/>
        </w:rPr>
        <w:footnoteRef/>
      </w:r>
      <w:r>
        <w:t xml:space="preserve"> </w:t>
      </w:r>
      <w:r>
        <w:t xml:space="preserve">Neer 2001, PMID 11346808.</w:t>
      </w:r>
    </w:p>
  </w:footnote>
  <w:footnote w:id="78">
    <w:p>
      <w:pPr>
        <w:pStyle w:val="FootnoteText"/>
      </w:pPr>
      <w:r>
        <w:rPr>
          <w:rStyle w:val="FootnoteReference"/>
        </w:rPr>
        <w:footnoteRef/>
      </w:r>
      <w:r>
        <w:t xml:space="preserve"> </w:t>
      </w:r>
      <w:r>
        <w:t xml:space="preserve">Kreymann 1987, PMID 2890903.</w:t>
      </w:r>
    </w:p>
  </w:footnote>
  <w:footnote w:id="79">
    <w:p>
      <w:pPr>
        <w:pStyle w:val="FootnoteText"/>
      </w:pPr>
      <w:r>
        <w:rPr>
          <w:rStyle w:val="FootnoteReference"/>
        </w:rPr>
        <w:footnoteRef/>
      </w:r>
      <w:r>
        <w:t xml:space="preserve"> </w:t>
      </w:r>
      <w:r>
        <w:t xml:space="preserve">Deacon 1995, PMID 7883856.</w:t>
      </w:r>
    </w:p>
  </w:footnote>
  <w:footnote w:id="81">
    <w:p>
      <w:pPr>
        <w:pStyle w:val="FootnoteText"/>
      </w:pPr>
      <w:r>
        <w:rPr>
          <w:rStyle w:val="FootnoteReference"/>
        </w:rPr>
        <w:footnoteRef/>
      </w:r>
      <w:r>
        <w:t xml:space="preserve"> </w:t>
      </w:r>
      <w:r>
        <w:t xml:space="preserve">Eng 1992, PMID 1313797.</w:t>
      </w:r>
    </w:p>
  </w:footnote>
  <w:footnote w:id="82">
    <w:p>
      <w:pPr>
        <w:pStyle w:val="FootnoteText"/>
      </w:pPr>
      <w:r>
        <w:rPr>
          <w:rStyle w:val="FootnoteReference"/>
        </w:rPr>
        <w:footnoteRef/>
      </w:r>
      <w:r>
        <w:t xml:space="preserve"> </w:t>
      </w:r>
      <w:r>
        <w:t xml:space="preserve">DeFronzo 2005, PMID 15855572.</w:t>
      </w:r>
    </w:p>
  </w:footnote>
  <w:footnote w:id="84">
    <w:p>
      <w:pPr>
        <w:pStyle w:val="FootnoteText"/>
      </w:pPr>
      <w:r>
        <w:rPr>
          <w:rStyle w:val="FootnoteReference"/>
        </w:rPr>
        <w:footnoteRef/>
      </w:r>
      <w:r>
        <w:t xml:space="preserve"> </w:t>
      </w:r>
      <w:r>
        <w:t xml:space="preserve">Knudsen 2019, PMID 31031702.</w:t>
      </w:r>
    </w:p>
  </w:footnote>
  <w:footnote w:id="85">
    <w:p>
      <w:pPr>
        <w:pStyle w:val="FootnoteText"/>
      </w:pPr>
      <w:r>
        <w:rPr>
          <w:rStyle w:val="FootnoteReference"/>
        </w:rPr>
        <w:footnoteRef/>
      </w:r>
      <w:r>
        <w:t xml:space="preserve"> </w:t>
      </w:r>
      <w:r>
        <w:t xml:space="preserve">Pi-Sunyer 2015, PMID 26132939.</w:t>
      </w:r>
    </w:p>
  </w:footnote>
  <w:footnote w:id="86">
    <w:p>
      <w:pPr>
        <w:pStyle w:val="FootnoteText"/>
      </w:pPr>
      <w:r>
        <w:rPr>
          <w:rStyle w:val="FootnoteReference"/>
        </w:rPr>
        <w:footnoteRef/>
      </w:r>
      <w:r>
        <w:t xml:space="preserve"> </w:t>
      </w:r>
      <w:r>
        <w:t xml:space="preserve">Lau 2015, PMID 26308095.</w:t>
      </w:r>
    </w:p>
  </w:footnote>
  <w:footnote w:id="87">
    <w:p>
      <w:pPr>
        <w:pStyle w:val="FootnoteText"/>
      </w:pPr>
      <w:r>
        <w:rPr>
          <w:rStyle w:val="FootnoteReference"/>
        </w:rPr>
        <w:footnoteRef/>
      </w:r>
      <w:r>
        <w:t xml:space="preserve"> </w:t>
      </w:r>
      <w:r>
        <w:t xml:space="preserve">Wilding 2021, PMID 33567185.</w:t>
      </w:r>
    </w:p>
  </w:footnote>
  <w:footnote w:id="89">
    <w:p>
      <w:pPr>
        <w:pStyle w:val="FootnoteText"/>
      </w:pPr>
      <w:r>
        <w:rPr>
          <w:rStyle w:val="FootnoteReference"/>
        </w:rPr>
        <w:footnoteRef/>
      </w:r>
      <w:r>
        <w:t xml:space="preserve"> </w:t>
      </w:r>
      <w:r>
        <w:t xml:space="preserve">Marso 2016, PMID 27295427.</w:t>
      </w:r>
    </w:p>
  </w:footnote>
  <w:footnote w:id="90">
    <w:p>
      <w:pPr>
        <w:pStyle w:val="FootnoteText"/>
      </w:pPr>
      <w:r>
        <w:rPr>
          <w:rStyle w:val="FootnoteReference"/>
        </w:rPr>
        <w:footnoteRef/>
      </w:r>
      <w:r>
        <w:t xml:space="preserve"> </w:t>
      </w:r>
      <w:r>
        <w:t xml:space="preserve">Marso 2016, PMID 27633186.</w:t>
      </w:r>
    </w:p>
  </w:footnote>
  <w:footnote w:id="91">
    <w:p>
      <w:pPr>
        <w:pStyle w:val="FootnoteText"/>
      </w:pPr>
      <w:r>
        <w:rPr>
          <w:rStyle w:val="FootnoteReference"/>
        </w:rPr>
        <w:footnoteRef/>
      </w:r>
      <w:r>
        <w:t xml:space="preserve"> </w:t>
      </w:r>
      <w:r>
        <w:t xml:space="preserve">Lincoff 2023, PMID 37952131.</w:t>
      </w:r>
    </w:p>
  </w:footnote>
  <w:footnote w:id="93">
    <w:p>
      <w:pPr>
        <w:pStyle w:val="FootnoteText"/>
      </w:pPr>
      <w:r>
        <w:rPr>
          <w:rStyle w:val="FootnoteReference"/>
        </w:rPr>
        <w:footnoteRef/>
      </w:r>
      <w:r>
        <w:t xml:space="preserve"> </w:t>
      </w:r>
      <w:r>
        <w:t xml:space="preserve">Aroda 2019, PMID 31186300.</w:t>
      </w:r>
    </w:p>
  </w:footnote>
  <w:footnote w:id="94">
    <w:p>
      <w:pPr>
        <w:pStyle w:val="FootnoteText"/>
      </w:pPr>
      <w:r>
        <w:rPr>
          <w:rStyle w:val="FootnoteReference"/>
        </w:rPr>
        <w:footnoteRef/>
      </w:r>
      <w:r>
        <w:t xml:space="preserve"> </w:t>
      </w:r>
      <w:r>
        <w:t xml:space="preserve">Jastreboff 2022, PMID 35658024.</w:t>
      </w:r>
    </w:p>
  </w:footnote>
  <w:footnote w:id="95">
    <w:p>
      <w:pPr>
        <w:pStyle w:val="FootnoteText"/>
      </w:pPr>
      <w:r>
        <w:rPr>
          <w:rStyle w:val="FootnoteReference"/>
        </w:rPr>
        <w:footnoteRef/>
      </w:r>
      <w:r>
        <w:t xml:space="preserve"> </w:t>
      </w:r>
      <w:r>
        <w:t xml:space="preserve">Kreymann 1987, PMID 2890903.</w:t>
      </w:r>
    </w:p>
  </w:footnote>
  <w:footnote w:id="101">
    <w:p>
      <w:pPr>
        <w:pStyle w:val="FootnoteText"/>
      </w:pPr>
      <w:r>
        <w:rPr>
          <w:rStyle w:val="FootnoteReference"/>
        </w:rPr>
        <w:footnoteRef/>
      </w:r>
      <w:r>
        <w:t xml:space="preserve"> </w:t>
      </w:r>
      <w:r>
        <w:t xml:space="preserve">Drucker 2020, PMID 31848464.</w:t>
      </w:r>
    </w:p>
  </w:footnote>
  <w:footnote w:id="103">
    <w:p>
      <w:pPr>
        <w:pStyle w:val="FootnoteText"/>
      </w:pPr>
      <w:r>
        <w:rPr>
          <w:rStyle w:val="FootnoteReference"/>
        </w:rPr>
        <w:footnoteRef/>
      </w:r>
      <w:r>
        <w:t xml:space="preserve"> </w:t>
      </w:r>
      <w:r>
        <w:t xml:space="preserve">Knudsen 2019, PMID 31031702.</w:t>
      </w:r>
    </w:p>
  </w:footnote>
  <w:footnote w:id="104">
    <w:p>
      <w:pPr>
        <w:pStyle w:val="FootnoteText"/>
      </w:pPr>
      <w:r>
        <w:rPr>
          <w:rStyle w:val="FootnoteReference"/>
        </w:rPr>
        <w:footnoteRef/>
      </w:r>
      <w:r>
        <w:t xml:space="preserve"> </w:t>
      </w:r>
      <w:r>
        <w:t xml:space="preserve">Marso 2016, PMID 27633186.</w:t>
      </w:r>
    </w:p>
  </w:footnote>
  <w:footnote w:id="105">
    <w:p>
      <w:pPr>
        <w:pStyle w:val="FootnoteText"/>
      </w:pPr>
      <w:r>
        <w:rPr>
          <w:rStyle w:val="FootnoteReference"/>
        </w:rPr>
        <w:footnoteRef/>
      </w:r>
      <w:r>
        <w:t xml:space="preserve"> </w:t>
      </w:r>
      <w:r>
        <w:t xml:space="preserve">Lambson 2023, PMID 37392810.</w:t>
      </w:r>
    </w:p>
  </w:footnote>
  <w:footnote w:id="107">
    <w:p>
      <w:pPr>
        <w:pStyle w:val="FootnoteText"/>
      </w:pPr>
      <w:r>
        <w:rPr>
          <w:rStyle w:val="FootnoteReference"/>
        </w:rPr>
        <w:footnoteRef/>
      </w:r>
      <w:r>
        <w:t xml:space="preserve"> </w:t>
      </w:r>
      <w:r>
        <w:t xml:space="preserve">Drucker 2020, PMID 31848464.</w:t>
      </w:r>
    </w:p>
  </w:footnote>
  <w:footnote w:id="109">
    <w:p>
      <w:pPr>
        <w:pStyle w:val="FootnoteText"/>
      </w:pPr>
      <w:r>
        <w:rPr>
          <w:rStyle w:val="FootnoteReference"/>
        </w:rPr>
        <w:footnoteRef/>
      </w:r>
      <w:r>
        <w:t xml:space="preserve"> </w:t>
      </w:r>
      <w:r>
        <w:t xml:space="preserve">Buckley 2018, PMID 30429357.</w:t>
      </w:r>
    </w:p>
  </w:footnote>
  <w:footnote w:id="110">
    <w:p>
      <w:pPr>
        <w:pStyle w:val="FootnoteText"/>
      </w:pPr>
      <w:r>
        <w:rPr>
          <w:rStyle w:val="FootnoteReference"/>
        </w:rPr>
        <w:footnoteRef/>
      </w:r>
      <w:r>
        <w:t xml:space="preserve"> </w:t>
      </w:r>
      <w:r>
        <w:t xml:space="preserve">Vahora 2026, PMID 42687069.</w:t>
      </w:r>
    </w:p>
  </w:footnote>
  <w:footnote w:id="111">
    <w:p>
      <w:pPr>
        <w:pStyle w:val="FootnoteText"/>
      </w:pPr>
      <w:r>
        <w:rPr>
          <w:rStyle w:val="FootnoteReference"/>
        </w:rPr>
        <w:footnoteRef/>
      </w:r>
      <w:r>
        <w:t xml:space="preserve"> </w:t>
      </w:r>
      <w:r>
        <w:t xml:space="preserve">Vahora 2026, PMID 42687069.</w:t>
      </w:r>
    </w:p>
  </w:footnote>
  <w:footnote w:id="112">
    <w:p>
      <w:pPr>
        <w:pStyle w:val="FootnoteText"/>
      </w:pPr>
      <w:r>
        <w:rPr>
          <w:rStyle w:val="FootnoteReference"/>
        </w:rPr>
        <w:footnoteRef/>
      </w:r>
      <w:r>
        <w:t xml:space="preserve"> </w:t>
      </w:r>
      <w:r>
        <w:t xml:space="preserve">Marso 2016, PMID 27633186.</w:t>
      </w:r>
    </w:p>
  </w:footnote>
  <w:footnote w:id="113">
    <w:p>
      <w:pPr>
        <w:pStyle w:val="FootnoteText"/>
      </w:pPr>
      <w:r>
        <w:rPr>
          <w:rStyle w:val="FootnoteReference"/>
        </w:rPr>
        <w:footnoteRef/>
      </w:r>
      <w:r>
        <w:t xml:space="preserve"> </w:t>
      </w:r>
      <w:r>
        <w:t xml:space="preserve">Aroda 2019, PMID 31186300.</w:t>
      </w:r>
    </w:p>
  </w:footnote>
  <w:footnote w:id="114">
    <w:p>
      <w:pPr>
        <w:pStyle w:val="FootnoteText"/>
      </w:pPr>
      <w:r>
        <w:rPr>
          <w:rStyle w:val="FootnoteReference"/>
        </w:rPr>
        <w:footnoteRef/>
      </w:r>
      <w:r>
        <w:t xml:space="preserve"> </w:t>
      </w:r>
      <w:r>
        <w:t xml:space="preserve">Vahora 2026, PMID 42687069.</w:t>
      </w:r>
    </w:p>
  </w:footnote>
  <w:footnote w:id="115">
    <w:p>
      <w:pPr>
        <w:pStyle w:val="FootnoteText"/>
      </w:pPr>
      <w:r>
        <w:rPr>
          <w:rStyle w:val="FootnoteReference"/>
        </w:rPr>
        <w:footnoteRef/>
      </w:r>
      <w:r>
        <w:t xml:space="preserve"> </w:t>
      </w:r>
      <w:r>
        <w:t xml:space="preserve">Aroda 2019, PMID 31186300.</w:t>
      </w:r>
    </w:p>
  </w:footnote>
  <w:footnote w:id="116">
    <w:p>
      <w:pPr>
        <w:pStyle w:val="FootnoteText"/>
      </w:pPr>
      <w:r>
        <w:rPr>
          <w:rStyle w:val="FootnoteReference"/>
        </w:rPr>
        <w:footnoteRef/>
      </w:r>
      <w:r>
        <w:t xml:space="preserve"> </w:t>
      </w:r>
      <w:r>
        <w:t xml:space="preserve">Knop 2023, PMID 37385278.</w:t>
      </w:r>
    </w:p>
  </w:footnote>
  <w:footnote w:id="117">
    <w:p>
      <w:pPr>
        <w:pStyle w:val="FootnoteText"/>
      </w:pPr>
      <w:r>
        <w:rPr>
          <w:rStyle w:val="FootnoteReference"/>
        </w:rPr>
        <w:footnoteRef/>
      </w:r>
      <w:r>
        <w:t xml:space="preserve"> </w:t>
      </w:r>
      <w:r>
        <w:t xml:space="preserve">Hach 2024, PMID 39379664.</w:t>
      </w:r>
    </w:p>
  </w:footnote>
  <w:footnote w:id="119">
    <w:p>
      <w:pPr>
        <w:pStyle w:val="FootnoteText"/>
      </w:pPr>
      <w:r>
        <w:rPr>
          <w:rStyle w:val="FootnoteReference"/>
        </w:rPr>
        <w:footnoteRef/>
      </w:r>
      <w:r>
        <w:t xml:space="preserve"> </w:t>
      </w:r>
      <w:r>
        <w:t xml:space="preserve">Sugihara 2012, PMID 22040651.</w:t>
      </w:r>
    </w:p>
  </w:footnote>
  <w:footnote w:id="121">
    <w:p>
      <w:pPr>
        <w:pStyle w:val="FootnoteText"/>
      </w:pPr>
      <w:r>
        <w:rPr>
          <w:rStyle w:val="FootnoteReference"/>
        </w:rPr>
        <w:footnoteRef/>
      </w:r>
      <w:r>
        <w:t xml:space="preserve"> </w:t>
      </w:r>
      <w:r>
        <w:t xml:space="preserve">Belcourt 2026, PMID 41689811.</w:t>
      </w:r>
    </w:p>
  </w:footnote>
  <w:footnote w:id="123">
    <w:p>
      <w:pPr>
        <w:pStyle w:val="FootnoteText"/>
      </w:pPr>
      <w:r>
        <w:rPr>
          <w:rStyle w:val="FootnoteReference"/>
        </w:rPr>
        <w:footnoteRef/>
      </w:r>
      <w:r>
        <w:t xml:space="preserve"> </w:t>
      </w:r>
      <w:r>
        <w:t xml:space="preserve">Leng 2016, PMID 26049207.</w:t>
      </w:r>
    </w:p>
  </w:footnote>
  <w:footnote w:id="125">
    <w:p>
      <w:pPr>
        <w:pStyle w:val="FootnoteText"/>
      </w:pPr>
      <w:r>
        <w:rPr>
          <w:rStyle w:val="FootnoteReference"/>
        </w:rPr>
        <w:footnoteRef/>
      </w:r>
      <w:r>
        <w:t xml:space="preserve"> </w:t>
      </w:r>
      <w:r>
        <w:t xml:space="preserve">Heinemann 2008, PMID 19885220.</w:t>
      </w:r>
    </w:p>
  </w:footnote>
  <w:footnote w:id="127">
    <w:p>
      <w:pPr>
        <w:pStyle w:val="FootnoteText"/>
      </w:pPr>
      <w:r>
        <w:rPr>
          <w:rStyle w:val="FootnoteReference"/>
        </w:rPr>
        <w:footnoteRef/>
      </w:r>
      <w:r>
        <w:t xml:space="preserve"> </w:t>
      </w:r>
      <w:r>
        <w:t xml:space="preserve">Bos 2000, PMID 10839713.</w:t>
      </w:r>
    </w:p>
  </w:footnote>
  <w:footnote w:id="129">
    <w:p>
      <w:pPr>
        <w:pStyle w:val="FootnoteText"/>
      </w:pPr>
      <w:r>
        <w:rPr>
          <w:rStyle w:val="FootnoteReference"/>
        </w:rPr>
        <w:footnoteRef/>
      </w:r>
      <w:r>
        <w:t xml:space="preserve"> </w:t>
      </w:r>
      <w:r>
        <w:t xml:space="preserve">Hach 2024, PMID 39379664.</w:t>
      </w:r>
    </w:p>
  </w:footnote>
  <w:footnote w:id="131">
    <w:p>
      <w:pPr>
        <w:pStyle w:val="FootnoteText"/>
      </w:pPr>
      <w:r>
        <w:rPr>
          <w:rStyle w:val="FootnoteReference"/>
        </w:rPr>
        <w:footnoteRef/>
      </w:r>
      <w:r>
        <w:t xml:space="preserve"> </w:t>
      </w:r>
      <w:r>
        <w:t xml:space="preserve">Hach 2024, PMID 39379664.</w:t>
      </w:r>
    </w:p>
  </w:footnote>
  <w:footnote w:id="138">
    <w:p>
      <w:pPr>
        <w:pStyle w:val="FootnoteText"/>
      </w:pPr>
      <w:r>
        <w:rPr>
          <w:rStyle w:val="FootnoteReference"/>
        </w:rPr>
        <w:footnoteRef/>
      </w:r>
      <w:r>
        <w:t xml:space="preserve"> </w:t>
      </w:r>
      <w:r>
        <w:t xml:space="preserve">Perel 2007, PMID 17175568.</w:t>
      </w:r>
    </w:p>
  </w:footnote>
  <w:footnote w:id="142">
    <w:p>
      <w:pPr>
        <w:pStyle w:val="FootnoteText"/>
      </w:pPr>
      <w:r>
        <w:rPr>
          <w:rStyle w:val="FootnoteReference"/>
        </w:rPr>
        <w:footnoteRef/>
      </w:r>
      <w:r>
        <w:t xml:space="preserve"> </w:t>
      </w:r>
      <w:r>
        <w:t xml:space="preserve">Wilding 2021, PMID 33567185.</w:t>
      </w:r>
    </w:p>
  </w:footnote>
  <w:footnote w:id="143">
    <w:p>
      <w:pPr>
        <w:pStyle w:val="FootnoteText"/>
      </w:pPr>
      <w:r>
        <w:rPr>
          <w:rStyle w:val="FootnoteReference"/>
        </w:rPr>
        <w:footnoteRef/>
      </w:r>
      <w:r>
        <w:t xml:space="preserve"> </w:t>
      </w:r>
      <w:r>
        <w:t xml:space="preserve">Mendias 2026, PMID 41966639.</w:t>
      </w:r>
    </w:p>
  </w:footnote>
  <w:footnote w:id="146">
    <w:p>
      <w:pPr>
        <w:pStyle w:val="FootnoteText"/>
      </w:pPr>
      <w:r>
        <w:rPr>
          <w:rStyle w:val="FootnoteReference"/>
        </w:rPr>
        <w:footnoteRef/>
      </w:r>
      <w:r>
        <w:t xml:space="preserve"> </w:t>
      </w:r>
      <w:r>
        <w:t xml:space="preserve">Echt 1991, PMID 1900101.</w:t>
      </w:r>
    </w:p>
  </w:footnote>
  <w:footnote w:id="148">
    <w:p>
      <w:pPr>
        <w:pStyle w:val="FootnoteText"/>
      </w:pPr>
      <w:r>
        <w:rPr>
          <w:rStyle w:val="FootnoteReference"/>
        </w:rPr>
        <w:footnoteRef/>
      </w:r>
      <w:r>
        <w:t xml:space="preserve"> </w:t>
      </w:r>
      <w:r>
        <w:t xml:space="preserve">Lincoff 2023, PMID 37952131.</w:t>
      </w:r>
    </w:p>
  </w:footnote>
  <w:footnote w:id="149">
    <w:p>
      <w:pPr>
        <w:pStyle w:val="FootnoteText"/>
      </w:pPr>
      <w:r>
        <w:rPr>
          <w:rStyle w:val="FootnoteReference"/>
        </w:rPr>
        <w:footnoteRef/>
      </w:r>
      <w:r>
        <w:t xml:space="preserve"> </w:t>
      </w:r>
      <w:r>
        <w:t xml:space="preserve">Lincoff 2023, PMID 37952131.</w:t>
      </w:r>
    </w:p>
  </w:footnote>
  <w:footnote w:id="151">
    <w:p>
      <w:pPr>
        <w:pStyle w:val="FootnoteText"/>
      </w:pPr>
      <w:r>
        <w:rPr>
          <w:rStyle w:val="FootnoteReference"/>
        </w:rPr>
        <w:footnoteRef/>
      </w:r>
      <w:r>
        <w:t xml:space="preserve"> </w:t>
      </w:r>
      <w:r>
        <w:t xml:space="preserve">Wilding 2021, PMID 33567185.</w:t>
      </w:r>
    </w:p>
  </w:footnote>
  <w:footnote w:id="153">
    <w:p>
      <w:pPr>
        <w:pStyle w:val="FootnoteText"/>
      </w:pPr>
      <w:r>
        <w:rPr>
          <w:rStyle w:val="FootnoteReference"/>
        </w:rPr>
        <w:footnoteRef/>
      </w:r>
      <w:r>
        <w:t xml:space="preserve"> </w:t>
      </w:r>
      <w:r>
        <w:t xml:space="preserve">Aroda 2019, PMID 31186300.</w:t>
      </w:r>
    </w:p>
  </w:footnote>
  <w:footnote w:id="155">
    <w:p>
      <w:pPr>
        <w:pStyle w:val="FootnoteText"/>
      </w:pPr>
      <w:r>
        <w:rPr>
          <w:rStyle w:val="FootnoteReference"/>
        </w:rPr>
        <w:footnoteRef/>
      </w:r>
      <w:r>
        <w:t xml:space="preserve"> </w:t>
      </w:r>
      <w:r>
        <w:t xml:space="preserve">Ioannidis 2005, PMID 16060722.</w:t>
      </w:r>
    </w:p>
  </w:footnote>
  <w:footnote w:id="157">
    <w:p>
      <w:pPr>
        <w:pStyle w:val="FootnoteText"/>
      </w:pPr>
      <w:r>
        <w:rPr>
          <w:rStyle w:val="FootnoteReference"/>
        </w:rPr>
        <w:footnoteRef/>
      </w:r>
      <w:r>
        <w:t xml:space="preserve"> </w:t>
      </w:r>
      <w:r>
        <w:t xml:space="preserve">Lundh 2017, PMID 28207928.</w:t>
      </w:r>
    </w:p>
  </w:footnote>
  <w:footnote w:id="159">
    <w:p>
      <w:pPr>
        <w:pStyle w:val="FootnoteText"/>
      </w:pPr>
      <w:r>
        <w:rPr>
          <w:rStyle w:val="FootnoteReference"/>
        </w:rPr>
        <w:footnoteRef/>
      </w:r>
      <w:r>
        <w:t xml:space="preserve"> </w:t>
      </w:r>
      <w:r>
        <w:t xml:space="preserve">Turner 2008, PMID 18199864.</w:t>
      </w:r>
    </w:p>
  </w:footnote>
  <w:footnote w:id="161">
    <w:p>
      <w:pPr>
        <w:pStyle w:val="FootnoteText"/>
      </w:pPr>
      <w:r>
        <w:rPr>
          <w:rStyle w:val="FootnoteReference"/>
        </w:rPr>
        <w:footnoteRef/>
      </w:r>
      <w:r>
        <w:t xml:space="preserve"> </w:t>
      </w:r>
      <w:r>
        <w:t xml:space="preserve">DeAngelis 2004, PMID 15355936.</w:t>
      </w:r>
    </w:p>
  </w:footnote>
  <w:footnote w:id="168">
    <w:p>
      <w:pPr>
        <w:pStyle w:val="FootnoteText"/>
      </w:pPr>
      <w:r>
        <w:rPr>
          <w:rStyle w:val="FootnoteReference"/>
        </w:rPr>
        <w:footnoteRef/>
      </w:r>
      <w:r>
        <w:t xml:space="preserve"> </w:t>
      </w:r>
      <w:r>
        <w:t xml:space="preserve">Belcourt 2025, PMID 39285774.</w:t>
      </w:r>
    </w:p>
  </w:footnote>
  <w:footnote w:id="169">
    <w:p>
      <w:pPr>
        <w:pStyle w:val="FootnoteText"/>
      </w:pPr>
      <w:r>
        <w:rPr>
          <w:rStyle w:val="FootnoteReference"/>
        </w:rPr>
        <w:footnoteRef/>
      </w:r>
      <w:r>
        <w:t xml:space="preserve"> </w:t>
      </w:r>
      <w:r>
        <w:t xml:space="preserve">Sedensky 2026, PMID 42541373.</w:t>
      </w:r>
    </w:p>
  </w:footnote>
  <w:footnote w:id="171">
    <w:p>
      <w:pPr>
        <w:pStyle w:val="FootnoteText"/>
      </w:pPr>
      <w:r>
        <w:rPr>
          <w:rStyle w:val="FootnoteReference"/>
        </w:rPr>
        <w:footnoteRef/>
      </w:r>
      <w:r>
        <w:t xml:space="preserve"> </w:t>
      </w:r>
      <w:r>
        <w:t xml:space="preserve">Ashraf 2024, PMID 39509151.</w:t>
      </w:r>
    </w:p>
  </w:footnote>
  <w:footnote w:id="173">
    <w:p>
      <w:pPr>
        <w:pStyle w:val="FootnoteText"/>
      </w:pPr>
      <w:r>
        <w:rPr>
          <w:rStyle w:val="FootnoteReference"/>
        </w:rPr>
        <w:footnoteRef/>
      </w:r>
      <w:r>
        <w:t xml:space="preserve"> </w:t>
      </w:r>
      <w:r>
        <w:t xml:space="preserve">Hach 2024, PMID 39379664.</w:t>
      </w:r>
    </w:p>
  </w:footnote>
  <w:footnote w:id="175">
    <w:p>
      <w:pPr>
        <w:pStyle w:val="FootnoteText"/>
      </w:pPr>
      <w:r>
        <w:rPr>
          <w:rStyle w:val="FootnoteReference"/>
        </w:rPr>
        <w:footnoteRef/>
      </w:r>
      <w:r>
        <w:t xml:space="preserve"> </w:t>
      </w:r>
      <w:r>
        <w:t xml:space="preserve">Breindahl 2015, PMID 24771717.</w:t>
      </w:r>
    </w:p>
  </w:footnote>
  <w:footnote w:id="177">
    <w:p>
      <w:pPr>
        <w:pStyle w:val="FootnoteText"/>
      </w:pPr>
      <w:r>
        <w:rPr>
          <w:rStyle w:val="FootnoteReference"/>
        </w:rPr>
        <w:footnoteRef/>
      </w:r>
      <w:r>
        <w:t xml:space="preserve"> </w:t>
      </w:r>
      <w:r>
        <w:t xml:space="preserve">Kohler 2010, PMID 21204286.</w:t>
      </w:r>
    </w:p>
  </w:footnote>
  <w:footnote w:id="178">
    <w:p>
      <w:pPr>
        <w:pStyle w:val="FootnoteText"/>
      </w:pPr>
      <w:r>
        <w:rPr>
          <w:rStyle w:val="FootnoteReference"/>
        </w:rPr>
        <w:footnoteRef/>
      </w:r>
      <w:r>
        <w:t xml:space="preserve"> </w:t>
      </w:r>
      <w:r>
        <w:t xml:space="preserve">Thomas 2010, PMID 20878896.</w:t>
      </w:r>
    </w:p>
  </w:footnote>
  <w:footnote w:id="179">
    <w:p>
      <w:pPr>
        <w:pStyle w:val="FootnoteText"/>
      </w:pPr>
      <w:r>
        <w:rPr>
          <w:rStyle w:val="FootnoteReference"/>
        </w:rPr>
        <w:footnoteRef/>
      </w:r>
      <w:r>
        <w:t xml:space="preserve"> </w:t>
      </w:r>
      <w:r>
        <w:t xml:space="preserve">Krug 2014, PMID 25168622.</w:t>
      </w:r>
    </w:p>
  </w:footnote>
  <w:footnote w:id="180">
    <w:p>
      <w:pPr>
        <w:pStyle w:val="FootnoteText"/>
      </w:pPr>
      <w:r>
        <w:rPr>
          <w:rStyle w:val="FootnoteReference"/>
        </w:rPr>
        <w:footnoteRef/>
      </w:r>
      <w:r>
        <w:t xml:space="preserve"> </w:t>
      </w:r>
      <w:r>
        <w:t xml:space="preserve">Hullstein 2015, PMID 26607218.</w:t>
      </w:r>
    </w:p>
  </w:footnote>
  <w:footnote w:id="181">
    <w:p>
      <w:pPr>
        <w:pStyle w:val="FootnoteText"/>
      </w:pPr>
      <w:r>
        <w:rPr>
          <w:rStyle w:val="FootnoteReference"/>
        </w:rPr>
        <w:footnoteRef/>
      </w:r>
      <w:r>
        <w:t xml:space="preserve"> </w:t>
      </w:r>
      <w:r>
        <w:t xml:space="preserve">Krug 2018, PMID 29864719.</w:t>
      </w:r>
    </w:p>
  </w:footnote>
  <w:footnote w:id="182">
    <w:p>
      <w:pPr>
        <w:pStyle w:val="FootnoteText"/>
      </w:pPr>
      <w:r>
        <w:rPr>
          <w:rStyle w:val="FootnoteReference"/>
        </w:rPr>
        <w:footnoteRef/>
      </w:r>
      <w:r>
        <w:t xml:space="preserve"> </w:t>
      </w:r>
      <w:r>
        <w:t xml:space="preserve">Cox 2017, PMID 28035768.</w:t>
      </w:r>
    </w:p>
  </w:footnote>
  <w:footnote w:id="183">
    <w:p>
      <w:pPr>
        <w:pStyle w:val="FootnoteText"/>
      </w:pPr>
      <w:r>
        <w:rPr>
          <w:rStyle w:val="FootnoteReference"/>
        </w:rPr>
        <w:footnoteRef/>
      </w:r>
      <w:r>
        <w:t xml:space="preserve"> </w:t>
      </w:r>
      <w:r>
        <w:t xml:space="preserve">Janvier 2018, PMID 30165334.</w:t>
      </w:r>
    </w:p>
  </w:footnote>
  <w:footnote w:id="187">
    <w:p>
      <w:pPr>
        <w:pStyle w:val="FootnoteText"/>
      </w:pPr>
      <w:r>
        <w:rPr>
          <w:rStyle w:val="FootnoteReference"/>
        </w:rPr>
        <w:footnoteRef/>
      </w:r>
      <w:r>
        <w:t xml:space="preserve"> </w:t>
      </w:r>
      <w:r>
        <w:t xml:space="preserve">Ashraf 2024, PMID 39509151.</w:t>
      </w:r>
    </w:p>
  </w:footnote>
  <w:footnote w:id="189">
    <w:p>
      <w:pPr>
        <w:pStyle w:val="FootnoteText"/>
      </w:pPr>
      <w:r>
        <w:rPr>
          <w:rStyle w:val="FootnoteReference"/>
        </w:rPr>
        <w:footnoteRef/>
      </w:r>
      <w:r>
        <w:t xml:space="preserve"> </w:t>
      </w:r>
      <w:r>
        <w:t xml:space="preserve">Ashraf 2024, PMID 39509151.</w:t>
      </w:r>
    </w:p>
  </w:footnote>
  <w:footnote w:id="191">
    <w:p>
      <w:pPr>
        <w:pStyle w:val="FootnoteText"/>
      </w:pPr>
      <w:r>
        <w:rPr>
          <w:rStyle w:val="FootnoteReference"/>
        </w:rPr>
        <w:footnoteRef/>
      </w:r>
      <w:r>
        <w:t xml:space="preserve"> </w:t>
      </w:r>
      <w:r>
        <w:t xml:space="preserve">Lambson 2023, PMID 37392810.</w:t>
      </w:r>
    </w:p>
  </w:footnote>
  <w:footnote w:id="193">
    <w:p>
      <w:pPr>
        <w:pStyle w:val="FootnoteText"/>
      </w:pPr>
      <w:r>
        <w:rPr>
          <w:rStyle w:val="FootnoteReference"/>
        </w:rPr>
        <w:footnoteRef/>
      </w:r>
      <w:r>
        <w:t xml:space="preserve"> </w:t>
      </w:r>
      <w:r>
        <w:t xml:space="preserve">Ruder 2024, PMID 39028647.</w:t>
      </w:r>
    </w:p>
  </w:footnote>
  <w:footnote w:id="194">
    <w:p>
      <w:pPr>
        <w:pStyle w:val="FootnoteText"/>
      </w:pPr>
      <w:r>
        <w:rPr>
          <w:rStyle w:val="FootnoteReference"/>
        </w:rPr>
        <w:footnoteRef/>
      </w:r>
      <w:r>
        <w:t xml:space="preserve"> </w:t>
      </w:r>
      <w:r>
        <w:t xml:space="preserve">Antonacci 2026, PMID 41125326.</w:t>
      </w:r>
    </w:p>
  </w:footnote>
  <w:footnote w:id="195">
    <w:p>
      <w:pPr>
        <w:pStyle w:val="FootnoteText"/>
      </w:pPr>
      <w:r>
        <w:rPr>
          <w:rStyle w:val="FootnoteReference"/>
        </w:rPr>
        <w:footnoteRef/>
      </w:r>
      <w:r>
        <w:t xml:space="preserve"> </w:t>
      </w:r>
      <w:r>
        <w:t xml:space="preserve">Stammers 2026, PMID 42390457.</w:t>
      </w:r>
    </w:p>
  </w:footnote>
  <w:footnote w:id="196">
    <w:p>
      <w:pPr>
        <w:pStyle w:val="FootnoteText"/>
      </w:pPr>
      <w:r>
        <w:rPr>
          <w:rStyle w:val="FootnoteReference"/>
        </w:rPr>
        <w:footnoteRef/>
      </w:r>
      <w:r>
        <w:t xml:space="preserve"> </w:t>
      </w:r>
      <w:r>
        <w:t xml:space="preserve">Zinzi 2026, PMID 42137313.</w:t>
      </w:r>
    </w:p>
  </w:footnote>
  <w:footnote w:id="198">
    <w:p>
      <w:pPr>
        <w:pStyle w:val="FootnoteText"/>
      </w:pPr>
      <w:r>
        <w:rPr>
          <w:rStyle w:val="FootnoteReference"/>
        </w:rPr>
        <w:footnoteRef/>
      </w:r>
      <w:r>
        <w:t xml:space="preserve"> </w:t>
      </w:r>
      <w:r>
        <w:t xml:space="preserve">Rubin 2026, PMID 42853576.</w:t>
      </w:r>
    </w:p>
  </w:footnote>
  <w:footnote w:id="199">
    <w:p>
      <w:pPr>
        <w:pStyle w:val="FootnoteText"/>
      </w:pPr>
      <w:r>
        <w:rPr>
          <w:rStyle w:val="FootnoteReference"/>
        </w:rPr>
        <w:footnoteRef/>
      </w:r>
      <w:r>
        <w:t xml:space="preserve"> </w:t>
      </w:r>
      <w:r>
        <w:t xml:space="preserve">Buzzi 2026, PMID 42843917.</w:t>
      </w:r>
    </w:p>
  </w:footnote>
  <w:footnote w:id="201">
    <w:p>
      <w:pPr>
        <w:pStyle w:val="FootnoteText"/>
      </w:pPr>
      <w:r>
        <w:rPr>
          <w:rStyle w:val="FootnoteReference"/>
        </w:rPr>
        <w:footnoteRef/>
      </w:r>
      <w:r>
        <w:t xml:space="preserve"> </w:t>
      </w:r>
      <w:r>
        <w:t xml:space="preserve">Nelson 2012, PMID 23121206.</w:t>
      </w:r>
    </w:p>
  </w:footnote>
  <w:footnote w:id="202">
    <w:p>
      <w:pPr>
        <w:pStyle w:val="FootnoteText"/>
      </w:pPr>
      <w:r>
        <w:rPr>
          <w:rStyle w:val="FootnoteReference"/>
        </w:rPr>
        <w:footnoteRef/>
      </w:r>
      <w:r>
        <w:t xml:space="preserve"> </w:t>
      </w:r>
      <w:r>
        <w:t xml:space="preserve">Moiz 2026, PMID 42757290.</w:t>
      </w:r>
    </w:p>
  </w:footnote>
  <w:footnote w:id="203">
    <w:p>
      <w:pPr>
        <w:pStyle w:val="FootnoteText"/>
      </w:pPr>
      <w:r>
        <w:rPr>
          <w:rStyle w:val="FootnoteReference"/>
        </w:rPr>
        <w:footnoteRef/>
      </w:r>
      <w:r>
        <w:t xml:space="preserve"> </w:t>
      </w:r>
      <w:r>
        <w:t xml:space="preserve">Mendias 2026, PMID 41966639.</w:t>
      </w:r>
    </w:p>
  </w:footnote>
  <w:footnote w:id="205">
    <w:p>
      <w:pPr>
        <w:pStyle w:val="FootnoteText"/>
      </w:pPr>
      <w:r>
        <w:rPr>
          <w:rStyle w:val="FootnoteReference"/>
        </w:rPr>
        <w:footnoteRef/>
      </w:r>
      <w:r>
        <w:t xml:space="preserve"> </w:t>
      </w:r>
      <w:r>
        <w:t xml:space="preserve">McCall 2026, PMID 40285721.</w:t>
      </w:r>
    </w:p>
  </w:footnote>
  <w:footnote w:id="206">
    <w:p>
      <w:pPr>
        <w:pStyle w:val="FootnoteText"/>
      </w:pPr>
      <w:r>
        <w:rPr>
          <w:rStyle w:val="FootnoteReference"/>
        </w:rPr>
        <w:footnoteRef/>
      </w:r>
      <w:r>
        <w:t xml:space="preserve"> </w:t>
      </w:r>
      <w:r>
        <w:t xml:space="preserve">Belcourt 2026, PMID 41689811.</w:t>
      </w:r>
    </w:p>
  </w:footnote>
  <w:footnote w:id="208">
    <w:p>
      <w:pPr>
        <w:pStyle w:val="FootnoteText"/>
      </w:pPr>
      <w:r>
        <w:rPr>
          <w:rStyle w:val="FootnoteReference"/>
        </w:rPr>
        <w:footnoteRef/>
      </w:r>
      <w:r>
        <w:t xml:space="preserve"> </w:t>
      </w:r>
      <w:r>
        <w:t xml:space="preserve">Hailu 2026, PMID 42437212.</w:t>
      </w:r>
    </w:p>
  </w:footnote>
  <w:footnote w:id="216">
    <w:p>
      <w:pPr>
        <w:pStyle w:val="FootnoteText"/>
      </w:pPr>
      <w:r>
        <w:rPr>
          <w:rStyle w:val="FootnoteReference"/>
        </w:rPr>
        <w:footnoteRef/>
      </w:r>
      <w:r>
        <w:t xml:space="preserve"> </w:t>
      </w:r>
      <w:r>
        <w:t xml:space="preserve">Thomas 2010, PMID 20878896.</w:t>
      </w:r>
    </w:p>
  </w:footnote>
  <w:footnote w:id="222">
    <w:p>
      <w:pPr>
        <w:pStyle w:val="FootnoteText"/>
      </w:pPr>
      <w:r>
        <w:rPr>
          <w:rStyle w:val="FootnoteReference"/>
        </w:rPr>
        <w:footnoteRef/>
      </w:r>
      <w:r>
        <w:t xml:space="preserve"> </w:t>
      </w:r>
      <w:r>
        <w:t xml:space="preserve">Belcourt 2026, PMID 41689811.</w:t>
      </w:r>
    </w:p>
  </w:footnote>
  <w:footnote w:id="223">
    <w:p>
      <w:pPr>
        <w:pStyle w:val="FootnoteText"/>
      </w:pPr>
      <w:r>
        <w:rPr>
          <w:rStyle w:val="FootnoteReference"/>
        </w:rPr>
        <w:footnoteRef/>
      </w:r>
      <w:r>
        <w:t xml:space="preserve"> </w:t>
      </w:r>
      <w:r>
        <w:t xml:space="preserve">Belcourt 2025, PMID 39285774.</w:t>
      </w:r>
    </w:p>
  </w:footnote>
  <w:footnote w:id="225">
    <w:p>
      <w:pPr>
        <w:pStyle w:val="FootnoteText"/>
      </w:pPr>
      <w:r>
        <w:rPr>
          <w:rStyle w:val="FootnoteReference"/>
        </w:rPr>
        <w:footnoteRef/>
      </w:r>
      <w:r>
        <w:t xml:space="preserve"> </w:t>
      </w:r>
      <w:r>
        <w:t xml:space="preserve">Cox 2017, PMID 28035768.</w:t>
      </w:r>
    </w:p>
  </w:footnote>
  <w:footnote w:id="235">
    <w:p>
      <w:pPr>
        <w:pStyle w:val="FootnoteText"/>
      </w:pPr>
      <w:r>
        <w:rPr>
          <w:rStyle w:val="FootnoteReference"/>
        </w:rPr>
        <w:footnoteRef/>
      </w:r>
      <w:r>
        <w:t xml:space="preserve"> </w:t>
      </w:r>
      <w:r>
        <w:t xml:space="preserve">Eng 1992, PMID 1313797.</w:t>
      </w:r>
    </w:p>
  </w:footnote>
  <w:footnote w:id="238">
    <w:p>
      <w:pPr>
        <w:pStyle w:val="FootnoteText"/>
      </w:pPr>
      <w:r>
        <w:rPr>
          <w:rStyle w:val="FootnoteReference"/>
        </w:rPr>
        <w:footnoteRef/>
      </w:r>
      <w:r>
        <w:t xml:space="preserve"> </w:t>
      </w:r>
      <w:r>
        <w:t xml:space="preserve">Heine 2005, PMID 16230722.</w:t>
      </w:r>
    </w:p>
  </w:footnote>
  <w:footnote w:id="240">
    <w:p>
      <w:pPr>
        <w:pStyle w:val="FootnoteText"/>
      </w:pPr>
      <w:r>
        <w:rPr>
          <w:rStyle w:val="FootnoteReference"/>
        </w:rPr>
        <w:footnoteRef/>
      </w:r>
      <w:r>
        <w:t xml:space="preserve"> </w:t>
      </w:r>
      <w:r>
        <w:t xml:space="preserve">Wysham 2015, PMID 25744115.</w:t>
      </w:r>
    </w:p>
  </w:footnote>
  <w:footnote w:id="241">
    <w:p>
      <w:pPr>
        <w:pStyle w:val="FootnoteText"/>
      </w:pPr>
      <w:r>
        <w:rPr>
          <w:rStyle w:val="FootnoteReference"/>
        </w:rPr>
        <w:footnoteRef/>
      </w:r>
      <w:r>
        <w:t xml:space="preserve"> </w:t>
      </w:r>
      <w:r>
        <w:t xml:space="preserve">Bergenstal 2010, PMID 20580422.</w:t>
      </w:r>
    </w:p>
  </w:footnote>
  <w:footnote w:id="242">
    <w:p>
      <w:pPr>
        <w:pStyle w:val="FootnoteText"/>
      </w:pPr>
      <w:r>
        <w:rPr>
          <w:rStyle w:val="FootnoteReference"/>
        </w:rPr>
        <w:footnoteRef/>
      </w:r>
      <w:r>
        <w:t xml:space="preserve"> </w:t>
      </w:r>
      <w:r>
        <w:t xml:space="preserve">Diamant 2010, PMID 20609969.</w:t>
      </w:r>
    </w:p>
  </w:footnote>
  <w:footnote w:id="244">
    <w:p>
      <w:pPr>
        <w:pStyle w:val="FootnoteText"/>
      </w:pPr>
      <w:r>
        <w:rPr>
          <w:rStyle w:val="FootnoteReference"/>
        </w:rPr>
        <w:footnoteRef/>
      </w:r>
      <w:r>
        <w:t xml:space="preserve"> </w:t>
      </w:r>
      <w:r>
        <w:t xml:space="preserve">Buse 2013, PMID 23141817.</w:t>
      </w:r>
    </w:p>
  </w:footnote>
  <w:footnote w:id="245">
    <w:p>
      <w:pPr>
        <w:pStyle w:val="FootnoteText"/>
      </w:pPr>
      <w:r>
        <w:rPr>
          <w:rStyle w:val="FootnoteReference"/>
        </w:rPr>
        <w:footnoteRef/>
      </w:r>
      <w:r>
        <w:t xml:space="preserve"> </w:t>
      </w:r>
      <w:r>
        <w:t xml:space="preserve">Ahmann 2018, PMID 29246950.</w:t>
      </w:r>
    </w:p>
  </w:footnote>
  <w:footnote w:id="247">
    <w:p>
      <w:pPr>
        <w:pStyle w:val="FootnoteText"/>
      </w:pPr>
      <w:r>
        <w:rPr>
          <w:rStyle w:val="FootnoteReference"/>
        </w:rPr>
        <w:footnoteRef/>
      </w:r>
      <w:r>
        <w:t xml:space="preserve"> </w:t>
      </w:r>
      <w:r>
        <w:t xml:space="preserve">Holman 2017, PMID 28910237.</w:t>
      </w:r>
    </w:p>
  </w:footnote>
  <w:footnote w:id="248">
    <w:p>
      <w:pPr>
        <w:pStyle w:val="FootnoteText"/>
      </w:pPr>
      <w:r>
        <w:rPr>
          <w:rStyle w:val="FootnoteReference"/>
        </w:rPr>
        <w:footnoteRef/>
      </w:r>
      <w:r>
        <w:t xml:space="preserve"> </w:t>
      </w:r>
      <w:r>
        <w:t xml:space="preserve">Kristensen 2019, PMID 31422062.</w:t>
      </w:r>
    </w:p>
  </w:footnote>
  <w:footnote w:id="249">
    <w:p>
      <w:pPr>
        <w:pStyle w:val="FootnoteText"/>
      </w:pPr>
      <w:r>
        <w:rPr>
          <w:rStyle w:val="FootnoteReference"/>
        </w:rPr>
        <w:footnoteRef/>
      </w:r>
      <w:r>
        <w:t xml:space="preserve"> </w:t>
      </w:r>
      <w:r>
        <w:t xml:space="preserve">Ruff 2022, PMID 34873344.</w:t>
      </w:r>
    </w:p>
  </w:footnote>
  <w:footnote w:id="251">
    <w:p>
      <w:pPr>
        <w:pStyle w:val="FootnoteText"/>
      </w:pPr>
      <w:r>
        <w:rPr>
          <w:rStyle w:val="FootnoteReference"/>
        </w:rPr>
        <w:footnoteRef/>
      </w:r>
      <w:r>
        <w:t xml:space="preserve"> </w:t>
      </w:r>
      <w:r>
        <w:t xml:space="preserve">Rosenstock 2010, PMID 20332357.</w:t>
      </w:r>
    </w:p>
  </w:footnote>
  <w:footnote w:id="252">
    <w:p>
      <w:pPr>
        <w:pStyle w:val="FootnoteText"/>
      </w:pPr>
      <w:r>
        <w:rPr>
          <w:rStyle w:val="FootnoteReference"/>
        </w:rPr>
        <w:footnoteRef/>
      </w:r>
      <w:r>
        <w:t xml:space="preserve"> </w:t>
      </w:r>
      <w:r>
        <w:t xml:space="preserve">Su 2016, PMID 27343423.</w:t>
      </w:r>
    </w:p>
  </w:footnote>
  <w:footnote w:id="253">
    <w:p>
      <w:pPr>
        <w:pStyle w:val="FootnoteText"/>
      </w:pPr>
      <w:r>
        <w:rPr>
          <w:rStyle w:val="FootnoteReference"/>
        </w:rPr>
        <w:footnoteRef/>
      </w:r>
      <w:r>
        <w:t xml:space="preserve"> </w:t>
      </w:r>
      <w:r>
        <w:t xml:space="preserve">Tamborlane 2022, PMID 35679098.</w:t>
      </w:r>
    </w:p>
  </w:footnote>
  <w:footnote w:id="255">
    <w:p>
      <w:pPr>
        <w:pStyle w:val="FootnoteText"/>
      </w:pPr>
      <w:r>
        <w:rPr>
          <w:rStyle w:val="FootnoteReference"/>
        </w:rPr>
        <w:footnoteRef/>
      </w:r>
      <w:r>
        <w:t xml:space="preserve"> </w:t>
      </w:r>
      <w:r>
        <w:t xml:space="preserve">PMID 28781108.</w:t>
      </w:r>
    </w:p>
  </w:footnote>
  <w:footnote w:id="256">
    <w:p>
      <w:pPr>
        <w:pStyle w:val="FootnoteText"/>
      </w:pPr>
      <w:r>
        <w:rPr>
          <w:rStyle w:val="FootnoteReference"/>
        </w:rPr>
        <w:footnoteRef/>
      </w:r>
      <w:r>
        <w:t xml:space="preserve"> </w:t>
      </w:r>
      <w:r>
        <w:t xml:space="preserve">Vijiaratnam 2025, PMID 39919773.</w:t>
      </w:r>
    </w:p>
  </w:footnote>
  <w:footnote w:id="257">
    <w:p>
      <w:pPr>
        <w:pStyle w:val="FootnoteText"/>
      </w:pPr>
      <w:r>
        <w:rPr>
          <w:rStyle w:val="FootnoteReference"/>
        </w:rPr>
        <w:footnoteRef/>
      </w:r>
      <w:r>
        <w:t xml:space="preserve"> </w:t>
      </w:r>
      <w:r>
        <w:t xml:space="preserve">McGarry 2024, PMID 38101901.</w:t>
      </w:r>
    </w:p>
  </w:footnote>
  <w:footnote w:id="258">
    <w:p>
      <w:pPr>
        <w:pStyle w:val="FootnoteText"/>
      </w:pPr>
      <w:r>
        <w:rPr>
          <w:rStyle w:val="FootnoteReference"/>
        </w:rPr>
        <w:footnoteRef/>
      </w:r>
      <w:r>
        <w:t xml:space="preserve"> </w:t>
      </w:r>
      <w:r>
        <w:t xml:space="preserve">Vijiaratnam 2025, PMID 40727970.</w:t>
      </w:r>
    </w:p>
  </w:footnote>
  <w:footnote w:id="260">
    <w:p>
      <w:pPr>
        <w:pStyle w:val="FootnoteText"/>
      </w:pPr>
      <w:r>
        <w:rPr>
          <w:rStyle w:val="FootnoteReference"/>
        </w:rPr>
        <w:footnoteRef/>
      </w:r>
      <w:r>
        <w:t xml:space="preserve"> </w:t>
      </w:r>
      <w:r>
        <w:t xml:space="preserve">Mullins 2019, PMID 31518224.</w:t>
      </w:r>
    </w:p>
  </w:footnote>
  <w:footnote w:id="261">
    <w:p>
      <w:pPr>
        <w:pStyle w:val="FootnoteText"/>
      </w:pPr>
      <w:r>
        <w:rPr>
          <w:rStyle w:val="FootnoteReference"/>
        </w:rPr>
        <w:footnoteRef/>
      </w:r>
      <w:r>
        <w:t xml:space="preserve"> </w:t>
      </w:r>
      <w:r>
        <w:t xml:space="preserve">Dei Cas 2024, PMID 38565814.</w:t>
      </w:r>
    </w:p>
  </w:footnote>
  <w:footnote w:id="262">
    <w:p>
      <w:pPr>
        <w:pStyle w:val="FootnoteText"/>
      </w:pPr>
      <w:r>
        <w:rPr>
          <w:rStyle w:val="FootnoteReference"/>
        </w:rPr>
        <w:footnoteRef/>
      </w:r>
      <w:r>
        <w:t xml:space="preserve"> </w:t>
      </w:r>
      <w:r>
        <w:t xml:space="preserve">Klausen 2022, PMID 36066977.</w:t>
      </w:r>
    </w:p>
  </w:footnote>
  <w:footnote w:id="263">
    <w:p>
      <w:pPr>
        <w:pStyle w:val="FootnoteText"/>
      </w:pPr>
      <w:r>
        <w:rPr>
          <w:rStyle w:val="FootnoteReference"/>
        </w:rPr>
        <w:footnoteRef/>
      </w:r>
      <w:r>
        <w:t xml:space="preserve"> </w:t>
      </w:r>
      <w:r>
        <w:t xml:space="preserve">Mitchell 2023, PMID 36907221.</w:t>
      </w:r>
    </w:p>
  </w:footnote>
  <w:footnote w:id="266">
    <w:p>
      <w:pPr>
        <w:pStyle w:val="FootnoteText"/>
      </w:pPr>
      <w:r>
        <w:rPr>
          <w:rStyle w:val="FootnoteReference"/>
        </w:rPr>
        <w:footnoteRef/>
      </w:r>
      <w:r>
        <w:t xml:space="preserve"> </w:t>
      </w:r>
      <w:r>
        <w:t xml:space="preserve">Eng 1992, PMID 1313797.</w:t>
      </w:r>
    </w:p>
  </w:footnote>
  <w:footnote w:id="267">
    <w:p>
      <w:pPr>
        <w:pStyle w:val="FootnoteText"/>
      </w:pPr>
      <w:r>
        <w:rPr>
          <w:rStyle w:val="FootnoteReference"/>
        </w:rPr>
        <w:footnoteRef/>
      </w:r>
      <w:r>
        <w:t xml:space="preserve"> </w:t>
      </w:r>
      <w:r>
        <w:t xml:space="preserve">Xu 1999, PMID 10580413.</w:t>
      </w:r>
    </w:p>
  </w:footnote>
  <w:footnote w:id="268">
    <w:p>
      <w:pPr>
        <w:pStyle w:val="FootnoteText"/>
      </w:pPr>
      <w:r>
        <w:rPr>
          <w:rStyle w:val="FootnoteReference"/>
        </w:rPr>
        <w:footnoteRef/>
      </w:r>
      <w:r>
        <w:t xml:space="preserve"> </w:t>
      </w:r>
      <w:r>
        <w:t xml:space="preserve">Bjerre Knudsen 2010, PMID 20203154.</w:t>
      </w:r>
    </w:p>
  </w:footnote>
  <w:footnote w:id="270">
    <w:p>
      <w:pPr>
        <w:pStyle w:val="FootnoteText"/>
      </w:pPr>
      <w:r>
        <w:rPr>
          <w:rStyle w:val="FootnoteReference"/>
        </w:rPr>
        <w:footnoteRef/>
      </w:r>
      <w:r>
        <w:t xml:space="preserve"> </w:t>
      </w:r>
      <w:r>
        <w:t xml:space="preserve">Heine 2005, PMID 16230722.</w:t>
      </w:r>
    </w:p>
  </w:footnote>
  <w:footnote w:id="271">
    <w:p>
      <w:pPr>
        <w:pStyle w:val="FootnoteText"/>
      </w:pPr>
      <w:r>
        <w:rPr>
          <w:rStyle w:val="FootnoteReference"/>
        </w:rPr>
        <w:footnoteRef/>
      </w:r>
      <w:r>
        <w:t xml:space="preserve"> </w:t>
      </w:r>
      <w:r>
        <w:t xml:space="preserve">Buse 2013, PMID 23141817.</w:t>
      </w:r>
    </w:p>
  </w:footnote>
  <w:footnote w:id="272">
    <w:p>
      <w:pPr>
        <w:pStyle w:val="FootnoteText"/>
      </w:pPr>
      <w:r>
        <w:rPr>
          <w:rStyle w:val="FootnoteReference"/>
        </w:rPr>
        <w:footnoteRef/>
      </w:r>
      <w:r>
        <w:t xml:space="preserve"> </w:t>
      </w:r>
      <w:r>
        <w:t xml:space="preserve">Kendall 2005, PMID 15855571.</w:t>
      </w:r>
    </w:p>
  </w:footnote>
  <w:footnote w:id="273">
    <w:p>
      <w:pPr>
        <w:pStyle w:val="FootnoteText"/>
      </w:pPr>
      <w:r>
        <w:rPr>
          <w:rStyle w:val="FootnoteReference"/>
        </w:rPr>
        <w:footnoteRef/>
      </w:r>
      <w:r>
        <w:t xml:space="preserve"> </w:t>
      </w:r>
      <w:r>
        <w:t xml:space="preserve">Wysham 2015, PMID 25744115.</w:t>
      </w:r>
    </w:p>
  </w:footnote>
  <w:footnote w:id="274">
    <w:p>
      <w:pPr>
        <w:pStyle w:val="FootnoteText"/>
      </w:pPr>
      <w:r>
        <w:rPr>
          <w:rStyle w:val="FootnoteReference"/>
        </w:rPr>
        <w:footnoteRef/>
      </w:r>
      <w:r>
        <w:t xml:space="preserve"> </w:t>
      </w:r>
      <w:r>
        <w:t xml:space="preserve">Dore 2013, PMID 23981106.</w:t>
      </w:r>
    </w:p>
  </w:footnote>
  <w:footnote w:id="275">
    <w:p>
      <w:pPr>
        <w:pStyle w:val="FootnoteText"/>
      </w:pPr>
      <w:r>
        <w:rPr>
          <w:rStyle w:val="FootnoteReference"/>
        </w:rPr>
        <w:footnoteRef/>
      </w:r>
      <w:r>
        <w:t xml:space="preserve"> </w:t>
      </w:r>
      <w:r>
        <w:t xml:space="preserve">Holman 2017, PMID 28910237.</w:t>
      </w:r>
    </w:p>
  </w:footnote>
  <w:footnote w:id="276">
    <w:p>
      <w:pPr>
        <w:pStyle w:val="FootnoteText"/>
      </w:pPr>
      <w:r>
        <w:rPr>
          <w:rStyle w:val="FootnoteReference"/>
        </w:rPr>
        <w:footnoteRef/>
      </w:r>
      <w:r>
        <w:t xml:space="preserve"> </w:t>
      </w:r>
      <w:r>
        <w:t xml:space="preserve">Liang 2019, PMID 30474347.</w:t>
      </w:r>
    </w:p>
  </w:footnote>
  <w:footnote w:id="277">
    <w:p>
      <w:pPr>
        <w:pStyle w:val="FootnoteText"/>
      </w:pPr>
      <w:r>
        <w:rPr>
          <w:rStyle w:val="FootnoteReference"/>
        </w:rPr>
        <w:footnoteRef/>
      </w:r>
      <w:r>
        <w:t xml:space="preserve"> </w:t>
      </w:r>
      <w:r>
        <w:t xml:space="preserve">Silverii 2025, PMID 40437949.</w:t>
      </w:r>
    </w:p>
  </w:footnote>
  <w:footnote w:id="278">
    <w:p>
      <w:pPr>
        <w:pStyle w:val="FootnoteText"/>
      </w:pPr>
      <w:r>
        <w:rPr>
          <w:rStyle w:val="FootnoteReference"/>
        </w:rPr>
        <w:footnoteRef/>
      </w:r>
      <w:r>
        <w:t xml:space="preserve"> </w:t>
      </w:r>
      <w:r>
        <w:t xml:space="preserve">NCT05663515.</w:t>
      </w:r>
    </w:p>
  </w:footnote>
  <w:footnote w:id="281">
    <w:p>
      <w:pPr>
        <w:pStyle w:val="FootnoteText"/>
      </w:pPr>
      <w:r>
        <w:rPr>
          <w:rStyle w:val="FootnoteReference"/>
        </w:rPr>
        <w:footnoteRef/>
      </w:r>
      <w:r>
        <w:t xml:space="preserve"> </w:t>
      </w:r>
      <w:r>
        <w:t xml:space="preserve">Ji 2021, PMID 33687487.</w:t>
      </w:r>
    </w:p>
  </w:footnote>
  <w:footnote w:id="282">
    <w:p>
      <w:pPr>
        <w:pStyle w:val="FootnoteText"/>
      </w:pPr>
      <w:r>
        <w:rPr>
          <w:rStyle w:val="FootnoteReference"/>
        </w:rPr>
        <w:footnoteRef/>
      </w:r>
      <w:r>
        <w:t xml:space="preserve"> </w:t>
      </w:r>
      <w:r>
        <w:t xml:space="preserve">NCT06254014, NCT06257966.</w:t>
      </w:r>
    </w:p>
  </w:footnote>
  <w:footnote w:id="283">
    <w:p>
      <w:pPr>
        <w:pStyle w:val="FootnoteText"/>
      </w:pPr>
      <w:r>
        <w:rPr>
          <w:rStyle w:val="FootnoteReference"/>
        </w:rPr>
        <w:footnoteRef/>
      </w:r>
      <w:r>
        <w:t xml:space="preserve"> </w:t>
      </w:r>
      <w:r>
        <w:t xml:space="preserve">NCT07497399.</w:t>
      </w:r>
    </w:p>
  </w:footnote>
  <w:footnote w:id="284">
    <w:p>
      <w:pPr>
        <w:pStyle w:val="FootnoteText"/>
      </w:pPr>
      <w:r>
        <w:rPr>
          <w:rStyle w:val="FootnoteReference"/>
        </w:rPr>
        <w:footnoteRef/>
      </w:r>
      <w:r>
        <w:t xml:space="preserve"> </w:t>
      </w:r>
      <w:r>
        <w:t xml:space="preserve">NCT05663515.</w:t>
      </w:r>
    </w:p>
  </w:footnote>
  <w:footnote w:id="285">
    <w:p>
      <w:pPr>
        <w:pStyle w:val="FootnoteText"/>
      </w:pPr>
      <w:r>
        <w:rPr>
          <w:rStyle w:val="FootnoteReference"/>
        </w:rPr>
        <w:footnoteRef/>
      </w:r>
      <w:r>
        <w:t xml:space="preserve"> </w:t>
      </w:r>
      <w:r>
        <w:t xml:space="preserve">NCT01511393.</w:t>
      </w:r>
    </w:p>
  </w:footnote>
  <w:footnote w:id="286">
    <w:p>
      <w:pPr>
        <w:pStyle w:val="FootnoteText"/>
      </w:pPr>
      <w:r>
        <w:rPr>
          <w:rStyle w:val="FootnoteReference"/>
        </w:rPr>
        <w:footnoteRef/>
      </w:r>
      <w:r>
        <w:t xml:space="preserve"> </w:t>
      </w:r>
      <w:r>
        <w:t xml:space="preserve">NCT07808879.</w:t>
      </w:r>
    </w:p>
  </w:footnote>
  <w:footnote w:id="290">
    <w:p>
      <w:pPr>
        <w:pStyle w:val="FootnoteText"/>
      </w:pPr>
      <w:r>
        <w:rPr>
          <w:rStyle w:val="FootnoteReference"/>
        </w:rPr>
        <w:footnoteRef/>
      </w:r>
      <w:r>
        <w:t xml:space="preserve"> </w:t>
      </w:r>
      <w:r>
        <w:t xml:space="preserve">Knudsen 2019, PMID 31031702.</w:t>
      </w:r>
    </w:p>
  </w:footnote>
  <w:footnote w:id="292">
    <w:p>
      <w:pPr>
        <w:pStyle w:val="FootnoteText"/>
      </w:pPr>
      <w:r>
        <w:rPr>
          <w:rStyle w:val="FootnoteReference"/>
        </w:rPr>
        <w:footnoteRef/>
      </w:r>
      <w:r>
        <w:t xml:space="preserve"> </w:t>
      </w:r>
      <w:r>
        <w:t xml:space="preserve">Secher 2014, PMID 25202980.</w:t>
      </w:r>
    </w:p>
  </w:footnote>
  <w:footnote w:id="293">
    <w:p>
      <w:pPr>
        <w:pStyle w:val="FootnoteText"/>
      </w:pPr>
      <w:r>
        <w:rPr>
          <w:rStyle w:val="FootnoteReference"/>
        </w:rPr>
        <w:footnoteRef/>
      </w:r>
      <w:r>
        <w:t xml:space="preserve"> </w:t>
      </w:r>
      <w:r>
        <w:t xml:space="preserve">Knudsen 2019, PMID 31031702.</w:t>
      </w:r>
    </w:p>
  </w:footnote>
  <w:footnote w:id="295">
    <w:p>
      <w:pPr>
        <w:pStyle w:val="FootnoteText"/>
      </w:pPr>
      <w:r>
        <w:rPr>
          <w:rStyle w:val="FootnoteReference"/>
        </w:rPr>
        <w:footnoteRef/>
      </w:r>
      <w:r>
        <w:t xml:space="preserve"> </w:t>
      </w:r>
      <w:r>
        <w:t xml:space="preserve">Garber 2009, PMID 18819705.</w:t>
      </w:r>
    </w:p>
  </w:footnote>
  <w:footnote w:id="296">
    <w:p>
      <w:pPr>
        <w:pStyle w:val="FootnoteText"/>
      </w:pPr>
      <w:r>
        <w:rPr>
          <w:rStyle w:val="FootnoteReference"/>
        </w:rPr>
        <w:footnoteRef/>
      </w:r>
      <w:r>
        <w:t xml:space="preserve"> </w:t>
      </w:r>
      <w:r>
        <w:t xml:space="preserve">Pratley 2010, PMID 20417856.</w:t>
      </w:r>
    </w:p>
  </w:footnote>
  <w:footnote w:id="298">
    <w:p>
      <w:pPr>
        <w:pStyle w:val="FootnoteText"/>
      </w:pPr>
      <w:r>
        <w:rPr>
          <w:rStyle w:val="FootnoteReference"/>
        </w:rPr>
        <w:footnoteRef/>
      </w:r>
      <w:r>
        <w:t xml:space="preserve"> </w:t>
      </w:r>
      <w:r>
        <w:t xml:space="preserve">Buse 2009, PMID 19515413.</w:t>
      </w:r>
    </w:p>
  </w:footnote>
  <w:footnote w:id="299">
    <w:p>
      <w:pPr>
        <w:pStyle w:val="FootnoteText"/>
      </w:pPr>
      <w:r>
        <w:rPr>
          <w:rStyle w:val="FootnoteReference"/>
        </w:rPr>
        <w:footnoteRef/>
      </w:r>
      <w:r>
        <w:t xml:space="preserve"> </w:t>
      </w:r>
      <w:r>
        <w:t xml:space="preserve">Dungan 2014, PMID 25018121.</w:t>
      </w:r>
    </w:p>
  </w:footnote>
  <w:footnote w:id="300">
    <w:p>
      <w:pPr>
        <w:pStyle w:val="FootnoteText"/>
      </w:pPr>
      <w:r>
        <w:rPr>
          <w:rStyle w:val="FootnoteReference"/>
        </w:rPr>
        <w:footnoteRef/>
      </w:r>
      <w:r>
        <w:t xml:space="preserve"> </w:t>
      </w:r>
      <w:r>
        <w:t xml:space="preserve">Rubino 2022, PMID 35015037.</w:t>
      </w:r>
    </w:p>
  </w:footnote>
  <w:footnote w:id="301">
    <w:p>
      <w:pPr>
        <w:pStyle w:val="FootnoteText"/>
      </w:pPr>
      <w:r>
        <w:rPr>
          <w:rStyle w:val="FootnoteReference"/>
        </w:rPr>
        <w:footnoteRef/>
      </w:r>
      <w:r>
        <w:t xml:space="preserve"> </w:t>
      </w:r>
      <w:r>
        <w:t xml:space="preserve">Pratley 2019, PMID 31186120.</w:t>
      </w:r>
    </w:p>
  </w:footnote>
  <w:footnote w:id="303">
    <w:p>
      <w:pPr>
        <w:pStyle w:val="FootnoteText"/>
      </w:pPr>
      <w:r>
        <w:rPr>
          <w:rStyle w:val="FootnoteReference"/>
        </w:rPr>
        <w:footnoteRef/>
      </w:r>
      <w:r>
        <w:t xml:space="preserve"> </w:t>
      </w:r>
      <w:r>
        <w:t xml:space="preserve">Marso 2016, PMID 27295427.</w:t>
      </w:r>
    </w:p>
  </w:footnote>
  <w:footnote w:id="304">
    <w:p>
      <w:pPr>
        <w:pStyle w:val="FootnoteText"/>
      </w:pPr>
      <w:r>
        <w:rPr>
          <w:rStyle w:val="FootnoteReference"/>
        </w:rPr>
        <w:footnoteRef/>
      </w:r>
      <w:r>
        <w:t xml:space="preserve"> </w:t>
      </w:r>
      <w:r>
        <w:t xml:space="preserve">Mann 2017, PMID 28854085.</w:t>
      </w:r>
    </w:p>
  </w:footnote>
  <w:footnote w:id="305">
    <w:p>
      <w:pPr>
        <w:pStyle w:val="FootnoteText"/>
      </w:pPr>
      <w:r>
        <w:rPr>
          <w:rStyle w:val="FootnoteReference"/>
        </w:rPr>
        <w:footnoteRef/>
      </w:r>
      <w:r>
        <w:t xml:space="preserve"> </w:t>
      </w:r>
      <w:r>
        <w:t xml:space="preserve">Margulies 2016, PMID 27483064.</w:t>
      </w:r>
    </w:p>
  </w:footnote>
  <w:footnote w:id="307">
    <w:p>
      <w:pPr>
        <w:pStyle w:val="FootnoteText"/>
      </w:pPr>
      <w:r>
        <w:rPr>
          <w:rStyle w:val="FootnoteReference"/>
        </w:rPr>
        <w:footnoteRef/>
      </w:r>
      <w:r>
        <w:t xml:space="preserve"> </w:t>
      </w:r>
      <w:r>
        <w:t xml:space="preserve">Pi-Sunyer 2015, PMID 26132939.</w:t>
      </w:r>
    </w:p>
  </w:footnote>
  <w:footnote w:id="308">
    <w:p>
      <w:pPr>
        <w:pStyle w:val="FootnoteText"/>
      </w:pPr>
      <w:r>
        <w:rPr>
          <w:rStyle w:val="FootnoteReference"/>
        </w:rPr>
        <w:footnoteRef/>
      </w:r>
      <w:r>
        <w:t xml:space="preserve"> </w:t>
      </w:r>
      <w:r>
        <w:t xml:space="preserve">le Roux 2017, PMID 28237263.</w:t>
      </w:r>
    </w:p>
  </w:footnote>
  <w:footnote w:id="309">
    <w:p>
      <w:pPr>
        <w:pStyle w:val="FootnoteText"/>
      </w:pPr>
      <w:r>
        <w:rPr>
          <w:rStyle w:val="FootnoteReference"/>
        </w:rPr>
        <w:footnoteRef/>
      </w:r>
      <w:r>
        <w:t xml:space="preserve"> </w:t>
      </w:r>
      <w:r>
        <w:t xml:space="preserve">Davies 2015, PMID 26284720.</w:t>
      </w:r>
    </w:p>
  </w:footnote>
  <w:footnote w:id="310">
    <w:p>
      <w:pPr>
        <w:pStyle w:val="FootnoteText"/>
      </w:pPr>
      <w:r>
        <w:rPr>
          <w:rStyle w:val="FootnoteReference"/>
        </w:rPr>
        <w:footnoteRef/>
      </w:r>
      <w:r>
        <w:t xml:space="preserve"> </w:t>
      </w:r>
      <w:r>
        <w:t xml:space="preserve">Wadden 2013, PMID 23812094.</w:t>
      </w:r>
    </w:p>
  </w:footnote>
  <w:footnote w:id="312">
    <w:p>
      <w:pPr>
        <w:pStyle w:val="FootnoteText"/>
      </w:pPr>
      <w:r>
        <w:rPr>
          <w:rStyle w:val="FootnoteReference"/>
        </w:rPr>
        <w:footnoteRef/>
      </w:r>
      <w:r>
        <w:t xml:space="preserve"> </w:t>
      </w:r>
      <w:r>
        <w:t xml:space="preserve">Kelly 2020, PMID 32233338.</w:t>
      </w:r>
    </w:p>
  </w:footnote>
  <w:footnote w:id="313">
    <w:p>
      <w:pPr>
        <w:pStyle w:val="FootnoteText"/>
      </w:pPr>
      <w:r>
        <w:rPr>
          <w:rStyle w:val="FootnoteReference"/>
        </w:rPr>
        <w:footnoteRef/>
      </w:r>
      <w:r>
        <w:t xml:space="preserve"> </w:t>
      </w:r>
      <w:r>
        <w:t xml:space="preserve">Fox 2025, PMID 39258838.</w:t>
      </w:r>
    </w:p>
  </w:footnote>
  <w:footnote w:id="314">
    <w:p>
      <w:pPr>
        <w:pStyle w:val="FootnoteText"/>
      </w:pPr>
      <w:r>
        <w:rPr>
          <w:rStyle w:val="FootnoteReference"/>
        </w:rPr>
        <w:footnoteRef/>
      </w:r>
      <w:r>
        <w:t xml:space="preserve"> </w:t>
      </w:r>
      <w:r>
        <w:t xml:space="preserve">NCT06903923.</w:t>
      </w:r>
    </w:p>
  </w:footnote>
  <w:footnote w:id="316">
    <w:p>
      <w:pPr>
        <w:pStyle w:val="FootnoteText"/>
      </w:pPr>
      <w:r>
        <w:rPr>
          <w:rStyle w:val="FootnoteReference"/>
        </w:rPr>
        <w:footnoteRef/>
      </w:r>
      <w:r>
        <w:t xml:space="preserve"> </w:t>
      </w:r>
      <w:r>
        <w:t xml:space="preserve">Armstrong 2016, PMID 26608256.</w:t>
      </w:r>
    </w:p>
  </w:footnote>
  <w:footnote w:id="317">
    <w:p>
      <w:pPr>
        <w:pStyle w:val="FootnoteText"/>
      </w:pPr>
      <w:r>
        <w:rPr>
          <w:rStyle w:val="FootnoteReference"/>
        </w:rPr>
        <w:footnoteRef/>
      </w:r>
      <w:r>
        <w:t xml:space="preserve"> </w:t>
      </w:r>
      <w:r>
        <w:t xml:space="preserve">Edison 2026, PMID 41326666.</w:t>
      </w:r>
    </w:p>
  </w:footnote>
  <w:footnote w:id="318">
    <w:p>
      <w:pPr>
        <w:pStyle w:val="FootnoteText"/>
      </w:pPr>
      <w:r>
        <w:rPr>
          <w:rStyle w:val="FootnoteReference"/>
        </w:rPr>
        <w:footnoteRef/>
      </w:r>
      <w:r>
        <w:t xml:space="preserve"> </w:t>
      </w:r>
      <w:r>
        <w:t xml:space="preserve">Lähteenvuo 2025, PMID 39535805.</w:t>
      </w:r>
    </w:p>
  </w:footnote>
  <w:footnote w:id="321">
    <w:p>
      <w:pPr>
        <w:pStyle w:val="FootnoteText"/>
      </w:pPr>
      <w:r>
        <w:rPr>
          <w:rStyle w:val="FootnoteReference"/>
        </w:rPr>
        <w:footnoteRef/>
      </w:r>
      <w:r>
        <w:t xml:space="preserve"> </w:t>
      </w:r>
      <w:r>
        <w:t xml:space="preserve">Secher 2014, PMID 25202980.</w:t>
      </w:r>
    </w:p>
  </w:footnote>
  <w:footnote w:id="322">
    <w:p>
      <w:pPr>
        <w:pStyle w:val="FootnoteText"/>
      </w:pPr>
      <w:r>
        <w:rPr>
          <w:rStyle w:val="FootnoteReference"/>
        </w:rPr>
        <w:footnoteRef/>
      </w:r>
      <w:r>
        <w:t xml:space="preserve"> </w:t>
      </w:r>
      <w:r>
        <w:t xml:space="preserve">Bjerre Knudsen 2010, PMID 20203154.</w:t>
      </w:r>
    </w:p>
  </w:footnote>
  <w:footnote w:id="324">
    <w:p>
      <w:pPr>
        <w:pStyle w:val="FootnoteText"/>
      </w:pPr>
      <w:r>
        <w:rPr>
          <w:rStyle w:val="FootnoteReference"/>
        </w:rPr>
        <w:footnoteRef/>
      </w:r>
      <w:r>
        <w:t xml:space="preserve"> </w:t>
      </w:r>
      <w:r>
        <w:t xml:space="preserve">Marso 2016, PMID 27295427.</w:t>
      </w:r>
    </w:p>
  </w:footnote>
  <w:footnote w:id="325">
    <w:p>
      <w:pPr>
        <w:pStyle w:val="FootnoteText"/>
      </w:pPr>
      <w:r>
        <w:rPr>
          <w:rStyle w:val="FootnoteReference"/>
        </w:rPr>
        <w:footnoteRef/>
      </w:r>
      <w:r>
        <w:t xml:space="preserve"> </w:t>
      </w:r>
      <w:r>
        <w:t xml:space="preserve">Davies 2015, PMID 26284720.</w:t>
      </w:r>
    </w:p>
  </w:footnote>
  <w:footnote w:id="326">
    <w:p>
      <w:pPr>
        <w:pStyle w:val="FootnoteText"/>
      </w:pPr>
      <w:r>
        <w:rPr>
          <w:rStyle w:val="FootnoteReference"/>
        </w:rPr>
        <w:footnoteRef/>
      </w:r>
      <w:r>
        <w:t xml:space="preserve"> </w:t>
      </w:r>
      <w:r>
        <w:t xml:space="preserve">He 2022, PMID 35344001.</w:t>
      </w:r>
    </w:p>
  </w:footnote>
  <w:footnote w:id="327">
    <w:p>
      <w:pPr>
        <w:pStyle w:val="FootnoteText"/>
      </w:pPr>
      <w:r>
        <w:rPr>
          <w:rStyle w:val="FootnoteReference"/>
        </w:rPr>
        <w:footnoteRef/>
      </w:r>
      <w:r>
        <w:t xml:space="preserve"> </w:t>
      </w:r>
      <w:r>
        <w:t xml:space="preserve">Marso 2016, PMID 27295427.</w:t>
      </w:r>
    </w:p>
  </w:footnote>
  <w:footnote w:id="328">
    <w:p>
      <w:pPr>
        <w:pStyle w:val="FootnoteText"/>
      </w:pPr>
      <w:r>
        <w:rPr>
          <w:rStyle w:val="FootnoteReference"/>
        </w:rPr>
        <w:footnoteRef/>
      </w:r>
      <w:r>
        <w:t xml:space="preserve"> </w:t>
      </w:r>
      <w:r>
        <w:t xml:space="preserve">Alves 2012, PMID 23010561.</w:t>
      </w:r>
    </w:p>
  </w:footnote>
  <w:footnote w:id="329">
    <w:p>
      <w:pPr>
        <w:pStyle w:val="FootnoteText"/>
      </w:pPr>
      <w:r>
        <w:rPr>
          <w:rStyle w:val="FootnoteReference"/>
        </w:rPr>
        <w:footnoteRef/>
      </w:r>
      <w:r>
        <w:t xml:space="preserve"> </w:t>
      </w:r>
      <w:r>
        <w:t xml:space="preserve">Bezin 2023, PMID 36356111.</w:t>
      </w:r>
    </w:p>
  </w:footnote>
  <w:footnote w:id="330">
    <w:p>
      <w:pPr>
        <w:pStyle w:val="FootnoteText"/>
      </w:pPr>
      <w:r>
        <w:rPr>
          <w:rStyle w:val="FootnoteReference"/>
        </w:rPr>
        <w:footnoteRef/>
      </w:r>
      <w:r>
        <w:t xml:space="preserve"> </w:t>
      </w:r>
      <w:r>
        <w:t xml:space="preserve">Silverii 2025, PMID 40437949.</w:t>
      </w:r>
    </w:p>
  </w:footnote>
  <w:footnote w:id="331">
    <w:p>
      <w:pPr>
        <w:pStyle w:val="FootnoteText"/>
      </w:pPr>
      <w:r>
        <w:rPr>
          <w:rStyle w:val="FootnoteReference"/>
        </w:rPr>
        <w:footnoteRef/>
      </w:r>
      <w:r>
        <w:t xml:space="preserve"> </w:t>
      </w:r>
      <w:r>
        <w:t xml:space="preserve">Ueda 2024, PMID 39226030.</w:t>
      </w:r>
    </w:p>
  </w:footnote>
  <w:footnote w:id="332">
    <w:p>
      <w:pPr>
        <w:pStyle w:val="FootnoteText"/>
      </w:pPr>
      <w:r>
        <w:rPr>
          <w:rStyle w:val="FootnoteReference"/>
        </w:rPr>
        <w:footnoteRef/>
      </w:r>
      <w:r>
        <w:t xml:space="preserve"> </w:t>
      </w:r>
      <w:r>
        <w:t xml:space="preserve">Choudhury 2026, PMID 41862354.</w:t>
      </w:r>
    </w:p>
  </w:footnote>
  <w:footnote w:id="335">
    <w:p>
      <w:pPr>
        <w:pStyle w:val="FootnoteText"/>
      </w:pPr>
      <w:r>
        <w:rPr>
          <w:rStyle w:val="FootnoteReference"/>
        </w:rPr>
        <w:footnoteRef/>
      </w:r>
      <w:r>
        <w:t xml:space="preserve"> </w:t>
      </w:r>
      <w:r>
        <w:t xml:space="preserve">NCT06742710.</w:t>
      </w:r>
    </w:p>
  </w:footnote>
  <w:footnote w:id="336">
    <w:p>
      <w:pPr>
        <w:pStyle w:val="FootnoteText"/>
      </w:pPr>
      <w:r>
        <w:rPr>
          <w:rStyle w:val="FootnoteReference"/>
        </w:rPr>
        <w:footnoteRef/>
      </w:r>
      <w:r>
        <w:t xml:space="preserve"> </w:t>
      </w:r>
      <w:r>
        <w:t xml:space="preserve">NCT06361238.</w:t>
      </w:r>
    </w:p>
  </w:footnote>
  <w:footnote w:id="337">
    <w:p>
      <w:pPr>
        <w:pStyle w:val="FootnoteText"/>
      </w:pPr>
      <w:r>
        <w:rPr>
          <w:rStyle w:val="FootnoteReference"/>
        </w:rPr>
        <w:footnoteRef/>
      </w:r>
      <w:r>
        <w:t xml:space="preserve"> </w:t>
      </w:r>
      <w:r>
        <w:t xml:space="preserve">NCT07029009.</w:t>
      </w:r>
    </w:p>
  </w:footnote>
  <w:footnote w:id="338">
    <w:p>
      <w:pPr>
        <w:pStyle w:val="FootnoteText"/>
      </w:pPr>
      <w:r>
        <w:rPr>
          <w:rStyle w:val="FootnoteReference"/>
        </w:rPr>
        <w:footnoteRef/>
      </w:r>
      <w:r>
        <w:t xml:space="preserve"> </w:t>
      </w:r>
      <w:r>
        <w:t xml:space="preserve">NCT05390892.</w:t>
      </w:r>
    </w:p>
  </w:footnote>
  <w:footnote w:id="339">
    <w:p>
      <w:pPr>
        <w:pStyle w:val="FootnoteText"/>
      </w:pPr>
      <w:r>
        <w:rPr>
          <w:rStyle w:val="FootnoteReference"/>
        </w:rPr>
        <w:footnoteRef/>
      </w:r>
      <w:r>
        <w:t xml:space="preserve"> </w:t>
      </w:r>
      <w:r>
        <w:t xml:space="preserve">NCT04775082.</w:t>
      </w:r>
    </w:p>
  </w:footnote>
  <w:footnote w:id="343">
    <w:p>
      <w:pPr>
        <w:pStyle w:val="FootnoteText"/>
      </w:pPr>
      <w:r>
        <w:rPr>
          <w:rStyle w:val="FootnoteReference"/>
        </w:rPr>
        <w:footnoteRef/>
      </w:r>
      <w:r>
        <w:t xml:space="preserve"> </w:t>
      </w:r>
      <w:r>
        <w:t xml:space="preserve">Glaesner 2010, PMID 20503261.</w:t>
      </w:r>
    </w:p>
  </w:footnote>
  <w:footnote w:id="345">
    <w:p>
      <w:pPr>
        <w:pStyle w:val="FootnoteText"/>
      </w:pPr>
      <w:r>
        <w:rPr>
          <w:rStyle w:val="FootnoteReference"/>
        </w:rPr>
        <w:footnoteRef/>
      </w:r>
      <w:r>
        <w:t xml:space="preserve"> </w:t>
      </w:r>
      <w:r>
        <w:t xml:space="preserve">Glaesner 2010, PMID 20503261.</w:t>
      </w:r>
    </w:p>
  </w:footnote>
  <w:footnote w:id="346">
    <w:p>
      <w:pPr>
        <w:pStyle w:val="FootnoteText"/>
      </w:pPr>
      <w:r>
        <w:rPr>
          <w:rStyle w:val="FootnoteReference"/>
        </w:rPr>
        <w:footnoteRef/>
      </w:r>
      <w:r>
        <w:t xml:space="preserve"> </w:t>
      </w:r>
      <w:r>
        <w:t xml:space="preserve">Milicevic 2016, PMID 26847401.</w:t>
      </w:r>
    </w:p>
  </w:footnote>
  <w:footnote w:id="348">
    <w:p>
      <w:pPr>
        <w:pStyle w:val="FootnoteText"/>
      </w:pPr>
      <w:r>
        <w:rPr>
          <w:rStyle w:val="FootnoteReference"/>
        </w:rPr>
        <w:footnoteRef/>
      </w:r>
      <w:r>
        <w:t xml:space="preserve"> </w:t>
      </w:r>
      <w:r>
        <w:t xml:space="preserve">Giorgino 2015, PMID 26089386 ; Blonde 2015, PMID 26009229.</w:t>
      </w:r>
    </w:p>
  </w:footnote>
  <w:footnote w:id="349">
    <w:p>
      <w:pPr>
        <w:pStyle w:val="FootnoteText"/>
      </w:pPr>
      <w:r>
        <w:rPr>
          <w:rStyle w:val="FootnoteReference"/>
        </w:rPr>
        <w:footnoteRef/>
      </w:r>
      <w:r>
        <w:t xml:space="preserve"> </w:t>
      </w:r>
      <w:r>
        <w:t xml:space="preserve">Tuttle 2018, PMID 29910024.</w:t>
      </w:r>
    </w:p>
  </w:footnote>
  <w:footnote w:id="350">
    <w:p>
      <w:pPr>
        <w:pStyle w:val="FootnoteText"/>
      </w:pPr>
      <w:r>
        <w:rPr>
          <w:rStyle w:val="FootnoteReference"/>
        </w:rPr>
        <w:footnoteRef/>
      </w:r>
      <w:r>
        <w:t xml:space="preserve"> </w:t>
      </w:r>
      <w:r>
        <w:t xml:space="preserve">Dungan 2016, PMID 26799540.</w:t>
      </w:r>
    </w:p>
  </w:footnote>
  <w:footnote w:id="351">
    <w:p>
      <w:pPr>
        <w:pStyle w:val="FootnoteText"/>
      </w:pPr>
      <w:r>
        <w:rPr>
          <w:rStyle w:val="FootnoteReference"/>
        </w:rPr>
        <w:footnoteRef/>
      </w:r>
      <w:r>
        <w:t xml:space="preserve"> </w:t>
      </w:r>
      <w:r>
        <w:t xml:space="preserve">Frias 2021, PMID 33397768.</w:t>
      </w:r>
    </w:p>
  </w:footnote>
  <w:footnote w:id="353">
    <w:p>
      <w:pPr>
        <w:pStyle w:val="FootnoteText"/>
      </w:pPr>
      <w:r>
        <w:rPr>
          <w:rStyle w:val="FootnoteReference"/>
        </w:rPr>
        <w:footnoteRef/>
      </w:r>
      <w:r>
        <w:t xml:space="preserve"> </w:t>
      </w:r>
      <w:r>
        <w:t xml:space="preserve">Wysham 2014, PMID 24879836.</w:t>
      </w:r>
    </w:p>
  </w:footnote>
  <w:footnote w:id="354">
    <w:p>
      <w:pPr>
        <w:pStyle w:val="FootnoteText"/>
      </w:pPr>
      <w:r>
        <w:rPr>
          <w:rStyle w:val="FootnoteReference"/>
        </w:rPr>
        <w:footnoteRef/>
      </w:r>
      <w:r>
        <w:t xml:space="preserve"> </w:t>
      </w:r>
      <w:r>
        <w:t xml:space="preserve">Dungan 2014, PMID 25018121.</w:t>
      </w:r>
    </w:p>
  </w:footnote>
  <w:footnote w:id="355">
    <w:p>
      <w:pPr>
        <w:pStyle w:val="FootnoteText"/>
      </w:pPr>
      <w:r>
        <w:rPr>
          <w:rStyle w:val="FootnoteReference"/>
        </w:rPr>
        <w:footnoteRef/>
      </w:r>
      <w:r>
        <w:t xml:space="preserve"> </w:t>
      </w:r>
      <w:r>
        <w:t xml:space="preserve">Pratley 2018, PMID 29397376.</w:t>
      </w:r>
    </w:p>
  </w:footnote>
  <w:footnote w:id="357">
    <w:p>
      <w:pPr>
        <w:pStyle w:val="FootnoteText"/>
      </w:pPr>
      <w:r>
        <w:rPr>
          <w:rStyle w:val="FootnoteReference"/>
        </w:rPr>
        <w:footnoteRef/>
      </w:r>
      <w:r>
        <w:t xml:space="preserve"> </w:t>
      </w:r>
      <w:r>
        <w:t xml:space="preserve">Gerstein 2019, PMID 31189511.</w:t>
      </w:r>
    </w:p>
  </w:footnote>
  <w:footnote w:id="358">
    <w:p>
      <w:pPr>
        <w:pStyle w:val="FootnoteText"/>
      </w:pPr>
      <w:r>
        <w:rPr>
          <w:rStyle w:val="FootnoteReference"/>
        </w:rPr>
        <w:footnoteRef/>
      </w:r>
      <w:r>
        <w:t xml:space="preserve"> </w:t>
      </w:r>
      <w:r>
        <w:t xml:space="preserve">Gerstein 2019, PMID 31189509.</w:t>
      </w:r>
    </w:p>
  </w:footnote>
  <w:footnote w:id="359">
    <w:p>
      <w:pPr>
        <w:pStyle w:val="FootnoteText"/>
      </w:pPr>
      <w:r>
        <w:rPr>
          <w:rStyle w:val="FootnoteReference"/>
        </w:rPr>
        <w:footnoteRef/>
      </w:r>
      <w:r>
        <w:t xml:space="preserve"> </w:t>
      </w:r>
      <w:r>
        <w:t xml:space="preserve">Cukierman-Yaffe 2020, PMID 32562683.</w:t>
      </w:r>
    </w:p>
  </w:footnote>
  <w:footnote w:id="360">
    <w:p>
      <w:pPr>
        <w:pStyle w:val="FootnoteText"/>
      </w:pPr>
      <w:r>
        <w:rPr>
          <w:rStyle w:val="FootnoteReference"/>
        </w:rPr>
        <w:footnoteRef/>
      </w:r>
      <w:r>
        <w:t xml:space="preserve"> </w:t>
      </w:r>
      <w:r>
        <w:t xml:space="preserve">Kristensen 2019, PMID 31422062.</w:t>
      </w:r>
    </w:p>
  </w:footnote>
  <w:footnote w:id="362">
    <w:p>
      <w:pPr>
        <w:pStyle w:val="FootnoteText"/>
      </w:pPr>
      <w:r>
        <w:rPr>
          <w:rStyle w:val="FootnoteReference"/>
        </w:rPr>
        <w:footnoteRef/>
      </w:r>
      <w:r>
        <w:t xml:space="preserve"> </w:t>
      </w:r>
      <w:r>
        <w:t xml:space="preserve">Raubenheimer 2022, PMID 34984808.</w:t>
      </w:r>
    </w:p>
  </w:footnote>
  <w:footnote w:id="363">
    <w:p>
      <w:pPr>
        <w:pStyle w:val="FootnoteText"/>
      </w:pPr>
      <w:r>
        <w:rPr>
          <w:rStyle w:val="FootnoteReference"/>
        </w:rPr>
        <w:footnoteRef/>
      </w:r>
      <w:r>
        <w:t xml:space="preserve"> </w:t>
      </w:r>
      <w:r>
        <w:t xml:space="preserve">PMID 34563178.</w:t>
      </w:r>
    </w:p>
  </w:footnote>
  <w:footnote w:id="364">
    <w:p>
      <w:pPr>
        <w:pStyle w:val="FootnoteText"/>
      </w:pPr>
      <w:r>
        <w:rPr>
          <w:rStyle w:val="FootnoteReference"/>
        </w:rPr>
        <w:footnoteRef/>
      </w:r>
      <w:r>
        <w:t xml:space="preserve"> </w:t>
      </w:r>
      <w:r>
        <w:t xml:space="preserve">Branch 2022, PMID 36073143.</w:t>
      </w:r>
    </w:p>
  </w:footnote>
  <w:footnote w:id="365">
    <w:p>
      <w:pPr>
        <w:pStyle w:val="FootnoteText"/>
      </w:pPr>
      <w:r>
        <w:rPr>
          <w:rStyle w:val="FootnoteReference"/>
        </w:rPr>
        <w:footnoteRef/>
      </w:r>
      <w:r>
        <w:t xml:space="preserve"> </w:t>
      </w:r>
      <w:r>
        <w:t xml:space="preserve">Raubenheimer 2022, PMID 34984808.</w:t>
      </w:r>
    </w:p>
  </w:footnote>
  <w:footnote w:id="367">
    <w:p>
      <w:pPr>
        <w:pStyle w:val="FootnoteText"/>
      </w:pPr>
      <w:r>
        <w:rPr>
          <w:rStyle w:val="FootnoteReference"/>
        </w:rPr>
        <w:footnoteRef/>
      </w:r>
      <w:r>
        <w:t xml:space="preserve"> </w:t>
      </w:r>
      <w:r>
        <w:t xml:space="preserve">Nicholls 2025, PMID 41406444.</w:t>
      </w:r>
    </w:p>
  </w:footnote>
  <w:footnote w:id="368">
    <w:p>
      <w:pPr>
        <w:pStyle w:val="FootnoteText"/>
      </w:pPr>
      <w:r>
        <w:rPr>
          <w:rStyle w:val="FootnoteReference"/>
        </w:rPr>
        <w:footnoteRef/>
      </w:r>
      <w:r>
        <w:t xml:space="preserve"> </w:t>
      </w:r>
      <w:r>
        <w:t xml:space="preserve">Nissen 2026, PMID 41903177.</w:t>
      </w:r>
    </w:p>
  </w:footnote>
  <w:footnote w:id="370">
    <w:p>
      <w:pPr>
        <w:pStyle w:val="FootnoteText"/>
      </w:pPr>
      <w:r>
        <w:rPr>
          <w:rStyle w:val="FootnoteReference"/>
        </w:rPr>
        <w:footnoteRef/>
      </w:r>
      <w:r>
        <w:t xml:space="preserve"> </w:t>
      </w:r>
      <w:r>
        <w:t xml:space="preserve">Matfin 2015, PMID 25901022.</w:t>
      </w:r>
    </w:p>
  </w:footnote>
  <w:footnote w:id="371">
    <w:p>
      <w:pPr>
        <w:pStyle w:val="FootnoteText"/>
      </w:pPr>
      <w:r>
        <w:rPr>
          <w:rStyle w:val="FootnoteReference"/>
        </w:rPr>
        <w:footnoteRef/>
      </w:r>
      <w:r>
        <w:t xml:space="preserve"> </w:t>
      </w:r>
      <w:r>
        <w:t xml:space="preserve">Matza 2020, PMID 31646727.</w:t>
      </w:r>
    </w:p>
  </w:footnote>
  <w:footnote w:id="373">
    <w:p>
      <w:pPr>
        <w:pStyle w:val="FootnoteText"/>
      </w:pPr>
      <w:r>
        <w:rPr>
          <w:rStyle w:val="FootnoteReference"/>
        </w:rPr>
        <w:footnoteRef/>
      </w:r>
      <w:r>
        <w:t xml:space="preserve"> </w:t>
      </w:r>
      <w:r>
        <w:t xml:space="preserve">Arslanian 2022, PMID 35658022.</w:t>
      </w:r>
    </w:p>
  </w:footnote>
  <w:footnote w:id="375">
    <w:p>
      <w:pPr>
        <w:pStyle w:val="FootnoteText"/>
      </w:pPr>
      <w:r>
        <w:rPr>
          <w:rStyle w:val="FootnoteReference"/>
        </w:rPr>
        <w:footnoteRef/>
      </w:r>
      <w:r>
        <w:t xml:space="preserve"> </w:t>
      </w:r>
      <w:r>
        <w:t xml:space="preserve">Lüthi 2024, PMID 38371479.</w:t>
      </w:r>
    </w:p>
  </w:footnote>
  <w:footnote w:id="376">
    <w:p>
      <w:pPr>
        <w:pStyle w:val="FootnoteText"/>
      </w:pPr>
      <w:r>
        <w:rPr>
          <w:rStyle w:val="FootnoteReference"/>
        </w:rPr>
        <w:footnoteRef/>
      </w:r>
      <w:r>
        <w:t xml:space="preserve"> </w:t>
      </w:r>
      <w:r>
        <w:t xml:space="preserve">Probst 2023, PMID 37991022.</w:t>
      </w:r>
    </w:p>
  </w:footnote>
  <w:footnote w:id="377">
    <w:p>
      <w:pPr>
        <w:pStyle w:val="FootnoteText"/>
      </w:pPr>
      <w:r>
        <w:rPr>
          <w:rStyle w:val="FootnoteReference"/>
        </w:rPr>
        <w:footnoteRef/>
      </w:r>
      <w:r>
        <w:t xml:space="preserve"> </w:t>
      </w:r>
      <w:r>
        <w:t xml:space="preserve">Winzeler 2021, PMID 34473645.</w:t>
      </w:r>
    </w:p>
  </w:footnote>
  <w:footnote w:id="380">
    <w:p>
      <w:pPr>
        <w:pStyle w:val="FootnoteText"/>
      </w:pPr>
      <w:r>
        <w:rPr>
          <w:rStyle w:val="FootnoteReference"/>
        </w:rPr>
        <w:footnoteRef/>
      </w:r>
      <w:r>
        <w:t xml:space="preserve"> </w:t>
      </w:r>
      <w:r>
        <w:t xml:space="preserve">Glaesner 2010, PMID 20503261.</w:t>
      </w:r>
    </w:p>
  </w:footnote>
  <w:footnote w:id="381">
    <w:p>
      <w:pPr>
        <w:pStyle w:val="FootnoteText"/>
      </w:pPr>
      <w:r>
        <w:rPr>
          <w:rStyle w:val="FootnoteReference"/>
        </w:rPr>
        <w:footnoteRef/>
      </w:r>
      <w:r>
        <w:t xml:space="preserve"> </w:t>
      </w:r>
      <w:r>
        <w:t xml:space="preserve">Bjerre Knudsen 2010, PMID 20203154.</w:t>
      </w:r>
    </w:p>
  </w:footnote>
  <w:footnote w:id="383">
    <w:p>
      <w:pPr>
        <w:pStyle w:val="FootnoteText"/>
      </w:pPr>
      <w:r>
        <w:rPr>
          <w:rStyle w:val="FootnoteReference"/>
        </w:rPr>
        <w:footnoteRef/>
      </w:r>
      <w:r>
        <w:t xml:space="preserve"> </w:t>
      </w:r>
      <w:r>
        <w:t xml:space="preserve">Gerstein 2019, PMID 31189511.</w:t>
      </w:r>
    </w:p>
  </w:footnote>
  <w:footnote w:id="384">
    <w:p>
      <w:pPr>
        <w:pStyle w:val="FootnoteText"/>
      </w:pPr>
      <w:r>
        <w:rPr>
          <w:rStyle w:val="FootnoteReference"/>
        </w:rPr>
        <w:footnoteRef/>
      </w:r>
      <w:r>
        <w:t xml:space="preserve"> </w:t>
      </w:r>
      <w:r>
        <w:t xml:space="preserve">Frias 2021, PMID 33397768.</w:t>
      </w:r>
    </w:p>
  </w:footnote>
  <w:footnote w:id="385">
    <w:p>
      <w:pPr>
        <w:pStyle w:val="FootnoteText"/>
      </w:pPr>
      <w:r>
        <w:rPr>
          <w:rStyle w:val="FootnoteReference"/>
        </w:rPr>
        <w:footnoteRef/>
      </w:r>
      <w:r>
        <w:t xml:space="preserve"> </w:t>
      </w:r>
      <w:r>
        <w:t xml:space="preserve">Giorgino 2015, PMID 26089386.</w:t>
      </w:r>
    </w:p>
  </w:footnote>
  <w:footnote w:id="386">
    <w:p>
      <w:pPr>
        <w:pStyle w:val="FootnoteText"/>
      </w:pPr>
      <w:r>
        <w:rPr>
          <w:rStyle w:val="FootnoteReference"/>
        </w:rPr>
        <w:footnoteRef/>
      </w:r>
      <w:r>
        <w:t xml:space="preserve"> </w:t>
      </w:r>
      <w:r>
        <w:t xml:space="preserve">Giorgino 2015, PMID 26089386.</w:t>
      </w:r>
    </w:p>
  </w:footnote>
  <w:footnote w:id="387">
    <w:p>
      <w:pPr>
        <w:pStyle w:val="FootnoteText"/>
      </w:pPr>
      <w:r>
        <w:rPr>
          <w:rStyle w:val="FootnoteReference"/>
        </w:rPr>
        <w:footnoteRef/>
      </w:r>
      <w:r>
        <w:t xml:space="preserve"> </w:t>
      </w:r>
      <w:r>
        <w:t xml:space="preserve">Milicevic 2016, PMID 26847401.</w:t>
      </w:r>
    </w:p>
  </w:footnote>
  <w:footnote w:id="388">
    <w:p>
      <w:pPr>
        <w:pStyle w:val="FootnoteText"/>
      </w:pPr>
      <w:r>
        <w:rPr>
          <w:rStyle w:val="FootnoteReference"/>
        </w:rPr>
        <w:footnoteRef/>
      </w:r>
      <w:r>
        <w:t xml:space="preserve"> </w:t>
      </w:r>
      <w:r>
        <w:t xml:space="preserve">He 2022, PMID 35344001.</w:t>
      </w:r>
    </w:p>
  </w:footnote>
  <w:footnote w:id="389">
    <w:p>
      <w:pPr>
        <w:pStyle w:val="FootnoteText"/>
      </w:pPr>
      <w:r>
        <w:rPr>
          <w:rStyle w:val="FootnoteReference"/>
        </w:rPr>
        <w:footnoteRef/>
      </w:r>
      <w:r>
        <w:t xml:space="preserve"> </w:t>
      </w:r>
      <w:r>
        <w:t xml:space="preserve">Kristensen 2019, PMID 31422062.</w:t>
      </w:r>
    </w:p>
  </w:footnote>
  <w:footnote w:id="390">
    <w:p>
      <w:pPr>
        <w:pStyle w:val="FootnoteText"/>
      </w:pPr>
      <w:r>
        <w:rPr>
          <w:rStyle w:val="FootnoteReference"/>
        </w:rPr>
        <w:footnoteRef/>
      </w:r>
      <w:r>
        <w:t xml:space="preserve"> </w:t>
      </w:r>
      <w:r>
        <w:t xml:space="preserve">Silverii 2025, PMID 40437949.</w:t>
      </w:r>
    </w:p>
  </w:footnote>
  <w:footnote w:id="391">
    <w:p>
      <w:pPr>
        <w:pStyle w:val="FootnoteText"/>
      </w:pPr>
      <w:r>
        <w:rPr>
          <w:rStyle w:val="FootnoteReference"/>
        </w:rPr>
        <w:footnoteRef/>
      </w:r>
      <w:r>
        <w:t xml:space="preserve"> </w:t>
      </w:r>
      <w:r>
        <w:t xml:space="preserve">NCT07276763.</w:t>
      </w:r>
    </w:p>
  </w:footnote>
  <w:footnote w:id="394">
    <w:p>
      <w:pPr>
        <w:pStyle w:val="FootnoteText"/>
      </w:pPr>
      <w:r>
        <w:rPr>
          <w:rStyle w:val="FootnoteReference"/>
        </w:rPr>
        <w:footnoteRef/>
      </w:r>
      <w:r>
        <w:t xml:space="preserve"> </w:t>
      </w:r>
      <w:r>
        <w:t xml:space="preserve">NCT06739122.</w:t>
      </w:r>
    </w:p>
  </w:footnote>
  <w:footnote w:id="395">
    <w:p>
      <w:pPr>
        <w:pStyle w:val="FootnoteText"/>
      </w:pPr>
      <w:r>
        <w:rPr>
          <w:rStyle w:val="FootnoteReference"/>
        </w:rPr>
        <w:footnoteRef/>
      </w:r>
      <w:r>
        <w:t xml:space="preserve"> </w:t>
      </w:r>
      <w:r>
        <w:t xml:space="preserve">NCT07668336.</w:t>
      </w:r>
    </w:p>
  </w:footnote>
  <w:footnote w:id="396">
    <w:p>
      <w:pPr>
        <w:pStyle w:val="FootnoteText"/>
      </w:pPr>
      <w:r>
        <w:rPr>
          <w:rStyle w:val="FootnoteReference"/>
        </w:rPr>
        <w:footnoteRef/>
      </w:r>
      <w:r>
        <w:t xml:space="preserve"> </w:t>
      </w:r>
      <w:r>
        <w:t xml:space="preserve">NCT07282041.</w:t>
      </w:r>
    </w:p>
  </w:footnote>
  <w:footnote w:id="397">
    <w:p>
      <w:pPr>
        <w:pStyle w:val="FootnoteText"/>
      </w:pPr>
      <w:r>
        <w:rPr>
          <w:rStyle w:val="FootnoteReference"/>
        </w:rPr>
        <w:footnoteRef/>
      </w:r>
      <w:r>
        <w:t xml:space="preserve"> </w:t>
      </w:r>
      <w:r>
        <w:t xml:space="preserve">NCT06324461.</w:t>
      </w:r>
    </w:p>
  </w:footnote>
  <w:footnote w:id="398">
    <w:p>
      <w:pPr>
        <w:pStyle w:val="FootnoteText"/>
      </w:pPr>
      <w:r>
        <w:rPr>
          <w:rStyle w:val="FootnoteReference"/>
        </w:rPr>
        <w:footnoteRef/>
      </w:r>
      <w:r>
        <w:t xml:space="preserve"> </w:t>
      </w:r>
      <w:r>
        <w:t xml:space="preserve">NCT04731272.</w:t>
      </w:r>
    </w:p>
  </w:footnote>
  <w:footnote w:id="399">
    <w:p>
      <w:pPr>
        <w:pStyle w:val="FootnoteText"/>
      </w:pPr>
      <w:r>
        <w:rPr>
          <w:rStyle w:val="FootnoteReference"/>
        </w:rPr>
        <w:footnoteRef/>
      </w:r>
      <w:r>
        <w:t xml:space="preserve"> </w:t>
      </w:r>
      <w:r>
        <w:t xml:space="preserve">NCT06257966.</w:t>
      </w:r>
    </w:p>
  </w:footnote>
  <w:footnote w:id="403">
    <w:p>
      <w:pPr>
        <w:pStyle w:val="FootnoteText"/>
      </w:pPr>
      <w:r>
        <w:rPr>
          <w:rStyle w:val="FootnoteReference"/>
        </w:rPr>
        <w:footnoteRef/>
      </w:r>
      <w:r>
        <w:t xml:space="preserve"> </w:t>
      </w:r>
      <w:r>
        <w:t xml:space="preserve">Lau 2015, PMID 26308095.</w:t>
      </w:r>
    </w:p>
  </w:footnote>
  <w:footnote w:id="405">
    <w:p>
      <w:pPr>
        <w:pStyle w:val="FootnoteText"/>
      </w:pPr>
      <w:r>
        <w:rPr>
          <w:rStyle w:val="FootnoteReference"/>
        </w:rPr>
        <w:footnoteRef/>
      </w:r>
      <w:r>
        <w:t xml:space="preserve"> </w:t>
      </w:r>
      <w:r>
        <w:t xml:space="preserve">Lau 2015, PMID 26308095.</w:t>
      </w:r>
    </w:p>
  </w:footnote>
  <w:footnote w:id="406">
    <w:p>
      <w:pPr>
        <w:pStyle w:val="FootnoteText"/>
      </w:pPr>
      <w:r>
        <w:rPr>
          <w:rStyle w:val="FootnoteReference"/>
        </w:rPr>
        <w:footnoteRef/>
      </w:r>
      <w:r>
        <w:t xml:space="preserve"> </w:t>
      </w:r>
      <w:r>
        <w:t xml:space="preserve">Buckley 2018, PMID 30429357.</w:t>
      </w:r>
    </w:p>
  </w:footnote>
  <w:footnote w:id="408">
    <w:p>
      <w:pPr>
        <w:pStyle w:val="FootnoteText"/>
      </w:pPr>
      <w:r>
        <w:rPr>
          <w:rStyle w:val="FootnoteReference"/>
        </w:rPr>
        <w:footnoteRef/>
      </w:r>
      <w:r>
        <w:t xml:space="preserve"> </w:t>
      </w:r>
      <w:r>
        <w:t xml:space="preserve">Sorli 2017, PMID 28110911.</w:t>
      </w:r>
    </w:p>
  </w:footnote>
  <w:footnote w:id="409">
    <w:p>
      <w:pPr>
        <w:pStyle w:val="FootnoteText"/>
      </w:pPr>
      <w:r>
        <w:rPr>
          <w:rStyle w:val="FootnoteReference"/>
        </w:rPr>
        <w:footnoteRef/>
      </w:r>
      <w:r>
        <w:t xml:space="preserve"> </w:t>
      </w:r>
      <w:r>
        <w:t xml:space="preserve">Frías 2021, PMID 34293304.</w:t>
      </w:r>
    </w:p>
  </w:footnote>
  <w:footnote w:id="410">
    <w:p>
      <w:pPr>
        <w:pStyle w:val="FootnoteText"/>
      </w:pPr>
      <w:r>
        <w:rPr>
          <w:rStyle w:val="FootnoteReference"/>
        </w:rPr>
        <w:footnoteRef/>
      </w:r>
      <w:r>
        <w:t xml:space="preserve"> </w:t>
      </w:r>
      <w:r>
        <w:t xml:space="preserve">Marso 2016, PMID 27633186.</w:t>
      </w:r>
    </w:p>
  </w:footnote>
  <w:footnote w:id="412">
    <w:p>
      <w:pPr>
        <w:pStyle w:val="FootnoteText"/>
      </w:pPr>
      <w:r>
        <w:rPr>
          <w:rStyle w:val="FootnoteReference"/>
        </w:rPr>
        <w:footnoteRef/>
      </w:r>
      <w:r>
        <w:t xml:space="preserve"> </w:t>
      </w:r>
      <w:r>
        <w:t xml:space="preserve">Rubino 2022, PMID 35015037.</w:t>
      </w:r>
    </w:p>
  </w:footnote>
  <w:footnote w:id="413">
    <w:p>
      <w:pPr>
        <w:pStyle w:val="FootnoteText"/>
      </w:pPr>
      <w:r>
        <w:rPr>
          <w:rStyle w:val="FootnoteReference"/>
        </w:rPr>
        <w:footnoteRef/>
      </w:r>
      <w:r>
        <w:t xml:space="preserve"> </w:t>
      </w:r>
      <w:r>
        <w:t xml:space="preserve">Capehorn 2020, PMID 31539622.</w:t>
      </w:r>
    </w:p>
  </w:footnote>
  <w:footnote w:id="414">
    <w:p>
      <w:pPr>
        <w:pStyle w:val="FootnoteText"/>
      </w:pPr>
      <w:r>
        <w:rPr>
          <w:rStyle w:val="FootnoteReference"/>
        </w:rPr>
        <w:footnoteRef/>
      </w:r>
      <w:r>
        <w:t xml:space="preserve"> </w:t>
      </w:r>
      <w:r>
        <w:t xml:space="preserve">Ahmann 2018, PMID 29246950.</w:t>
      </w:r>
    </w:p>
  </w:footnote>
  <w:footnote w:id="415">
    <w:p>
      <w:pPr>
        <w:pStyle w:val="FootnoteText"/>
      </w:pPr>
      <w:r>
        <w:rPr>
          <w:rStyle w:val="FootnoteReference"/>
        </w:rPr>
        <w:footnoteRef/>
      </w:r>
      <w:r>
        <w:t xml:space="preserve"> </w:t>
      </w:r>
      <w:r>
        <w:t xml:space="preserve">Pratley 2019, PMID 31186120.</w:t>
      </w:r>
    </w:p>
  </w:footnote>
  <w:footnote w:id="416">
    <w:p>
      <w:pPr>
        <w:pStyle w:val="FootnoteText"/>
      </w:pPr>
      <w:r>
        <w:rPr>
          <w:rStyle w:val="FootnoteReference"/>
        </w:rPr>
        <w:footnoteRef/>
      </w:r>
      <w:r>
        <w:t xml:space="preserve"> </w:t>
      </w:r>
      <w:r>
        <w:t xml:space="preserve">Aronne 2025, PMID 40353578.</w:t>
      </w:r>
    </w:p>
  </w:footnote>
  <w:footnote w:id="418">
    <w:p>
      <w:pPr>
        <w:pStyle w:val="FootnoteText"/>
      </w:pPr>
      <w:r>
        <w:rPr>
          <w:rStyle w:val="FootnoteReference"/>
        </w:rPr>
        <w:footnoteRef/>
      </w:r>
      <w:r>
        <w:t xml:space="preserve"> </w:t>
      </w:r>
      <w:r>
        <w:t xml:space="preserve">Aroda 2023, PMID 37385279.</w:t>
      </w:r>
    </w:p>
  </w:footnote>
  <w:footnote w:id="419">
    <w:p>
      <w:pPr>
        <w:pStyle w:val="FootnoteText"/>
      </w:pPr>
      <w:r>
        <w:rPr>
          <w:rStyle w:val="FootnoteReference"/>
        </w:rPr>
        <w:footnoteRef/>
      </w:r>
      <w:r>
        <w:t xml:space="preserve"> </w:t>
      </w:r>
      <w:r>
        <w:t xml:space="preserve">Husain 2019, PMID 31185157.</w:t>
      </w:r>
    </w:p>
  </w:footnote>
  <w:footnote w:id="420">
    <w:p>
      <w:pPr>
        <w:pStyle w:val="FootnoteText"/>
      </w:pPr>
      <w:r>
        <w:rPr>
          <w:rStyle w:val="FootnoteReference"/>
        </w:rPr>
        <w:footnoteRef/>
      </w:r>
      <w:r>
        <w:t xml:space="preserve"> </w:t>
      </w:r>
      <w:r>
        <w:t xml:space="preserve">McGuire 2025, PMID 40162642.</w:t>
      </w:r>
    </w:p>
  </w:footnote>
  <w:footnote w:id="422">
    <w:p>
      <w:pPr>
        <w:pStyle w:val="FootnoteText"/>
      </w:pPr>
      <w:r>
        <w:rPr>
          <w:rStyle w:val="FootnoteReference"/>
        </w:rPr>
        <w:footnoteRef/>
      </w:r>
      <w:r>
        <w:t xml:space="preserve"> </w:t>
      </w:r>
      <w:r>
        <w:t xml:space="preserve">Wilding 2021, PMID 33567185.</w:t>
      </w:r>
    </w:p>
  </w:footnote>
  <w:footnote w:id="423">
    <w:p>
      <w:pPr>
        <w:pStyle w:val="FootnoteText"/>
      </w:pPr>
      <w:r>
        <w:rPr>
          <w:rStyle w:val="FootnoteReference"/>
        </w:rPr>
        <w:footnoteRef/>
      </w:r>
      <w:r>
        <w:t xml:space="preserve"> </w:t>
      </w:r>
      <w:r>
        <w:t xml:space="preserve">Garvey 2022, PMID 36216945.</w:t>
      </w:r>
    </w:p>
  </w:footnote>
  <w:footnote w:id="424">
    <w:p>
      <w:pPr>
        <w:pStyle w:val="FootnoteText"/>
      </w:pPr>
      <w:r>
        <w:rPr>
          <w:rStyle w:val="FootnoteReference"/>
        </w:rPr>
        <w:footnoteRef/>
      </w:r>
      <w:r>
        <w:t xml:space="preserve"> </w:t>
      </w:r>
      <w:r>
        <w:t xml:space="preserve">Rubino 2021, PMID 33755728.</w:t>
      </w:r>
    </w:p>
  </w:footnote>
  <w:footnote w:id="425">
    <w:p>
      <w:pPr>
        <w:pStyle w:val="FootnoteText"/>
      </w:pPr>
      <w:r>
        <w:rPr>
          <w:rStyle w:val="FootnoteReference"/>
        </w:rPr>
        <w:footnoteRef/>
      </w:r>
      <w:r>
        <w:t xml:space="preserve"> </w:t>
      </w:r>
      <w:r>
        <w:t xml:space="preserve">Wilding 2022, PMID 35441470.</w:t>
      </w:r>
    </w:p>
  </w:footnote>
  <w:footnote w:id="426">
    <w:p>
      <w:pPr>
        <w:pStyle w:val="FootnoteText"/>
      </w:pPr>
      <w:r>
        <w:rPr>
          <w:rStyle w:val="FootnoteReference"/>
        </w:rPr>
        <w:footnoteRef/>
      </w:r>
      <w:r>
        <w:t xml:space="preserve"> </w:t>
      </w:r>
      <w:r>
        <w:t xml:space="preserve">Wharton 2025, PMID 40961952.</w:t>
      </w:r>
    </w:p>
  </w:footnote>
  <w:footnote w:id="428">
    <w:p>
      <w:pPr>
        <w:pStyle w:val="FootnoteText"/>
      </w:pPr>
      <w:r>
        <w:rPr>
          <w:rStyle w:val="FootnoteReference"/>
        </w:rPr>
        <w:footnoteRef/>
      </w:r>
      <w:r>
        <w:t xml:space="preserve"> </w:t>
      </w:r>
      <w:r>
        <w:t xml:space="preserve">Knop 2023, PMID 37385278 ; Wharton 2025, PMID 40934115.</w:t>
      </w:r>
    </w:p>
  </w:footnote>
  <w:footnote w:id="430">
    <w:p>
      <w:pPr>
        <w:pStyle w:val="FootnoteText"/>
      </w:pPr>
      <w:r>
        <w:rPr>
          <w:rStyle w:val="FootnoteReference"/>
        </w:rPr>
        <w:footnoteRef/>
      </w:r>
      <w:r>
        <w:t xml:space="preserve"> </w:t>
      </w:r>
      <w:r>
        <w:t xml:space="preserve">Weghuber 2022, PMID 36322838.</w:t>
      </w:r>
    </w:p>
  </w:footnote>
  <w:footnote w:id="431">
    <w:p>
      <w:pPr>
        <w:pStyle w:val="FootnoteText"/>
      </w:pPr>
      <w:r>
        <w:rPr>
          <w:rStyle w:val="FootnoteReference"/>
        </w:rPr>
        <w:footnoteRef/>
      </w:r>
      <w:r>
        <w:t xml:space="preserve"> </w:t>
      </w:r>
      <w:r>
        <w:t xml:space="preserve">NCT05726227.</w:t>
      </w:r>
    </w:p>
  </w:footnote>
  <w:footnote w:id="433">
    <w:p>
      <w:pPr>
        <w:pStyle w:val="FootnoteText"/>
      </w:pPr>
      <w:r>
        <w:rPr>
          <w:rStyle w:val="FootnoteReference"/>
        </w:rPr>
        <w:footnoteRef/>
      </w:r>
      <w:r>
        <w:t xml:space="preserve"> </w:t>
      </w:r>
      <w:r>
        <w:t xml:space="preserve">Lincoff 2023, PMID 37952131.</w:t>
      </w:r>
    </w:p>
  </w:footnote>
  <w:footnote w:id="435">
    <w:p>
      <w:pPr>
        <w:pStyle w:val="FootnoteText"/>
      </w:pPr>
      <w:r>
        <w:rPr>
          <w:rStyle w:val="FootnoteReference"/>
        </w:rPr>
        <w:footnoteRef/>
      </w:r>
      <w:r>
        <w:t xml:space="preserve"> </w:t>
      </w:r>
      <w:r>
        <w:t xml:space="preserve">Perkovic 2024, PMID 38785209.</w:t>
      </w:r>
    </w:p>
  </w:footnote>
  <w:footnote w:id="437">
    <w:p>
      <w:pPr>
        <w:pStyle w:val="FootnoteText"/>
      </w:pPr>
      <w:r>
        <w:rPr>
          <w:rStyle w:val="FootnoteReference"/>
        </w:rPr>
        <w:footnoteRef/>
      </w:r>
      <w:r>
        <w:t xml:space="preserve"> </w:t>
      </w:r>
      <w:r>
        <w:t xml:space="preserve">Sanyal 2025, PMID 40305708.</w:t>
      </w:r>
    </w:p>
  </w:footnote>
  <w:footnote w:id="438">
    <w:p>
      <w:pPr>
        <w:pStyle w:val="FootnoteText"/>
      </w:pPr>
      <w:r>
        <w:rPr>
          <w:rStyle w:val="FootnoteReference"/>
        </w:rPr>
        <w:footnoteRef/>
      </w:r>
      <w:r>
        <w:t xml:space="preserve"> </w:t>
      </w:r>
      <w:r>
        <w:t xml:space="preserve">NCT04822181.</w:t>
      </w:r>
    </w:p>
  </w:footnote>
  <w:footnote w:id="439">
    <w:p>
      <w:pPr>
        <w:pStyle w:val="FootnoteText"/>
      </w:pPr>
      <w:r>
        <w:rPr>
          <w:rStyle w:val="FootnoteReference"/>
        </w:rPr>
        <w:footnoteRef/>
      </w:r>
      <w:r>
        <w:t xml:space="preserve"> </w:t>
      </w:r>
      <w:r>
        <w:t xml:space="preserve">Kosiborod 2023, PMID 37622681.</w:t>
      </w:r>
    </w:p>
  </w:footnote>
  <w:footnote w:id="440">
    <w:p>
      <w:pPr>
        <w:pStyle w:val="FootnoteText"/>
      </w:pPr>
      <w:r>
        <w:rPr>
          <w:rStyle w:val="FootnoteReference"/>
        </w:rPr>
        <w:footnoteRef/>
      </w:r>
      <w:r>
        <w:t xml:space="preserve"> </w:t>
      </w:r>
      <w:r>
        <w:t xml:space="preserve">Bonaca 2025, PMID 40169145.</w:t>
      </w:r>
    </w:p>
  </w:footnote>
  <w:footnote w:id="441">
    <w:p>
      <w:pPr>
        <w:pStyle w:val="FootnoteText"/>
      </w:pPr>
      <w:r>
        <w:rPr>
          <w:rStyle w:val="FootnoteReference"/>
        </w:rPr>
        <w:footnoteRef/>
      </w:r>
      <w:r>
        <w:t xml:space="preserve"> </w:t>
      </w:r>
      <w:r>
        <w:t xml:space="preserve">Bliddal 2024, PMID 39476339.</w:t>
      </w:r>
    </w:p>
  </w:footnote>
  <w:footnote w:id="443">
    <w:p>
      <w:pPr>
        <w:pStyle w:val="FootnoteText"/>
      </w:pPr>
      <w:r>
        <w:rPr>
          <w:rStyle w:val="FootnoteReference"/>
        </w:rPr>
        <w:footnoteRef/>
      </w:r>
      <w:r>
        <w:t xml:space="preserve"> </w:t>
      </w:r>
      <w:r>
        <w:t xml:space="preserve">Cummings 2026, PMID 41865758.</w:t>
      </w:r>
    </w:p>
  </w:footnote>
  <w:footnote w:id="444">
    <w:p>
      <w:pPr>
        <w:pStyle w:val="FootnoteText"/>
      </w:pPr>
      <w:r>
        <w:rPr>
          <w:rStyle w:val="FootnoteReference"/>
        </w:rPr>
        <w:footnoteRef/>
      </w:r>
      <w:r>
        <w:t xml:space="preserve"> </w:t>
      </w:r>
      <w:r>
        <w:t xml:space="preserve">Schneider 2026, PMID 41865757.</w:t>
      </w:r>
    </w:p>
  </w:footnote>
  <w:footnote w:id="445">
    <w:p>
      <w:pPr>
        <w:pStyle w:val="FootnoteText"/>
      </w:pPr>
      <w:r>
        <w:rPr>
          <w:rStyle w:val="FootnoteReference"/>
        </w:rPr>
        <w:footnoteRef/>
      </w:r>
      <w:r>
        <w:t xml:space="preserve"> </w:t>
      </w:r>
      <w:r>
        <w:t xml:space="preserve">Hendershot 2025, PMID 39937469.</w:t>
      </w:r>
    </w:p>
  </w:footnote>
  <w:footnote w:id="446">
    <w:p>
      <w:pPr>
        <w:pStyle w:val="FootnoteText"/>
      </w:pPr>
      <w:r>
        <w:rPr>
          <w:rStyle w:val="FootnoteReference"/>
        </w:rPr>
        <w:footnoteRef/>
      </w:r>
      <w:r>
        <w:t xml:space="preserve"> </w:t>
      </w:r>
      <w:r>
        <w:t xml:space="preserve">Lähteenvuo 2025, PMID 39535805.</w:t>
      </w:r>
    </w:p>
  </w:footnote>
  <w:footnote w:id="449">
    <w:p>
      <w:pPr>
        <w:pStyle w:val="FootnoteText"/>
      </w:pPr>
      <w:r>
        <w:rPr>
          <w:rStyle w:val="FootnoteReference"/>
        </w:rPr>
        <w:footnoteRef/>
      </w:r>
      <w:r>
        <w:t xml:space="preserve"> </w:t>
      </w:r>
      <w:r>
        <w:t xml:space="preserve">Lau 2015, PMID 26308095.</w:t>
      </w:r>
    </w:p>
  </w:footnote>
  <w:footnote w:id="450">
    <w:p>
      <w:pPr>
        <w:pStyle w:val="FootnoteText"/>
      </w:pPr>
      <w:r>
        <w:rPr>
          <w:rStyle w:val="FootnoteReference"/>
        </w:rPr>
        <w:footnoteRef/>
      </w:r>
      <w:r>
        <w:t xml:space="preserve"> </w:t>
      </w:r>
      <w:r>
        <w:t xml:space="preserve">Buckley 2018, PMID 30429357.</w:t>
      </w:r>
    </w:p>
  </w:footnote>
  <w:footnote w:id="451">
    <w:p>
      <w:pPr>
        <w:pStyle w:val="FootnoteText"/>
      </w:pPr>
      <w:r>
        <w:rPr>
          <w:rStyle w:val="FootnoteReference"/>
        </w:rPr>
        <w:footnoteRef/>
      </w:r>
      <w:r>
        <w:t xml:space="preserve"> </w:t>
      </w:r>
      <w:r>
        <w:t xml:space="preserve">Bjerre Knudsen 2010, PMID 20203154.</w:t>
      </w:r>
    </w:p>
  </w:footnote>
  <w:footnote w:id="453">
    <w:p>
      <w:pPr>
        <w:pStyle w:val="FootnoteText"/>
      </w:pPr>
      <w:r>
        <w:rPr>
          <w:rStyle w:val="FootnoteReference"/>
        </w:rPr>
        <w:footnoteRef/>
      </w:r>
      <w:r>
        <w:t xml:space="preserve"> </w:t>
      </w:r>
      <w:r>
        <w:t xml:space="preserve">Wilding 2021, PMID 33567185.</w:t>
      </w:r>
    </w:p>
  </w:footnote>
  <w:footnote w:id="454">
    <w:p>
      <w:pPr>
        <w:pStyle w:val="FootnoteText"/>
      </w:pPr>
      <w:r>
        <w:rPr>
          <w:rStyle w:val="FootnoteReference"/>
        </w:rPr>
        <w:footnoteRef/>
      </w:r>
      <w:r>
        <w:t xml:space="preserve"> </w:t>
      </w:r>
      <w:r>
        <w:t xml:space="preserve">He 2022, PMID 35344001.</w:t>
      </w:r>
    </w:p>
  </w:footnote>
  <w:footnote w:id="455">
    <w:p>
      <w:pPr>
        <w:pStyle w:val="FootnoteText"/>
      </w:pPr>
      <w:r>
        <w:rPr>
          <w:rStyle w:val="FootnoteReference"/>
        </w:rPr>
        <w:footnoteRef/>
      </w:r>
      <w:r>
        <w:t xml:space="preserve"> </w:t>
      </w:r>
      <w:r>
        <w:t xml:space="preserve">Weghuber 2022, PMID 36322838.</w:t>
      </w:r>
    </w:p>
  </w:footnote>
  <w:footnote w:id="456">
    <w:p>
      <w:pPr>
        <w:pStyle w:val="FootnoteText"/>
      </w:pPr>
      <w:r>
        <w:rPr>
          <w:rStyle w:val="FootnoteReference"/>
        </w:rPr>
        <w:footnoteRef/>
      </w:r>
      <w:r>
        <w:t xml:space="preserve"> </w:t>
      </w:r>
      <w:r>
        <w:t xml:space="preserve">Marso 2016, PMID 27633186.</w:t>
      </w:r>
    </w:p>
  </w:footnote>
  <w:footnote w:id="457">
    <w:p>
      <w:pPr>
        <w:pStyle w:val="FootnoteText"/>
      </w:pPr>
      <w:r>
        <w:rPr>
          <w:rStyle w:val="FootnoteReference"/>
        </w:rPr>
        <w:footnoteRef/>
      </w:r>
      <w:r>
        <w:t xml:space="preserve"> </w:t>
      </w:r>
      <w:r>
        <w:t xml:space="preserve">NCT03811561.</w:t>
      </w:r>
    </w:p>
  </w:footnote>
  <w:footnote w:id="458">
    <w:p>
      <w:pPr>
        <w:pStyle w:val="FootnoteText"/>
      </w:pPr>
      <w:r>
        <w:rPr>
          <w:rStyle w:val="FootnoteReference"/>
        </w:rPr>
        <w:footnoteRef/>
      </w:r>
      <w:r>
        <w:t xml:space="preserve"> </w:t>
      </w:r>
      <w:r>
        <w:t xml:space="preserve">Hathaway 2024, PMID 38958939.</w:t>
      </w:r>
    </w:p>
  </w:footnote>
  <w:footnote w:id="459">
    <w:p>
      <w:pPr>
        <w:pStyle w:val="FootnoteText"/>
      </w:pPr>
      <w:r>
        <w:rPr>
          <w:rStyle w:val="FootnoteReference"/>
        </w:rPr>
        <w:footnoteRef/>
      </w:r>
      <w:r>
        <w:t xml:space="preserve"> </w:t>
      </w:r>
      <w:r>
        <w:t xml:space="preserve">Simonsen 2025, PMID 40098249.</w:t>
      </w:r>
    </w:p>
  </w:footnote>
  <w:footnote w:id="460">
    <w:p>
      <w:pPr>
        <w:pStyle w:val="FootnoteText"/>
      </w:pPr>
      <w:r>
        <w:rPr>
          <w:rStyle w:val="FootnoteReference"/>
        </w:rPr>
        <w:footnoteRef/>
      </w:r>
      <w:r>
        <w:t xml:space="preserve"> </w:t>
      </w:r>
      <w:r>
        <w:t xml:space="preserve">Liu 2026, PMID 41475544.</w:t>
      </w:r>
    </w:p>
  </w:footnote>
  <w:footnote w:id="461">
    <w:p>
      <w:pPr>
        <w:pStyle w:val="FootnoteText"/>
      </w:pPr>
      <w:r>
        <w:rPr>
          <w:rStyle w:val="FootnoteReference"/>
        </w:rPr>
        <w:footnoteRef/>
      </w:r>
      <w:r>
        <w:t xml:space="preserve"> </w:t>
      </w:r>
      <w:r>
        <w:t xml:space="preserve">Sodhi 2023, PMID 37796527.</w:t>
      </w:r>
    </w:p>
  </w:footnote>
  <w:footnote w:id="462">
    <w:p>
      <w:pPr>
        <w:pStyle w:val="FootnoteText"/>
      </w:pPr>
      <w:r>
        <w:rPr>
          <w:rStyle w:val="FootnoteReference"/>
        </w:rPr>
        <w:footnoteRef/>
      </w:r>
      <w:r>
        <w:t xml:space="preserve"> </w:t>
      </w:r>
      <w:r>
        <w:t xml:space="preserve">Bezin 2023, PMID 36356111 ; Silverii 2025, PMID 40437949.</w:t>
      </w:r>
    </w:p>
  </w:footnote>
  <w:footnote w:id="463">
    <w:p>
      <w:pPr>
        <w:pStyle w:val="FootnoteText"/>
      </w:pPr>
      <w:r>
        <w:rPr>
          <w:rStyle w:val="FootnoteReference"/>
        </w:rPr>
        <w:footnoteRef/>
      </w:r>
      <w:r>
        <w:t xml:space="preserve"> </w:t>
      </w:r>
      <w:r>
        <w:t xml:space="preserve">Wang 2024, PMID 38182782.</w:t>
      </w:r>
    </w:p>
  </w:footnote>
  <w:footnote w:id="465">
    <w:p>
      <w:pPr>
        <w:pStyle w:val="FootnoteText"/>
      </w:pPr>
      <w:r>
        <w:rPr>
          <w:rStyle w:val="FootnoteReference"/>
        </w:rPr>
        <w:footnoteRef/>
      </w:r>
      <w:r>
        <w:t xml:space="preserve"> </w:t>
      </w:r>
      <w:r>
        <w:t xml:space="preserve">Lambson 2023, PMID 37392810.</w:t>
      </w:r>
    </w:p>
  </w:footnote>
  <w:footnote w:id="466">
    <w:p>
      <w:pPr>
        <w:pStyle w:val="FootnoteText"/>
      </w:pPr>
      <w:r>
        <w:rPr>
          <w:rStyle w:val="FootnoteReference"/>
        </w:rPr>
        <w:footnoteRef/>
      </w:r>
      <w:r>
        <w:t xml:space="preserve"> </w:t>
      </w:r>
      <w:r>
        <w:t xml:space="preserve">McCall 2026, PMID 40285721.</w:t>
      </w:r>
    </w:p>
  </w:footnote>
  <w:footnote w:id="467">
    <w:p>
      <w:pPr>
        <w:pStyle w:val="FootnoteText"/>
      </w:pPr>
      <w:r>
        <w:rPr>
          <w:rStyle w:val="FootnoteReference"/>
        </w:rPr>
        <w:footnoteRef/>
      </w:r>
      <w:r>
        <w:t xml:space="preserve"> </w:t>
      </w:r>
      <w:r>
        <w:t xml:space="preserve">Ashraf 2024, PMID 39509151.</w:t>
      </w:r>
    </w:p>
  </w:footnote>
  <w:footnote w:id="470">
    <w:p>
      <w:pPr>
        <w:pStyle w:val="FootnoteText"/>
      </w:pPr>
      <w:r>
        <w:rPr>
          <w:rStyle w:val="FootnoteReference"/>
        </w:rPr>
        <w:footnoteRef/>
      </w:r>
      <w:r>
        <w:t xml:space="preserve"> </w:t>
      </w:r>
      <w:r>
        <w:t xml:space="preserve">NCT03811561.</w:t>
      </w:r>
    </w:p>
  </w:footnote>
  <w:footnote w:id="471">
    <w:p>
      <w:pPr>
        <w:pStyle w:val="FootnoteText"/>
      </w:pPr>
      <w:r>
        <w:rPr>
          <w:rStyle w:val="FootnoteReference"/>
        </w:rPr>
        <w:footnoteRef/>
      </w:r>
      <w:r>
        <w:t xml:space="preserve"> </w:t>
      </w:r>
      <w:r>
        <w:t xml:space="preserve">NCT04822181.</w:t>
      </w:r>
    </w:p>
  </w:footnote>
  <w:footnote w:id="472">
    <w:p>
      <w:pPr>
        <w:pStyle w:val="FootnoteText"/>
      </w:pPr>
      <w:r>
        <w:rPr>
          <w:rStyle w:val="FootnoteReference"/>
        </w:rPr>
        <w:footnoteRef/>
      </w:r>
      <w:r>
        <w:t xml:space="preserve"> </w:t>
      </w:r>
      <w:r>
        <w:t xml:space="preserve">NCT05726227.</w:t>
      </w:r>
    </w:p>
  </w:footnote>
  <w:footnote w:id="473">
    <w:p>
      <w:pPr>
        <w:pStyle w:val="FootnoteText"/>
      </w:pPr>
      <w:r>
        <w:rPr>
          <w:rStyle w:val="FootnoteReference"/>
        </w:rPr>
        <w:footnoteRef/>
      </w:r>
      <w:r>
        <w:t xml:space="preserve"> </w:t>
      </w:r>
      <w:r>
        <w:t xml:space="preserve">NCT07770841.</w:t>
      </w:r>
    </w:p>
  </w:footnote>
  <w:footnote w:id="474">
    <w:p>
      <w:pPr>
        <w:pStyle w:val="FootnoteText"/>
      </w:pPr>
      <w:r>
        <w:rPr>
          <w:rStyle w:val="FootnoteReference"/>
        </w:rPr>
        <w:footnoteRef/>
      </w:r>
      <w:r>
        <w:t xml:space="preserve"> </w:t>
      </w:r>
      <w:r>
        <w:t xml:space="preserve">NCT05669755.</w:t>
      </w:r>
    </w:p>
  </w:footnote>
  <w:footnote w:id="479">
    <w:p>
      <w:pPr>
        <w:pStyle w:val="FootnoteText"/>
      </w:pPr>
      <w:r>
        <w:rPr>
          <w:rStyle w:val="FootnoteReference"/>
        </w:rPr>
        <w:footnoteRef/>
      </w:r>
      <w:r>
        <w:t xml:space="preserve"> </w:t>
      </w:r>
      <w:r>
        <w:t xml:space="preserve">Willard 2020, PMID 32730231.</w:t>
      </w:r>
    </w:p>
  </w:footnote>
  <w:footnote w:id="480">
    <w:p>
      <w:pPr>
        <w:pStyle w:val="FootnoteText"/>
      </w:pPr>
      <w:r>
        <w:rPr>
          <w:rStyle w:val="FootnoteReference"/>
        </w:rPr>
        <w:footnoteRef/>
      </w:r>
      <w:r>
        <w:t xml:space="preserve"> </w:t>
      </w:r>
      <w:r>
        <w:t xml:space="preserve">Samms 2021, PMID 34003802.</w:t>
      </w:r>
    </w:p>
  </w:footnote>
  <w:footnote w:id="481">
    <w:p>
      <w:pPr>
        <w:pStyle w:val="FootnoteText"/>
      </w:pPr>
      <w:r>
        <w:rPr>
          <w:rStyle w:val="FootnoteReference"/>
        </w:rPr>
        <w:footnoteRef/>
      </w:r>
      <w:r>
        <w:t xml:space="preserve"> </w:t>
      </w:r>
      <w:r>
        <w:t xml:space="preserve">Heise 2023, PMID 36857477.</w:t>
      </w:r>
    </w:p>
  </w:footnote>
  <w:footnote w:id="483">
    <w:p>
      <w:pPr>
        <w:pStyle w:val="FootnoteText"/>
      </w:pPr>
      <w:r>
        <w:rPr>
          <w:rStyle w:val="FootnoteReference"/>
        </w:rPr>
        <w:footnoteRef/>
      </w:r>
      <w:r>
        <w:t xml:space="preserve"> </w:t>
      </w:r>
      <w:r>
        <w:t xml:space="preserve">Coskun 2018, PMID 30473097.</w:t>
      </w:r>
    </w:p>
  </w:footnote>
  <w:footnote w:id="484">
    <w:p>
      <w:pPr>
        <w:pStyle w:val="FootnoteText"/>
      </w:pPr>
      <w:r>
        <w:rPr>
          <w:rStyle w:val="FootnoteReference"/>
        </w:rPr>
        <w:footnoteRef/>
      </w:r>
      <w:r>
        <w:t xml:space="preserve"> </w:t>
      </w:r>
      <w:r>
        <w:t xml:space="preserve">Frias 2018, PMID 30293770.</w:t>
      </w:r>
    </w:p>
  </w:footnote>
  <w:footnote w:id="486">
    <w:p>
      <w:pPr>
        <w:pStyle w:val="FootnoteText"/>
      </w:pPr>
      <w:r>
        <w:rPr>
          <w:rStyle w:val="FootnoteReference"/>
        </w:rPr>
        <w:footnoteRef/>
      </w:r>
      <w:r>
        <w:t xml:space="preserve"> </w:t>
      </w:r>
      <w:r>
        <w:t xml:space="preserve">Frías 2021, PMID 34170647.</w:t>
      </w:r>
    </w:p>
  </w:footnote>
  <w:footnote w:id="487">
    <w:p>
      <w:pPr>
        <w:pStyle w:val="FootnoteText"/>
      </w:pPr>
      <w:r>
        <w:rPr>
          <w:rStyle w:val="FootnoteReference"/>
        </w:rPr>
        <w:footnoteRef/>
      </w:r>
      <w:r>
        <w:t xml:space="preserve"> </w:t>
      </w:r>
      <w:r>
        <w:t xml:space="preserve">Ludvik 2021, PMID 34370970.</w:t>
      </w:r>
    </w:p>
  </w:footnote>
  <w:footnote w:id="488">
    <w:p>
      <w:pPr>
        <w:pStyle w:val="FootnoteText"/>
      </w:pPr>
      <w:r>
        <w:rPr>
          <w:rStyle w:val="FootnoteReference"/>
        </w:rPr>
        <w:footnoteRef/>
      </w:r>
      <w:r>
        <w:t xml:space="preserve"> </w:t>
      </w:r>
      <w:r>
        <w:t xml:space="preserve">Hannon 2025, PMID 40975112.</w:t>
      </w:r>
    </w:p>
  </w:footnote>
  <w:footnote w:id="489">
    <w:p>
      <w:pPr>
        <w:pStyle w:val="FootnoteText"/>
      </w:pPr>
      <w:r>
        <w:rPr>
          <w:rStyle w:val="FootnoteReference"/>
        </w:rPr>
        <w:footnoteRef/>
      </w:r>
      <w:r>
        <w:t xml:space="preserve"> </w:t>
      </w:r>
      <w:r>
        <w:t xml:space="preserve">Snaith 2026, PMID 41264593.</w:t>
      </w:r>
    </w:p>
  </w:footnote>
  <w:footnote w:id="490">
    <w:p>
      <w:pPr>
        <w:pStyle w:val="FootnoteText"/>
      </w:pPr>
      <w:r>
        <w:rPr>
          <w:rStyle w:val="FootnoteReference"/>
        </w:rPr>
        <w:footnoteRef/>
      </w:r>
      <w:r>
        <w:t xml:space="preserve"> </w:t>
      </w:r>
      <w:r>
        <w:t xml:space="preserve">Sattar 2022, PMID 35210595.</w:t>
      </w:r>
    </w:p>
  </w:footnote>
  <w:footnote w:id="492">
    <w:p>
      <w:pPr>
        <w:pStyle w:val="FootnoteText"/>
      </w:pPr>
      <w:r>
        <w:rPr>
          <w:rStyle w:val="FootnoteReference"/>
        </w:rPr>
        <w:footnoteRef/>
      </w:r>
      <w:r>
        <w:t xml:space="preserve"> </w:t>
      </w:r>
      <w:r>
        <w:t xml:space="preserve">Nicholls 2025, PMID 41406444.</w:t>
      </w:r>
    </w:p>
  </w:footnote>
  <w:footnote w:id="493">
    <w:p>
      <w:pPr>
        <w:pStyle w:val="FootnoteText"/>
      </w:pPr>
      <w:r>
        <w:rPr>
          <w:rStyle w:val="FootnoteReference"/>
        </w:rPr>
        <w:footnoteRef/>
      </w:r>
      <w:r>
        <w:t xml:space="preserve"> </w:t>
      </w:r>
      <w:r>
        <w:t xml:space="preserve">Nissen 2026, PMID 41903177.</w:t>
      </w:r>
    </w:p>
  </w:footnote>
  <w:footnote w:id="494">
    <w:p>
      <w:pPr>
        <w:pStyle w:val="FootnoteText"/>
      </w:pPr>
      <w:r>
        <w:rPr>
          <w:rStyle w:val="FootnoteReference"/>
        </w:rPr>
        <w:footnoteRef/>
      </w:r>
      <w:r>
        <w:t xml:space="preserve"> </w:t>
      </w:r>
      <w:r>
        <w:t xml:space="preserve">Sattar 2026, PMID 41940793.</w:t>
      </w:r>
    </w:p>
  </w:footnote>
  <w:footnote w:id="496">
    <w:p>
      <w:pPr>
        <w:pStyle w:val="FootnoteText"/>
      </w:pPr>
      <w:r>
        <w:rPr>
          <w:rStyle w:val="FootnoteReference"/>
        </w:rPr>
        <w:footnoteRef/>
      </w:r>
      <w:r>
        <w:t xml:space="preserve"> </w:t>
      </w:r>
      <w:r>
        <w:t xml:space="preserve">Jastreboff 2022, PMID 35658024.</w:t>
      </w:r>
    </w:p>
  </w:footnote>
  <w:footnote w:id="497">
    <w:p>
      <w:pPr>
        <w:pStyle w:val="FootnoteText"/>
      </w:pPr>
      <w:r>
        <w:rPr>
          <w:rStyle w:val="FootnoteReference"/>
        </w:rPr>
        <w:footnoteRef/>
      </w:r>
      <w:r>
        <w:t xml:space="preserve"> </w:t>
      </w:r>
      <w:r>
        <w:t xml:space="preserve">Garvey 2023, PMID 37385275.</w:t>
      </w:r>
    </w:p>
  </w:footnote>
  <w:footnote w:id="498">
    <w:p>
      <w:pPr>
        <w:pStyle w:val="FootnoteText"/>
      </w:pPr>
      <w:r>
        <w:rPr>
          <w:rStyle w:val="FootnoteReference"/>
        </w:rPr>
        <w:footnoteRef/>
      </w:r>
      <w:r>
        <w:t xml:space="preserve"> </w:t>
      </w:r>
      <w:r>
        <w:t xml:space="preserve">Aronne 2024, PMID 38078870.</w:t>
      </w:r>
    </w:p>
  </w:footnote>
  <w:footnote w:id="499">
    <w:p>
      <w:pPr>
        <w:pStyle w:val="FootnoteText"/>
      </w:pPr>
      <w:r>
        <w:rPr>
          <w:rStyle w:val="FootnoteReference"/>
        </w:rPr>
        <w:footnoteRef/>
      </w:r>
      <w:r>
        <w:t xml:space="preserve"> </w:t>
      </w:r>
      <w:r>
        <w:t xml:space="preserve">Horn 2026, PMID 42119587.</w:t>
      </w:r>
    </w:p>
  </w:footnote>
  <w:footnote w:id="500">
    <w:p>
      <w:pPr>
        <w:pStyle w:val="FootnoteText"/>
      </w:pPr>
      <w:r>
        <w:rPr>
          <w:rStyle w:val="FootnoteReference"/>
        </w:rPr>
        <w:footnoteRef/>
      </w:r>
      <w:r>
        <w:t xml:space="preserve"> </w:t>
      </w:r>
      <w:r>
        <w:t xml:space="preserve">Jastreboff 2025, PMID 39536238.</w:t>
      </w:r>
    </w:p>
  </w:footnote>
  <w:footnote w:id="502">
    <w:p>
      <w:pPr>
        <w:pStyle w:val="FootnoteText"/>
      </w:pPr>
      <w:r>
        <w:rPr>
          <w:rStyle w:val="FootnoteReference"/>
        </w:rPr>
        <w:footnoteRef/>
      </w:r>
      <w:r>
        <w:t xml:space="preserve"> </w:t>
      </w:r>
      <w:r>
        <w:t xml:space="preserve">Aronne 2025, PMID 40353578.</w:t>
      </w:r>
    </w:p>
  </w:footnote>
  <w:footnote w:id="503">
    <w:p>
      <w:pPr>
        <w:pStyle w:val="FootnoteText"/>
      </w:pPr>
      <w:r>
        <w:rPr>
          <w:rStyle w:val="FootnoteReference"/>
        </w:rPr>
        <w:footnoteRef/>
      </w:r>
      <w:r>
        <w:t xml:space="preserve"> </w:t>
      </w:r>
      <w:r>
        <w:t xml:space="preserve">Aronne 2026, PMID 41865857.</w:t>
      </w:r>
    </w:p>
  </w:footnote>
  <w:footnote w:id="505">
    <w:p>
      <w:pPr>
        <w:pStyle w:val="FootnoteText"/>
      </w:pPr>
      <w:r>
        <w:rPr>
          <w:rStyle w:val="FootnoteReference"/>
        </w:rPr>
        <w:footnoteRef/>
      </w:r>
      <w:r>
        <w:t xml:space="preserve"> </w:t>
      </w:r>
      <w:r>
        <w:t xml:space="preserve">Packer 2025, PMID 39555826.</w:t>
      </w:r>
    </w:p>
  </w:footnote>
  <w:footnote w:id="506">
    <w:p>
      <w:pPr>
        <w:pStyle w:val="FootnoteText"/>
      </w:pPr>
      <w:r>
        <w:rPr>
          <w:rStyle w:val="FootnoteReference"/>
        </w:rPr>
        <w:footnoteRef/>
      </w:r>
      <w:r>
        <w:t xml:space="preserve"> </w:t>
      </w:r>
      <w:r>
        <w:t xml:space="preserve">Kramer 2025, PMID 39566869.</w:t>
      </w:r>
    </w:p>
  </w:footnote>
  <w:footnote w:id="508">
    <w:p>
      <w:pPr>
        <w:pStyle w:val="FootnoteText"/>
      </w:pPr>
      <w:r>
        <w:rPr>
          <w:rStyle w:val="FootnoteReference"/>
        </w:rPr>
        <w:footnoteRef/>
      </w:r>
      <w:r>
        <w:t xml:space="preserve"> </w:t>
      </w:r>
      <w:r>
        <w:t xml:space="preserve">Malhotra 2024, PMID 38912654.</w:t>
      </w:r>
    </w:p>
  </w:footnote>
  <w:footnote w:id="510">
    <w:p>
      <w:pPr>
        <w:pStyle w:val="FootnoteText"/>
      </w:pPr>
      <w:r>
        <w:rPr>
          <w:rStyle w:val="FootnoteReference"/>
        </w:rPr>
        <w:footnoteRef/>
      </w:r>
      <w:r>
        <w:t xml:space="preserve"> </w:t>
      </w:r>
      <w:r>
        <w:t xml:space="preserve">Loomba 2024, PMID 38856224.</w:t>
      </w:r>
    </w:p>
  </w:footnote>
  <w:footnote w:id="512">
    <w:p>
      <w:pPr>
        <w:pStyle w:val="FootnoteText"/>
      </w:pPr>
      <w:r>
        <w:rPr>
          <w:rStyle w:val="FootnoteReference"/>
        </w:rPr>
        <w:footnoteRef/>
      </w:r>
      <w:r>
        <w:t xml:space="preserve"> </w:t>
      </w:r>
      <w:r>
        <w:t xml:space="preserve">Lebwohl 2026, PMID 42139049.</w:t>
      </w:r>
    </w:p>
  </w:footnote>
  <w:footnote w:id="513">
    <w:p>
      <w:pPr>
        <w:pStyle w:val="FootnoteText"/>
      </w:pPr>
      <w:r>
        <w:rPr>
          <w:rStyle w:val="FootnoteReference"/>
        </w:rPr>
        <w:footnoteRef/>
      </w:r>
      <w:r>
        <w:t xml:space="preserve"> </w:t>
      </w:r>
      <w:r>
        <w:t xml:space="preserve">Look 2025, PMID 39996356.</w:t>
      </w:r>
    </w:p>
  </w:footnote>
  <w:footnote w:id="516">
    <w:p>
      <w:pPr>
        <w:pStyle w:val="FootnoteText"/>
      </w:pPr>
      <w:r>
        <w:rPr>
          <w:rStyle w:val="FootnoteReference"/>
        </w:rPr>
        <w:footnoteRef/>
      </w:r>
      <w:r>
        <w:t xml:space="preserve"> </w:t>
      </w:r>
      <w:r>
        <w:t xml:space="preserve">Coskun 2018, PMID 30473097.</w:t>
      </w:r>
    </w:p>
  </w:footnote>
  <w:footnote w:id="517">
    <w:p>
      <w:pPr>
        <w:pStyle w:val="FootnoteText"/>
      </w:pPr>
      <w:r>
        <w:rPr>
          <w:rStyle w:val="FootnoteReference"/>
        </w:rPr>
        <w:footnoteRef/>
      </w:r>
      <w:r>
        <w:t xml:space="preserve"> </w:t>
      </w:r>
      <w:r>
        <w:t xml:space="preserve">Samms 2021, PMID 34003802.</w:t>
      </w:r>
    </w:p>
  </w:footnote>
  <w:footnote w:id="518">
    <w:p>
      <w:pPr>
        <w:pStyle w:val="FootnoteText"/>
      </w:pPr>
      <w:r>
        <w:rPr>
          <w:rStyle w:val="FootnoteReference"/>
        </w:rPr>
        <w:footnoteRef/>
      </w:r>
      <w:r>
        <w:t xml:space="preserve"> </w:t>
      </w:r>
      <w:r>
        <w:t xml:space="preserve">Martin 2024, PMID 39243911.</w:t>
      </w:r>
    </w:p>
  </w:footnote>
  <w:footnote w:id="520">
    <w:p>
      <w:pPr>
        <w:pStyle w:val="FootnoteText"/>
      </w:pPr>
      <w:r>
        <w:rPr>
          <w:rStyle w:val="FootnoteReference"/>
        </w:rPr>
        <w:footnoteRef/>
      </w:r>
      <w:r>
        <w:t xml:space="preserve"> </w:t>
      </w:r>
      <w:r>
        <w:t xml:space="preserve">Ludvik 2021, PMID 34370970.</w:t>
      </w:r>
    </w:p>
  </w:footnote>
  <w:footnote w:id="521">
    <w:p>
      <w:pPr>
        <w:pStyle w:val="FootnoteText"/>
      </w:pPr>
      <w:r>
        <w:rPr>
          <w:rStyle w:val="FootnoteReference"/>
        </w:rPr>
        <w:footnoteRef/>
      </w:r>
      <w:r>
        <w:t xml:space="preserve"> </w:t>
      </w:r>
      <w:r>
        <w:t xml:space="preserve">Zeng 2023, PMID 37908750.</w:t>
      </w:r>
    </w:p>
  </w:footnote>
  <w:footnote w:id="522">
    <w:p>
      <w:pPr>
        <w:pStyle w:val="FootnoteText"/>
      </w:pPr>
      <w:r>
        <w:rPr>
          <w:rStyle w:val="FootnoteReference"/>
        </w:rPr>
        <w:footnoteRef/>
      </w:r>
      <w:r>
        <w:t xml:space="preserve"> </w:t>
      </w:r>
      <w:r>
        <w:t xml:space="preserve">Del Prato 2021, PMID 34672967.</w:t>
      </w:r>
    </w:p>
  </w:footnote>
  <w:footnote w:id="523">
    <w:p>
      <w:pPr>
        <w:pStyle w:val="FootnoteText"/>
      </w:pPr>
      <w:r>
        <w:rPr>
          <w:rStyle w:val="FootnoteReference"/>
        </w:rPr>
        <w:footnoteRef/>
      </w:r>
      <w:r>
        <w:t xml:space="preserve"> </w:t>
      </w:r>
      <w:r>
        <w:t xml:space="preserve">Wadden 2026, PMID 41537305.</w:t>
      </w:r>
    </w:p>
  </w:footnote>
  <w:footnote w:id="524">
    <w:p>
      <w:pPr>
        <w:pStyle w:val="FootnoteText"/>
      </w:pPr>
      <w:r>
        <w:rPr>
          <w:rStyle w:val="FootnoteReference"/>
        </w:rPr>
        <w:footnoteRef/>
      </w:r>
      <w:r>
        <w:t xml:space="preserve"> </w:t>
      </w:r>
      <w:r>
        <w:t xml:space="preserve">Look 2025, PMID 39996356.</w:t>
      </w:r>
    </w:p>
  </w:footnote>
  <w:footnote w:id="525">
    <w:p>
      <w:pPr>
        <w:pStyle w:val="FootnoteText"/>
      </w:pPr>
      <w:r>
        <w:rPr>
          <w:rStyle w:val="FootnoteReference"/>
        </w:rPr>
        <w:footnoteRef/>
      </w:r>
      <w:r>
        <w:t xml:space="preserve"> </w:t>
      </w:r>
      <w:r>
        <w:t xml:space="preserve">Caruso 2024, PMID 39141075.</w:t>
      </w:r>
    </w:p>
  </w:footnote>
  <w:footnote w:id="526">
    <w:p>
      <w:pPr>
        <w:pStyle w:val="FootnoteText"/>
      </w:pPr>
      <w:r>
        <w:rPr>
          <w:rStyle w:val="FootnoteReference"/>
        </w:rPr>
        <w:footnoteRef/>
      </w:r>
      <w:r>
        <w:t xml:space="preserve"> </w:t>
      </w:r>
      <w:r>
        <w:t xml:space="preserve">Crisafulli 2026, PMID 41183330.</w:t>
      </w:r>
    </w:p>
  </w:footnote>
  <w:footnote w:id="527">
    <w:p>
      <w:pPr>
        <w:pStyle w:val="FootnoteText"/>
      </w:pPr>
      <w:r>
        <w:rPr>
          <w:rStyle w:val="FootnoteReference"/>
        </w:rPr>
        <w:footnoteRef/>
      </w:r>
      <w:r>
        <w:t xml:space="preserve"> </w:t>
      </w:r>
      <w:r>
        <w:t xml:space="preserve">Belcourt 2026, PMID 41689811.</w:t>
      </w:r>
    </w:p>
  </w:footnote>
  <w:footnote w:id="530">
    <w:p>
      <w:pPr>
        <w:pStyle w:val="FootnoteText"/>
      </w:pPr>
      <w:r>
        <w:rPr>
          <w:rStyle w:val="FootnoteReference"/>
        </w:rPr>
        <w:footnoteRef/>
      </w:r>
      <w:r>
        <w:t xml:space="preserve"> </w:t>
      </w:r>
      <w:r>
        <w:t xml:space="preserve">NCT05556512.</w:t>
      </w:r>
    </w:p>
  </w:footnote>
  <w:footnote w:id="531">
    <w:p>
      <w:pPr>
        <w:pStyle w:val="FootnoteText"/>
      </w:pPr>
      <w:r>
        <w:rPr>
          <w:rStyle w:val="FootnoteReference"/>
        </w:rPr>
        <w:footnoteRef/>
      </w:r>
      <w:r>
        <w:t xml:space="preserve"> </w:t>
      </w:r>
      <w:r>
        <w:t xml:space="preserve">Lam 2025, PMID 40545827.</w:t>
      </w:r>
    </w:p>
  </w:footnote>
  <w:footnote w:id="532">
    <w:p>
      <w:pPr>
        <w:pStyle w:val="FootnoteText"/>
      </w:pPr>
      <w:r>
        <w:rPr>
          <w:rStyle w:val="FootnoteReference"/>
        </w:rPr>
        <w:footnoteRef/>
      </w:r>
      <w:r>
        <w:t xml:space="preserve"> </w:t>
      </w:r>
      <w:r>
        <w:t xml:space="preserve">NCT07165028.</w:t>
      </w:r>
    </w:p>
  </w:footnote>
  <w:footnote w:id="533">
    <w:p>
      <w:pPr>
        <w:pStyle w:val="FootnoteText"/>
      </w:pPr>
      <w:r>
        <w:rPr>
          <w:rStyle w:val="FootnoteReference"/>
        </w:rPr>
        <w:footnoteRef/>
      </w:r>
      <w:r>
        <w:t xml:space="preserve"> </w:t>
      </w:r>
      <w:r>
        <w:t xml:space="preserve">NCT06914895, NCT06962280.</w:t>
      </w:r>
    </w:p>
  </w:footnote>
  <w:footnote w:id="534">
    <w:p>
      <w:pPr>
        <w:pStyle w:val="FootnoteText"/>
      </w:pPr>
      <w:r>
        <w:rPr>
          <w:rStyle w:val="FootnoteReference"/>
        </w:rPr>
        <w:footnoteRef/>
      </w:r>
      <w:r>
        <w:t xml:space="preserve"> </w:t>
      </w:r>
      <w:r>
        <w:t xml:space="preserve">NCT07817875.</w:t>
      </w:r>
    </w:p>
  </w:footnote>
  <w:footnote w:id="539">
    <w:p>
      <w:pPr>
        <w:pStyle w:val="FootnoteText"/>
      </w:pPr>
      <w:r>
        <w:rPr>
          <w:rStyle w:val="FootnoteReference"/>
        </w:rPr>
        <w:footnoteRef/>
      </w:r>
      <w:r>
        <w:t xml:space="preserve"> </w:t>
      </w:r>
      <w:r>
        <w:t xml:space="preserve">Coskun 2022, PMID 35985340.</w:t>
      </w:r>
    </w:p>
  </w:footnote>
  <w:footnote w:id="540">
    <w:p>
      <w:pPr>
        <w:pStyle w:val="FootnoteText"/>
      </w:pPr>
      <w:r>
        <w:rPr>
          <w:rStyle w:val="FootnoteReference"/>
        </w:rPr>
        <w:footnoteRef/>
      </w:r>
      <w:r>
        <w:t xml:space="preserve"> </w:t>
      </w:r>
      <w:r>
        <w:t xml:space="preserve">NCT06313528.</w:t>
      </w:r>
    </w:p>
  </w:footnote>
  <w:footnote w:id="541">
    <w:p>
      <w:pPr>
        <w:pStyle w:val="FootnoteText"/>
      </w:pPr>
      <w:r>
        <w:rPr>
          <w:rStyle w:val="FootnoteReference"/>
        </w:rPr>
        <w:footnoteRef/>
      </w:r>
      <w:r>
        <w:t xml:space="preserve"> </w:t>
      </w:r>
      <w:r>
        <w:t xml:space="preserve">Kanu 2025, PMID 40916752.</w:t>
      </w:r>
    </w:p>
  </w:footnote>
  <w:footnote w:id="543">
    <w:p>
      <w:pPr>
        <w:pStyle w:val="FootnoteText"/>
      </w:pPr>
      <w:r>
        <w:rPr>
          <w:rStyle w:val="FootnoteReference"/>
        </w:rPr>
        <w:footnoteRef/>
      </w:r>
      <w:r>
        <w:t xml:space="preserve"> </w:t>
      </w:r>
      <w:r>
        <w:t xml:space="preserve">Coskun 2022, PMID 35985340.</w:t>
      </w:r>
    </w:p>
  </w:footnote>
  <w:footnote w:id="544">
    <w:p>
      <w:pPr>
        <w:pStyle w:val="FootnoteText"/>
      </w:pPr>
      <w:r>
        <w:rPr>
          <w:rStyle w:val="FootnoteReference"/>
        </w:rPr>
        <w:footnoteRef/>
      </w:r>
      <w:r>
        <w:t xml:space="preserve"> </w:t>
      </w:r>
      <w:r>
        <w:t xml:space="preserve">Urva 2022, PMID 36354040.</w:t>
      </w:r>
    </w:p>
  </w:footnote>
  <w:footnote w:id="546">
    <w:p>
      <w:pPr>
        <w:pStyle w:val="FootnoteText"/>
      </w:pPr>
      <w:r>
        <w:rPr>
          <w:rStyle w:val="FootnoteReference"/>
        </w:rPr>
        <w:footnoteRef/>
      </w:r>
      <w:r>
        <w:t xml:space="preserve"> </w:t>
      </w:r>
      <w:r>
        <w:t xml:space="preserve">Jastreboff 2023, PMID 37366315.</w:t>
      </w:r>
    </w:p>
  </w:footnote>
  <w:footnote w:id="547">
    <w:p>
      <w:pPr>
        <w:pStyle w:val="FootnoteText"/>
      </w:pPr>
      <w:r>
        <w:rPr>
          <w:rStyle w:val="FootnoteReference"/>
        </w:rPr>
        <w:footnoteRef/>
      </w:r>
      <w:r>
        <w:t xml:space="preserve"> </w:t>
      </w:r>
      <w:r>
        <w:t xml:space="preserve">Rosenstock 2023, PMID 37385280.</w:t>
      </w:r>
    </w:p>
  </w:footnote>
  <w:footnote w:id="548">
    <w:p>
      <w:pPr>
        <w:pStyle w:val="FootnoteText"/>
      </w:pPr>
      <w:r>
        <w:rPr>
          <w:rStyle w:val="FootnoteReference"/>
        </w:rPr>
        <w:footnoteRef/>
      </w:r>
      <w:r>
        <w:t xml:space="preserve"> </w:t>
      </w:r>
      <w:r>
        <w:t xml:space="preserve">Coskun 2025, PMID 40609566.</w:t>
      </w:r>
    </w:p>
  </w:footnote>
  <w:footnote w:id="549">
    <w:p>
      <w:pPr>
        <w:pStyle w:val="FootnoteText"/>
      </w:pPr>
      <w:r>
        <w:rPr>
          <w:rStyle w:val="FootnoteReference"/>
        </w:rPr>
        <w:footnoteRef/>
      </w:r>
      <w:r>
        <w:t xml:space="preserve"> </w:t>
      </w:r>
      <w:r>
        <w:t xml:space="preserve">Sanyal 2024, PMID 38858523.</w:t>
      </w:r>
    </w:p>
  </w:footnote>
  <w:footnote w:id="550">
    <w:p>
      <w:pPr>
        <w:pStyle w:val="FootnoteText"/>
      </w:pPr>
      <w:r>
        <w:rPr>
          <w:rStyle w:val="FootnoteReference"/>
        </w:rPr>
        <w:footnoteRef/>
      </w:r>
      <w:r>
        <w:t xml:space="preserve"> </w:t>
      </w:r>
      <w:r>
        <w:t xml:space="preserve">Ruotolo 2026, PMID 42608321.</w:t>
      </w:r>
    </w:p>
  </w:footnote>
  <w:footnote w:id="552">
    <w:p>
      <w:pPr>
        <w:pStyle w:val="FootnoteText"/>
      </w:pPr>
      <w:r>
        <w:rPr>
          <w:rStyle w:val="FootnoteReference"/>
        </w:rPr>
        <w:footnoteRef/>
      </w:r>
      <w:r>
        <w:t xml:space="preserve"> </w:t>
      </w:r>
      <w:r>
        <w:t xml:space="preserve">Giblin 2026, PMID 41090431.</w:t>
      </w:r>
    </w:p>
  </w:footnote>
  <w:footnote w:id="553">
    <w:p>
      <w:pPr>
        <w:pStyle w:val="FootnoteText"/>
      </w:pPr>
      <w:r>
        <w:rPr>
          <w:rStyle w:val="FootnoteReference"/>
        </w:rPr>
        <w:footnoteRef/>
      </w:r>
      <w:r>
        <w:t xml:space="preserve"> </w:t>
      </w:r>
      <w:r>
        <w:t xml:space="preserve">Jastreboff 2026, PMID 42814954.</w:t>
      </w:r>
    </w:p>
  </w:footnote>
  <w:footnote w:id="554">
    <w:p>
      <w:pPr>
        <w:pStyle w:val="FootnoteText"/>
      </w:pPr>
      <w:r>
        <w:rPr>
          <w:rStyle w:val="FootnoteReference"/>
        </w:rPr>
        <w:footnoteRef/>
      </w:r>
      <w:r>
        <w:t xml:space="preserve"> </w:t>
      </w:r>
      <w:r>
        <w:t xml:space="preserve">Bellido 2026, PMID 42810372.</w:t>
      </w:r>
    </w:p>
  </w:footnote>
  <w:footnote w:id="555">
    <w:p>
      <w:pPr>
        <w:pStyle w:val="FootnoteText"/>
      </w:pPr>
      <w:r>
        <w:rPr>
          <w:rStyle w:val="FootnoteReference"/>
        </w:rPr>
        <w:footnoteRef/>
      </w:r>
      <w:r>
        <w:t xml:space="preserve"> </w:t>
      </w:r>
      <w:r>
        <w:t xml:space="preserve">Bajaj 2026, PMID 42250575.</w:t>
      </w:r>
    </w:p>
  </w:footnote>
  <w:footnote w:id="558">
    <w:p>
      <w:pPr>
        <w:pStyle w:val="FootnoteText"/>
      </w:pPr>
      <w:r>
        <w:rPr>
          <w:rStyle w:val="FootnoteReference"/>
        </w:rPr>
        <w:footnoteRef/>
      </w:r>
      <w:r>
        <w:t xml:space="preserve"> </w:t>
      </w:r>
      <w:r>
        <w:t xml:space="preserve">Coskun 2022, PMID 35985340.</w:t>
      </w:r>
    </w:p>
  </w:footnote>
  <w:footnote w:id="559">
    <w:p>
      <w:pPr>
        <w:pStyle w:val="FootnoteText"/>
      </w:pPr>
      <w:r>
        <w:rPr>
          <w:rStyle w:val="FootnoteReference"/>
        </w:rPr>
        <w:footnoteRef/>
      </w:r>
      <w:r>
        <w:t xml:space="preserve"> </w:t>
      </w:r>
      <w:r>
        <w:t xml:space="preserve">Marathe 2025, PMID 40094000.</w:t>
      </w:r>
    </w:p>
  </w:footnote>
  <w:footnote w:id="560">
    <w:p>
      <w:pPr>
        <w:pStyle w:val="FootnoteText"/>
      </w:pPr>
      <w:r>
        <w:rPr>
          <w:rStyle w:val="FootnoteReference"/>
        </w:rPr>
        <w:footnoteRef/>
      </w:r>
      <w:r>
        <w:t xml:space="preserve"> </w:t>
      </w:r>
      <w:r>
        <w:t xml:space="preserve">Carneiro 2026, PMID 42745421.</w:t>
      </w:r>
    </w:p>
  </w:footnote>
  <w:footnote w:id="562">
    <w:p>
      <w:pPr>
        <w:pStyle w:val="FootnoteText"/>
      </w:pPr>
      <w:r>
        <w:rPr>
          <w:rStyle w:val="FootnoteReference"/>
        </w:rPr>
        <w:footnoteRef/>
      </w:r>
      <w:r>
        <w:t xml:space="preserve"> </w:t>
      </w:r>
      <w:r>
        <w:t xml:space="preserve">Bellido 2026, PMID 42810372.</w:t>
      </w:r>
    </w:p>
  </w:footnote>
  <w:footnote w:id="563">
    <w:p>
      <w:pPr>
        <w:pStyle w:val="FootnoteText"/>
      </w:pPr>
      <w:r>
        <w:rPr>
          <w:rStyle w:val="FootnoteReference"/>
        </w:rPr>
        <w:footnoteRef/>
      </w:r>
      <w:r>
        <w:t xml:space="preserve"> </w:t>
      </w:r>
      <w:r>
        <w:t xml:space="preserve">Jastreboff 2023, PMID 37366315.</w:t>
      </w:r>
    </w:p>
  </w:footnote>
  <w:footnote w:id="564">
    <w:p>
      <w:pPr>
        <w:pStyle w:val="FootnoteText"/>
      </w:pPr>
      <w:r>
        <w:rPr>
          <w:rStyle w:val="FootnoteReference"/>
        </w:rPr>
        <w:footnoteRef/>
      </w:r>
      <w:r>
        <w:t xml:space="preserve"> </w:t>
      </w:r>
      <w:r>
        <w:t xml:space="preserve">Rubin 2026, PMID 42853576.</w:t>
      </w:r>
    </w:p>
  </w:footnote>
  <w:footnote w:id="566">
    <w:p>
      <w:pPr>
        <w:pStyle w:val="FootnoteText"/>
      </w:pPr>
      <w:r>
        <w:rPr>
          <w:rStyle w:val="FootnoteReference"/>
        </w:rPr>
        <w:footnoteRef/>
      </w:r>
      <w:r>
        <w:t xml:space="preserve"> </w:t>
      </w:r>
      <w:r>
        <w:t xml:space="preserve">NCT07629401.</w:t>
      </w:r>
    </w:p>
  </w:footnote>
  <w:footnote w:id="568">
    <w:p>
      <w:pPr>
        <w:pStyle w:val="FootnoteText"/>
      </w:pPr>
      <w:r>
        <w:rPr>
          <w:rStyle w:val="FootnoteReference"/>
        </w:rPr>
        <w:footnoteRef/>
      </w:r>
      <w:r>
        <w:t xml:space="preserve"> </w:t>
      </w:r>
      <w:r>
        <w:t xml:space="preserve">NCT06383390.</w:t>
      </w:r>
    </w:p>
  </w:footnote>
  <w:footnote w:id="569">
    <w:p>
      <w:pPr>
        <w:pStyle w:val="FootnoteText"/>
      </w:pPr>
      <w:r>
        <w:rPr>
          <w:rStyle w:val="FootnoteReference"/>
        </w:rPr>
        <w:footnoteRef/>
      </w:r>
      <w:r>
        <w:t xml:space="preserve"> </w:t>
      </w:r>
      <w:r>
        <w:t xml:space="preserve">NCT06662383.</w:t>
      </w:r>
    </w:p>
  </w:footnote>
  <w:footnote w:id="570">
    <w:p>
      <w:pPr>
        <w:pStyle w:val="FootnoteText"/>
      </w:pPr>
      <w:r>
        <w:rPr>
          <w:rStyle w:val="FootnoteReference"/>
        </w:rPr>
        <w:footnoteRef/>
      </w:r>
      <w:r>
        <w:t xml:space="preserve"> </w:t>
      </w:r>
      <w:r>
        <w:t xml:space="preserve">NCT06260722.</w:t>
      </w:r>
    </w:p>
  </w:footnote>
  <w:footnote w:id="571">
    <w:p>
      <w:pPr>
        <w:pStyle w:val="FootnoteText"/>
      </w:pPr>
      <w:r>
        <w:rPr>
          <w:rStyle w:val="FootnoteReference"/>
        </w:rPr>
        <w:footnoteRef/>
      </w:r>
      <w:r>
        <w:t xml:space="preserve"> </w:t>
      </w:r>
      <w:r>
        <w:t xml:space="preserve">NCT06859268.</w:t>
      </w:r>
    </w:p>
  </w:footnote>
  <w:footnote w:id="572">
    <w:p>
      <w:pPr>
        <w:pStyle w:val="FootnoteText"/>
      </w:pPr>
      <w:r>
        <w:rPr>
          <w:rStyle w:val="FootnoteReference"/>
        </w:rPr>
        <w:footnoteRef/>
      </w:r>
      <w:r>
        <w:t xml:space="preserve"> </w:t>
      </w:r>
      <w:r>
        <w:t xml:space="preserve">NCT06297603.</w:t>
      </w:r>
    </w:p>
  </w:footnote>
  <w:footnote w:id="573">
    <w:p>
      <w:pPr>
        <w:pStyle w:val="FootnoteText"/>
      </w:pPr>
      <w:r>
        <w:rPr>
          <w:rStyle w:val="FootnoteReference"/>
        </w:rPr>
        <w:footnoteRef/>
      </w:r>
      <w:r>
        <w:t xml:space="preserve"> </w:t>
      </w:r>
      <w:r>
        <w:t xml:space="preserve">NCT07035093.</w:t>
      </w:r>
    </w:p>
  </w:footnote>
  <w:footnote w:id="574">
    <w:p>
      <w:pPr>
        <w:pStyle w:val="FootnoteText"/>
      </w:pPr>
      <w:r>
        <w:rPr>
          <w:rStyle w:val="FootnoteReference"/>
        </w:rPr>
        <w:footnoteRef/>
      </w:r>
      <w:r>
        <w:t xml:space="preserve"> </w:t>
      </w:r>
      <w:r>
        <w:t xml:space="preserve">NCT07165028.</w:t>
      </w:r>
    </w:p>
  </w:footnote>
  <w:footnote w:id="579">
    <w:p>
      <w:pPr>
        <w:pStyle w:val="FootnoteText"/>
      </w:pPr>
      <w:r>
        <w:rPr>
          <w:rStyle w:val="FootnoteReference"/>
        </w:rPr>
        <w:footnoteRef/>
      </w:r>
      <w:r>
        <w:t xml:space="preserve"> </w:t>
      </w:r>
      <w:r>
        <w:t xml:space="preserve">Thomas 2024, PMID 38560764.</w:t>
      </w:r>
    </w:p>
  </w:footnote>
  <w:footnote w:id="580">
    <w:p>
      <w:pPr>
        <w:pStyle w:val="FootnoteText"/>
      </w:pPr>
      <w:r>
        <w:rPr>
          <w:rStyle w:val="FootnoteReference"/>
        </w:rPr>
        <w:footnoteRef/>
      </w:r>
      <w:r>
        <w:t xml:space="preserve"> </w:t>
      </w:r>
      <w:r>
        <w:t xml:space="preserve">Zimmermann 2026, PMID 41638399.</w:t>
      </w:r>
    </w:p>
  </w:footnote>
  <w:footnote w:id="581">
    <w:p>
      <w:pPr>
        <w:pStyle w:val="FootnoteText"/>
      </w:pPr>
      <w:r>
        <w:rPr>
          <w:rStyle w:val="FootnoteReference"/>
        </w:rPr>
        <w:footnoteRef/>
      </w:r>
      <w:r>
        <w:t xml:space="preserve"> </w:t>
      </w:r>
      <w:r>
        <w:t xml:space="preserve">NCT06745284.</w:t>
      </w:r>
    </w:p>
  </w:footnote>
  <w:footnote w:id="583">
    <w:p>
      <w:pPr>
        <w:pStyle w:val="FootnoteText"/>
      </w:pPr>
      <w:r>
        <w:rPr>
          <w:rStyle w:val="FootnoteReference"/>
        </w:rPr>
        <w:footnoteRef/>
      </w:r>
      <w:r>
        <w:t xml:space="preserve"> </w:t>
      </w:r>
      <w:r>
        <w:t xml:space="preserve">le Roux 2024, PMID 38330987.</w:t>
      </w:r>
    </w:p>
  </w:footnote>
  <w:footnote w:id="584">
    <w:p>
      <w:pPr>
        <w:pStyle w:val="FootnoteText"/>
      </w:pPr>
      <w:r>
        <w:rPr>
          <w:rStyle w:val="FootnoteReference"/>
        </w:rPr>
        <w:footnoteRef/>
      </w:r>
      <w:r>
        <w:t xml:space="preserve"> </w:t>
      </w:r>
      <w:r>
        <w:t xml:space="preserve">le Roux 2026, PMID 42253238.</w:t>
      </w:r>
    </w:p>
  </w:footnote>
  <w:footnote w:id="585">
    <w:p>
      <w:pPr>
        <w:pStyle w:val="FootnoteText"/>
      </w:pPr>
      <w:r>
        <w:rPr>
          <w:rStyle w:val="FootnoteReference"/>
        </w:rPr>
        <w:footnoteRef/>
      </w:r>
      <w:r>
        <w:t xml:space="preserve"> </w:t>
      </w:r>
      <w:r>
        <w:t xml:space="preserve">Wharton 2026, PMID 42820639.</w:t>
      </w:r>
    </w:p>
  </w:footnote>
  <w:footnote w:id="586">
    <w:p>
      <w:pPr>
        <w:pStyle w:val="FootnoteText"/>
      </w:pPr>
      <w:r>
        <w:rPr>
          <w:rStyle w:val="FootnoteReference"/>
        </w:rPr>
        <w:footnoteRef/>
      </w:r>
      <w:r>
        <w:t xml:space="preserve"> </w:t>
      </w:r>
      <w:r>
        <w:t xml:space="preserve">Blüher 2024, PMID 38095657.</w:t>
      </w:r>
    </w:p>
  </w:footnote>
  <w:footnote w:id="588">
    <w:p>
      <w:pPr>
        <w:pStyle w:val="FootnoteText"/>
      </w:pPr>
      <w:r>
        <w:rPr>
          <w:rStyle w:val="FootnoteReference"/>
        </w:rPr>
        <w:footnoteRef/>
      </w:r>
      <w:r>
        <w:t xml:space="preserve"> </w:t>
      </w:r>
      <w:r>
        <w:t xml:space="preserve">Sanyal 2024, PMID 38847460.</w:t>
      </w:r>
    </w:p>
  </w:footnote>
  <w:footnote w:id="589">
    <w:p>
      <w:pPr>
        <w:pStyle w:val="FootnoteText"/>
      </w:pPr>
      <w:r>
        <w:rPr>
          <w:rStyle w:val="FootnoteReference"/>
        </w:rPr>
        <w:footnoteRef/>
      </w:r>
      <w:r>
        <w:t xml:space="preserve"> </w:t>
      </w:r>
      <w:r>
        <w:t xml:space="preserve">Kaplan 2026, PMID 42252333.</w:t>
      </w:r>
    </w:p>
  </w:footnote>
  <w:footnote w:id="590">
    <w:p>
      <w:pPr>
        <w:pStyle w:val="FootnoteText"/>
      </w:pPr>
      <w:r>
        <w:rPr>
          <w:rStyle w:val="FootnoteReference"/>
        </w:rPr>
        <w:footnoteRef/>
      </w:r>
      <w:r>
        <w:t xml:space="preserve"> </w:t>
      </w:r>
      <w:r>
        <w:t xml:space="preserve">Lawitz 2024, PMID 38857788.</w:t>
      </w:r>
    </w:p>
  </w:footnote>
  <w:footnote w:id="593">
    <w:p>
      <w:pPr>
        <w:pStyle w:val="FootnoteText"/>
      </w:pPr>
      <w:r>
        <w:rPr>
          <w:rStyle w:val="FootnoteReference"/>
        </w:rPr>
        <w:footnoteRef/>
      </w:r>
      <w:r>
        <w:t xml:space="preserve"> </w:t>
      </w:r>
      <w:r>
        <w:t xml:space="preserve">Thomas 2024, PMID 38560764.</w:t>
      </w:r>
    </w:p>
  </w:footnote>
  <w:footnote w:id="594">
    <w:p>
      <w:pPr>
        <w:pStyle w:val="FootnoteText"/>
      </w:pPr>
      <w:r>
        <w:rPr>
          <w:rStyle w:val="FootnoteReference"/>
        </w:rPr>
        <w:footnoteRef/>
      </w:r>
      <w:r>
        <w:t xml:space="preserve"> </w:t>
      </w:r>
      <w:r>
        <w:t xml:space="preserve">Zimmermann 2026, PMID 41638399.</w:t>
      </w:r>
    </w:p>
  </w:footnote>
  <w:footnote w:id="596">
    <w:p>
      <w:pPr>
        <w:pStyle w:val="FootnoteText"/>
      </w:pPr>
      <w:r>
        <w:rPr>
          <w:rStyle w:val="FootnoteReference"/>
        </w:rPr>
        <w:footnoteRef/>
      </w:r>
      <w:r>
        <w:t xml:space="preserve"> </w:t>
      </w:r>
      <w:r>
        <w:t xml:space="preserve">Sanyal 2024, PMID 38847460.</w:t>
      </w:r>
    </w:p>
  </w:footnote>
  <w:footnote w:id="597">
    <w:p>
      <w:pPr>
        <w:pStyle w:val="FootnoteText"/>
      </w:pPr>
      <w:r>
        <w:rPr>
          <w:rStyle w:val="FootnoteReference"/>
        </w:rPr>
        <w:footnoteRef/>
      </w:r>
      <w:r>
        <w:t xml:space="preserve"> </w:t>
      </w:r>
      <w:r>
        <w:t xml:space="preserve">le Roux 2026, PMID 42253238.</w:t>
      </w:r>
    </w:p>
  </w:footnote>
  <w:footnote w:id="598">
    <w:p>
      <w:pPr>
        <w:pStyle w:val="FootnoteText"/>
      </w:pPr>
      <w:r>
        <w:rPr>
          <w:rStyle w:val="FootnoteReference"/>
        </w:rPr>
        <w:footnoteRef/>
      </w:r>
      <w:r>
        <w:t xml:space="preserve"> </w:t>
      </w:r>
      <w:r>
        <w:t xml:space="preserve">NCT06200467.</w:t>
      </w:r>
    </w:p>
  </w:footnote>
  <w:footnote w:id="601">
    <w:p>
      <w:pPr>
        <w:pStyle w:val="FootnoteText"/>
      </w:pPr>
      <w:r>
        <w:rPr>
          <w:rStyle w:val="FootnoteReference"/>
        </w:rPr>
        <w:footnoteRef/>
      </w:r>
      <w:r>
        <w:t xml:space="preserve"> </w:t>
      </w:r>
      <w:r>
        <w:t xml:space="preserve">NCT06077864.</w:t>
      </w:r>
    </w:p>
  </w:footnote>
  <w:footnote w:id="602">
    <w:p>
      <w:pPr>
        <w:pStyle w:val="FootnoteText"/>
      </w:pPr>
      <w:r>
        <w:rPr>
          <w:rStyle w:val="FootnoteReference"/>
        </w:rPr>
        <w:footnoteRef/>
      </w:r>
      <w:r>
        <w:t xml:space="preserve"> </w:t>
      </w:r>
      <w:r>
        <w:t xml:space="preserve">PMID 39453356.</w:t>
      </w:r>
    </w:p>
  </w:footnote>
  <w:footnote w:id="603">
    <w:p>
      <w:pPr>
        <w:pStyle w:val="FootnoteText"/>
      </w:pPr>
      <w:r>
        <w:rPr>
          <w:rStyle w:val="FootnoteReference"/>
        </w:rPr>
        <w:footnoteRef/>
      </w:r>
      <w:r>
        <w:t xml:space="preserve"> </w:t>
      </w:r>
      <w:r>
        <w:t xml:space="preserve">NCT06632444.</w:t>
      </w:r>
    </w:p>
  </w:footnote>
  <w:footnote w:id="604">
    <w:p>
      <w:pPr>
        <w:pStyle w:val="FootnoteText"/>
      </w:pPr>
      <w:r>
        <w:rPr>
          <w:rStyle w:val="FootnoteReference"/>
        </w:rPr>
        <w:footnoteRef/>
      </w:r>
      <w:r>
        <w:t xml:space="preserve"> </w:t>
      </w:r>
      <w:r>
        <w:t xml:space="preserve">NCT06632457.</w:t>
      </w:r>
    </w:p>
  </w:footnote>
  <w:footnote w:id="605">
    <w:p>
      <w:pPr>
        <w:pStyle w:val="FootnoteText"/>
      </w:pPr>
      <w:r>
        <w:rPr>
          <w:rStyle w:val="FootnoteReference"/>
        </w:rPr>
        <w:footnoteRef/>
      </w:r>
      <w:r>
        <w:t xml:space="preserve"> </w:t>
      </w:r>
      <w:r>
        <w:t xml:space="preserve">NCT07754461.</w:t>
      </w:r>
    </w:p>
  </w:footnote>
  <w:footnote w:id="606">
    <w:p>
      <w:pPr>
        <w:pStyle w:val="FootnoteText"/>
      </w:pPr>
      <w:r>
        <w:rPr>
          <w:rStyle w:val="FootnoteReference"/>
        </w:rPr>
        <w:footnoteRef/>
      </w:r>
      <w:r>
        <w:t xml:space="preserve"> </w:t>
      </w:r>
      <w:r>
        <w:t xml:space="preserve">NCT07850050.</w:t>
      </w:r>
    </w:p>
  </w:footnote>
  <w:footnote w:id="607">
    <w:p>
      <w:pPr>
        <w:pStyle w:val="FootnoteText"/>
      </w:pPr>
      <w:r>
        <w:rPr>
          <w:rStyle w:val="FootnoteReference"/>
        </w:rPr>
        <w:footnoteRef/>
      </w:r>
      <w:r>
        <w:t xml:space="preserve"> </w:t>
      </w:r>
      <w:r>
        <w:t xml:space="preserve">NCT07850063.</w:t>
      </w:r>
    </w:p>
  </w:footnote>
  <w:footnote w:id="608">
    <w:p>
      <w:pPr>
        <w:pStyle w:val="FootnoteText"/>
      </w:pPr>
      <w:r>
        <w:rPr>
          <w:rStyle w:val="FootnoteReference"/>
        </w:rPr>
        <w:footnoteRef/>
      </w:r>
      <w:r>
        <w:t xml:space="preserve"> </w:t>
      </w:r>
      <w:r>
        <w:t xml:space="preserve">NCT07855900.</w:t>
      </w:r>
    </w:p>
  </w:footnote>
  <w:footnote w:id="609">
    <w:p>
      <w:pPr>
        <w:pStyle w:val="FootnoteText"/>
      </w:pPr>
      <w:r>
        <w:rPr>
          <w:rStyle w:val="FootnoteReference"/>
        </w:rPr>
        <w:footnoteRef/>
      </w:r>
      <w:r>
        <w:t xml:space="preserve"> </w:t>
      </w:r>
      <w:r>
        <w:t xml:space="preserve">NCT06214741.</w:t>
      </w:r>
    </w:p>
  </w:footnote>
  <w:footnote w:id="610">
    <w:p>
      <w:pPr>
        <w:pStyle w:val="FootnoteText"/>
      </w:pPr>
      <w:r>
        <w:rPr>
          <w:rStyle w:val="FootnoteReference"/>
        </w:rPr>
        <w:footnoteRef/>
      </w:r>
      <w:r>
        <w:t xml:space="preserve"> </w:t>
      </w:r>
      <w:r>
        <w:t xml:space="preserve">NCT06176365.</w:t>
      </w:r>
    </w:p>
  </w:footnote>
  <w:footnote w:id="616">
    <w:p>
      <w:pPr>
        <w:pStyle w:val="FootnoteText"/>
      </w:pPr>
      <w:r>
        <w:rPr>
          <w:rStyle w:val="FootnoteReference"/>
        </w:rPr>
        <w:footnoteRef/>
      </w:r>
      <w:r>
        <w:t xml:space="preserve"> </w:t>
      </w:r>
      <w:r>
        <w:t xml:space="preserve">Ji 2025, PMID 40421736.</w:t>
      </w:r>
    </w:p>
  </w:footnote>
  <w:footnote w:id="617">
    <w:p>
      <w:pPr>
        <w:pStyle w:val="FootnoteText"/>
      </w:pPr>
      <w:r>
        <w:rPr>
          <w:rStyle w:val="FootnoteReference"/>
        </w:rPr>
        <w:footnoteRef/>
      </w:r>
      <w:r>
        <w:t xml:space="preserve"> </w:t>
      </w:r>
      <w:r>
        <w:t xml:space="preserve">Gao 2026, PMID 42251595.</w:t>
      </w:r>
    </w:p>
  </w:footnote>
  <w:footnote w:id="619">
    <w:p>
      <w:pPr>
        <w:pStyle w:val="FootnoteText"/>
      </w:pPr>
      <w:r>
        <w:rPr>
          <w:rStyle w:val="FootnoteReference"/>
        </w:rPr>
        <w:footnoteRef/>
      </w:r>
      <w:r>
        <w:t xml:space="preserve"> </w:t>
      </w:r>
      <w:r>
        <w:t xml:space="preserve">Zhu 2026, PMID 41407859.</w:t>
      </w:r>
    </w:p>
  </w:footnote>
  <w:footnote w:id="620">
    <w:p>
      <w:pPr>
        <w:pStyle w:val="FootnoteText"/>
      </w:pPr>
      <w:r>
        <w:rPr>
          <w:rStyle w:val="FootnoteReference"/>
        </w:rPr>
        <w:footnoteRef/>
      </w:r>
      <w:r>
        <w:t xml:space="preserve"> </w:t>
      </w:r>
      <w:r>
        <w:t xml:space="preserve">Guo 2026, PMID 41407860.</w:t>
      </w:r>
    </w:p>
  </w:footnote>
  <w:footnote w:id="621">
    <w:p>
      <w:pPr>
        <w:pStyle w:val="FootnoteText"/>
      </w:pPr>
      <w:r>
        <w:rPr>
          <w:rStyle w:val="FootnoteReference"/>
        </w:rPr>
        <w:footnoteRef/>
      </w:r>
      <w:r>
        <w:t xml:space="preserve"> </w:t>
      </w:r>
      <w:r>
        <w:t xml:space="preserve">NCT06184568.</w:t>
      </w:r>
    </w:p>
  </w:footnote>
  <w:footnote w:id="622">
    <w:p>
      <w:pPr>
        <w:pStyle w:val="FootnoteText"/>
      </w:pPr>
      <w:r>
        <w:rPr>
          <w:rStyle w:val="FootnoteReference"/>
        </w:rPr>
        <w:footnoteRef/>
      </w:r>
      <w:r>
        <w:t xml:space="preserve"> </w:t>
      </w:r>
      <w:r>
        <w:t xml:space="preserve">Luo 2026, PMID 41260459.</w:t>
      </w:r>
    </w:p>
  </w:footnote>
  <w:footnote w:id="624">
    <w:p>
      <w:pPr>
        <w:pStyle w:val="FootnoteText"/>
      </w:pPr>
      <w:r>
        <w:rPr>
          <w:rStyle w:val="FootnoteReference"/>
        </w:rPr>
        <w:footnoteRef/>
      </w:r>
      <w:r>
        <w:t xml:space="preserve"> </w:t>
      </w:r>
      <w:r>
        <w:t xml:space="preserve">Bhattachar 2025, PMID 40832785.</w:t>
      </w:r>
    </w:p>
  </w:footnote>
  <w:footnote w:id="625">
    <w:p>
      <w:pPr>
        <w:pStyle w:val="FootnoteText"/>
      </w:pPr>
      <w:r>
        <w:rPr>
          <w:rStyle w:val="FootnoteReference"/>
        </w:rPr>
        <w:footnoteRef/>
      </w:r>
      <w:r>
        <w:t xml:space="preserve"> </w:t>
      </w:r>
      <w:r>
        <w:t xml:space="preserve">Hsia 2026, PMID 42628555.</w:t>
      </w:r>
    </w:p>
  </w:footnote>
  <w:footnote w:id="627">
    <w:p>
      <w:pPr>
        <w:pStyle w:val="FootnoteText"/>
      </w:pPr>
      <w:r>
        <w:rPr>
          <w:rStyle w:val="FootnoteReference"/>
        </w:rPr>
        <w:footnoteRef/>
      </w:r>
      <w:r>
        <w:t xml:space="preserve"> </w:t>
      </w:r>
      <w:r>
        <w:t xml:space="preserve">Cheng 2025, PMID 41030857.</w:t>
      </w:r>
    </w:p>
  </w:footnote>
  <w:footnote w:id="628">
    <w:p>
      <w:pPr>
        <w:pStyle w:val="FootnoteText"/>
      </w:pPr>
      <w:r>
        <w:rPr>
          <w:rStyle w:val="FootnoteReference"/>
        </w:rPr>
        <w:footnoteRef/>
      </w:r>
      <w:r>
        <w:t xml:space="preserve"> </w:t>
      </w:r>
      <w:r>
        <w:t xml:space="preserve">NCT07255209.</w:t>
      </w:r>
    </w:p>
  </w:footnote>
  <w:footnote w:id="631">
    <w:p>
      <w:pPr>
        <w:pStyle w:val="FootnoteText"/>
      </w:pPr>
      <w:r>
        <w:rPr>
          <w:rStyle w:val="FootnoteReference"/>
        </w:rPr>
        <w:footnoteRef/>
      </w:r>
      <w:r>
        <w:t xml:space="preserve"> </w:t>
      </w:r>
      <w:r>
        <w:t xml:space="preserve">Dong 2025, PMID 40479843.</w:t>
      </w:r>
    </w:p>
  </w:footnote>
  <w:footnote w:id="632">
    <w:p>
      <w:pPr>
        <w:pStyle w:val="FootnoteText"/>
      </w:pPr>
      <w:r>
        <w:rPr>
          <w:rStyle w:val="FootnoteReference"/>
        </w:rPr>
        <w:footnoteRef/>
      </w:r>
      <w:r>
        <w:t xml:space="preserve"> </w:t>
      </w:r>
      <w:r>
        <w:t xml:space="preserve">Gan 2026, PMID 41901218.</w:t>
      </w:r>
    </w:p>
  </w:footnote>
  <w:footnote w:id="633">
    <w:p>
      <w:pPr>
        <w:pStyle w:val="FootnoteText"/>
      </w:pPr>
      <w:r>
        <w:rPr>
          <w:rStyle w:val="FootnoteReference"/>
        </w:rPr>
        <w:footnoteRef/>
      </w:r>
      <w:r>
        <w:t xml:space="preserve"> </w:t>
      </w:r>
      <w:r>
        <w:t xml:space="preserve">NCT07083154.</w:t>
      </w:r>
    </w:p>
  </w:footnote>
  <w:footnote w:id="635">
    <w:p>
      <w:pPr>
        <w:pStyle w:val="FootnoteText"/>
      </w:pPr>
      <w:r>
        <w:rPr>
          <w:rStyle w:val="FootnoteReference"/>
        </w:rPr>
        <w:footnoteRef/>
      </w:r>
      <w:r>
        <w:t xml:space="preserve"> </w:t>
      </w:r>
      <w:r>
        <w:t xml:space="preserve">Zhang 2024, PMID 37943529.</w:t>
      </w:r>
    </w:p>
  </w:footnote>
  <w:footnote w:id="636">
    <w:p>
      <w:pPr>
        <w:pStyle w:val="FootnoteText"/>
      </w:pPr>
      <w:r>
        <w:rPr>
          <w:rStyle w:val="FootnoteReference"/>
        </w:rPr>
        <w:footnoteRef/>
      </w:r>
      <w:r>
        <w:t xml:space="preserve"> </w:t>
      </w:r>
      <w:r>
        <w:t xml:space="preserve">Gao 2026, PMID 42251595.</w:t>
      </w:r>
    </w:p>
  </w:footnote>
  <w:footnote w:id="637">
    <w:p>
      <w:pPr>
        <w:pStyle w:val="FootnoteText"/>
      </w:pPr>
      <w:r>
        <w:rPr>
          <w:rStyle w:val="FootnoteReference"/>
        </w:rPr>
        <w:footnoteRef/>
      </w:r>
      <w:r>
        <w:t xml:space="preserve"> </w:t>
      </w:r>
      <w:r>
        <w:t xml:space="preserve">Zhang 2024, PMID 37943529.</w:t>
      </w:r>
    </w:p>
  </w:footnote>
  <w:footnote w:id="638">
    <w:p>
      <w:pPr>
        <w:pStyle w:val="FootnoteText"/>
      </w:pPr>
      <w:r>
        <w:rPr>
          <w:rStyle w:val="FootnoteReference"/>
        </w:rPr>
        <w:footnoteRef/>
      </w:r>
      <w:r>
        <w:t xml:space="preserve"> </w:t>
      </w:r>
      <w:r>
        <w:t xml:space="preserve">Hsia 2026, PMID 42628555.</w:t>
      </w:r>
    </w:p>
  </w:footnote>
  <w:footnote w:id="640">
    <w:p>
      <w:pPr>
        <w:pStyle w:val="FootnoteText"/>
      </w:pPr>
      <w:r>
        <w:rPr>
          <w:rStyle w:val="FootnoteReference"/>
        </w:rPr>
        <w:footnoteRef/>
      </w:r>
      <w:r>
        <w:t xml:space="preserve"> </w:t>
      </w:r>
      <w:r>
        <w:t xml:space="preserve">Shirley 2025, PMID 41028652.</w:t>
      </w:r>
    </w:p>
  </w:footnote>
  <w:footnote w:id="642">
    <w:p>
      <w:pPr>
        <w:pStyle w:val="FootnoteText"/>
      </w:pPr>
      <w:r>
        <w:rPr>
          <w:rStyle w:val="FootnoteReference"/>
        </w:rPr>
        <w:footnoteRef/>
      </w:r>
      <w:r>
        <w:t xml:space="preserve"> </w:t>
      </w:r>
      <w:r>
        <w:t xml:space="preserve">NCT06884293.</w:t>
      </w:r>
    </w:p>
  </w:footnote>
  <w:footnote w:id="643">
    <w:p>
      <w:pPr>
        <w:pStyle w:val="FootnoteText"/>
      </w:pPr>
      <w:r>
        <w:rPr>
          <w:rStyle w:val="FootnoteReference"/>
        </w:rPr>
        <w:footnoteRef/>
      </w:r>
      <w:r>
        <w:t xml:space="preserve"> </w:t>
      </w:r>
      <w:r>
        <w:t xml:space="preserve">NCT06931028.</w:t>
      </w:r>
    </w:p>
  </w:footnote>
  <w:footnote w:id="644">
    <w:p>
      <w:pPr>
        <w:pStyle w:val="FootnoteText"/>
      </w:pPr>
      <w:r>
        <w:rPr>
          <w:rStyle w:val="FootnoteReference"/>
        </w:rPr>
        <w:footnoteRef/>
      </w:r>
      <w:r>
        <w:t xml:space="preserve"> </w:t>
      </w:r>
      <w:r>
        <w:t xml:space="preserve">NCT07469800.</w:t>
      </w:r>
    </w:p>
  </w:footnote>
  <w:footnote w:id="645">
    <w:p>
      <w:pPr>
        <w:pStyle w:val="FootnoteText"/>
      </w:pPr>
      <w:r>
        <w:rPr>
          <w:rStyle w:val="FootnoteReference"/>
        </w:rPr>
        <w:footnoteRef/>
      </w:r>
      <w:r>
        <w:t xml:space="preserve"> </w:t>
      </w:r>
      <w:r>
        <w:t xml:space="preserve">NCT07255209.</w:t>
      </w:r>
    </w:p>
  </w:footnote>
  <w:footnote w:id="646">
    <w:p>
      <w:pPr>
        <w:pStyle w:val="FootnoteText"/>
      </w:pPr>
      <w:r>
        <w:rPr>
          <w:rStyle w:val="FootnoteReference"/>
        </w:rPr>
        <w:footnoteRef/>
      </w:r>
      <w:r>
        <w:t xml:space="preserve"> </w:t>
      </w:r>
      <w:r>
        <w:t xml:space="preserve">NCT06937749.</w:t>
      </w:r>
    </w:p>
  </w:footnote>
  <w:footnote w:id="647">
    <w:p>
      <w:pPr>
        <w:pStyle w:val="FootnoteText"/>
      </w:pPr>
      <w:r>
        <w:rPr>
          <w:rStyle w:val="FootnoteReference"/>
        </w:rPr>
        <w:footnoteRef/>
      </w:r>
      <w:r>
        <w:t xml:space="preserve"> </w:t>
      </w:r>
      <w:r>
        <w:t xml:space="preserve">NCT06862908.</w:t>
      </w:r>
    </w:p>
  </w:footnote>
  <w:footnote w:id="648">
    <w:p>
      <w:pPr>
        <w:pStyle w:val="FootnoteText"/>
      </w:pPr>
      <w:r>
        <w:rPr>
          <w:rStyle w:val="FootnoteReference"/>
        </w:rPr>
        <w:footnoteRef/>
      </w:r>
      <w:r>
        <w:t xml:space="preserve"> </w:t>
      </w:r>
      <w:r>
        <w:t xml:space="preserve">NCT06143956.</w:t>
      </w:r>
    </w:p>
  </w:footnote>
  <w:footnote w:id="653">
    <w:p>
      <w:pPr>
        <w:pStyle w:val="FootnoteText"/>
      </w:pPr>
      <w:r>
        <w:rPr>
          <w:rStyle w:val="FootnoteReference"/>
        </w:rPr>
        <w:footnoteRef/>
      </w:r>
      <w:r>
        <w:t xml:space="preserve"> </w:t>
      </w:r>
      <w:r>
        <w:t xml:space="preserve">Kruse 2021, PMID 34288673.</w:t>
      </w:r>
    </w:p>
  </w:footnote>
  <w:footnote w:id="654">
    <w:p>
      <w:pPr>
        <w:pStyle w:val="FootnoteText"/>
      </w:pPr>
      <w:r>
        <w:rPr>
          <w:rStyle w:val="FootnoteReference"/>
        </w:rPr>
        <w:footnoteRef/>
      </w:r>
      <w:r>
        <w:t xml:space="preserve"> </w:t>
      </w:r>
      <w:r>
        <w:t xml:space="preserve">Enebo 2021, PMID 33894838.</w:t>
      </w:r>
    </w:p>
  </w:footnote>
  <w:footnote w:id="655">
    <w:p>
      <w:pPr>
        <w:pStyle w:val="FootnoteText"/>
      </w:pPr>
      <w:r>
        <w:rPr>
          <w:rStyle w:val="FootnoteReference"/>
        </w:rPr>
        <w:footnoteRef/>
      </w:r>
      <w:r>
        <w:t xml:space="preserve"> </w:t>
      </w:r>
      <w:r>
        <w:t xml:space="preserve">Carvas 2025, PMID 40609154.</w:t>
      </w:r>
    </w:p>
  </w:footnote>
  <w:footnote w:id="656">
    <w:p>
      <w:pPr>
        <w:pStyle w:val="FootnoteText"/>
      </w:pPr>
      <w:r>
        <w:rPr>
          <w:rStyle w:val="FootnoteReference"/>
        </w:rPr>
        <w:footnoteRef/>
      </w:r>
      <w:r>
        <w:t xml:space="preserve"> </w:t>
      </w:r>
      <w:r>
        <w:t xml:space="preserve">Jacobsen 2025, PMID 40629149.</w:t>
      </w:r>
    </w:p>
  </w:footnote>
  <w:footnote w:id="658">
    <w:p>
      <w:pPr>
        <w:pStyle w:val="FootnoteText"/>
      </w:pPr>
      <w:r>
        <w:rPr>
          <w:rStyle w:val="FootnoteReference"/>
        </w:rPr>
        <w:footnoteRef/>
      </w:r>
      <w:r>
        <w:t xml:space="preserve"> </w:t>
      </w:r>
      <w:r>
        <w:t xml:space="preserve">Lau 2021, PMID 34798060.</w:t>
      </w:r>
    </w:p>
  </w:footnote>
  <w:footnote w:id="659">
    <w:p>
      <w:pPr>
        <w:pStyle w:val="FootnoteText"/>
      </w:pPr>
      <w:r>
        <w:rPr>
          <w:rStyle w:val="FootnoteReference"/>
        </w:rPr>
        <w:footnoteRef/>
      </w:r>
      <w:r>
        <w:t xml:space="preserve"> </w:t>
      </w:r>
      <w:r>
        <w:t xml:space="preserve">NCT07220642.</w:t>
      </w:r>
    </w:p>
  </w:footnote>
  <w:footnote w:id="661">
    <w:p>
      <w:pPr>
        <w:pStyle w:val="FootnoteText"/>
      </w:pPr>
      <w:r>
        <w:rPr>
          <w:rStyle w:val="FootnoteReference"/>
        </w:rPr>
        <w:footnoteRef/>
      </w:r>
      <w:r>
        <w:t xml:space="preserve"> </w:t>
      </w:r>
      <w:r>
        <w:t xml:space="preserve">Enebo 2021, PMID 33894838.</w:t>
      </w:r>
    </w:p>
  </w:footnote>
  <w:footnote w:id="662">
    <w:p>
      <w:pPr>
        <w:pStyle w:val="FootnoteText"/>
      </w:pPr>
      <w:r>
        <w:rPr>
          <w:rStyle w:val="FootnoteReference"/>
        </w:rPr>
        <w:footnoteRef/>
      </w:r>
      <w:r>
        <w:t xml:space="preserve"> </w:t>
      </w:r>
      <w:r>
        <w:t xml:space="preserve">Frias 2023, PMID 37364590.</w:t>
      </w:r>
    </w:p>
  </w:footnote>
  <w:footnote w:id="664">
    <w:p>
      <w:pPr>
        <w:pStyle w:val="FootnoteText"/>
      </w:pPr>
      <w:r>
        <w:rPr>
          <w:rStyle w:val="FootnoteReference"/>
        </w:rPr>
        <w:footnoteRef/>
      </w:r>
      <w:r>
        <w:t xml:space="preserve"> </w:t>
      </w:r>
      <w:r>
        <w:t xml:space="preserve">Garvey 2025, PMID 40544433.</w:t>
      </w:r>
    </w:p>
  </w:footnote>
  <w:footnote w:id="665">
    <w:p>
      <w:pPr>
        <w:pStyle w:val="FootnoteText"/>
      </w:pPr>
      <w:r>
        <w:rPr>
          <w:rStyle w:val="FootnoteReference"/>
        </w:rPr>
        <w:footnoteRef/>
      </w:r>
      <w:r>
        <w:t xml:space="preserve"> </w:t>
      </w:r>
      <w:r>
        <w:t xml:space="preserve">Busetto 2026, PMID 42503495.</w:t>
      </w:r>
    </w:p>
  </w:footnote>
  <w:footnote w:id="666">
    <w:p>
      <w:pPr>
        <w:pStyle w:val="FootnoteText"/>
      </w:pPr>
      <w:r>
        <w:rPr>
          <w:rStyle w:val="FootnoteReference"/>
        </w:rPr>
        <w:footnoteRef/>
      </w:r>
      <w:r>
        <w:t xml:space="preserve"> </w:t>
      </w:r>
      <w:r>
        <w:t xml:space="preserve">Verma 2026, PMID 41328546.</w:t>
      </w:r>
    </w:p>
  </w:footnote>
  <w:footnote w:id="667">
    <w:p>
      <w:pPr>
        <w:pStyle w:val="FootnoteText"/>
      </w:pPr>
      <w:r>
        <w:rPr>
          <w:rStyle w:val="FootnoteReference"/>
        </w:rPr>
        <w:footnoteRef/>
      </w:r>
      <w:r>
        <w:t xml:space="preserve"> </w:t>
      </w:r>
      <w:r>
        <w:t xml:space="preserve">Davies 2025, PMID 40544432.</w:t>
      </w:r>
    </w:p>
  </w:footnote>
  <w:footnote w:id="668">
    <w:p>
      <w:pPr>
        <w:pStyle w:val="FootnoteText"/>
      </w:pPr>
      <w:r>
        <w:rPr>
          <w:rStyle w:val="FootnoteReference"/>
        </w:rPr>
        <w:footnoteRef/>
      </w:r>
      <w:r>
        <w:t xml:space="preserve"> </w:t>
      </w:r>
      <w:r>
        <w:t xml:space="preserve">Yamauchi 2026, PMID 42009015.</w:t>
      </w:r>
    </w:p>
  </w:footnote>
  <w:footnote w:id="669">
    <w:p>
      <w:pPr>
        <w:pStyle w:val="FootnoteText"/>
      </w:pPr>
      <w:r>
        <w:rPr>
          <w:rStyle w:val="FootnoteReference"/>
        </w:rPr>
        <w:footnoteRef/>
      </w:r>
      <w:r>
        <w:t xml:space="preserve"> </w:t>
      </w:r>
      <w:r>
        <w:t xml:space="preserve">Buse 2026, PMID 42251859.</w:t>
      </w:r>
    </w:p>
  </w:footnote>
  <w:footnote w:id="670">
    <w:p>
      <w:pPr>
        <w:pStyle w:val="FootnoteText"/>
      </w:pPr>
      <w:r>
        <w:rPr>
          <w:rStyle w:val="FootnoteReference"/>
        </w:rPr>
        <w:footnoteRef/>
      </w:r>
      <w:r>
        <w:t xml:space="preserve"> </w:t>
      </w:r>
      <w:r>
        <w:t xml:space="preserve">NCT06221969, NCT06534411.</w:t>
      </w:r>
    </w:p>
  </w:footnote>
  <w:footnote w:id="673">
    <w:p>
      <w:pPr>
        <w:pStyle w:val="FootnoteText"/>
      </w:pPr>
      <w:r>
        <w:rPr>
          <w:rStyle w:val="FootnoteReference"/>
        </w:rPr>
        <w:footnoteRef/>
      </w:r>
      <w:r>
        <w:t xml:space="preserve"> </w:t>
      </w:r>
      <w:r>
        <w:t xml:space="preserve">Cao 2025, PMID 40204768.</w:t>
      </w:r>
    </w:p>
  </w:footnote>
  <w:footnote w:id="674">
    <w:p>
      <w:pPr>
        <w:pStyle w:val="FootnoteText"/>
      </w:pPr>
      <w:r>
        <w:rPr>
          <w:rStyle w:val="FootnoteReference"/>
        </w:rPr>
        <w:footnoteRef/>
      </w:r>
      <w:r>
        <w:t xml:space="preserve"> </w:t>
      </w:r>
      <w:r>
        <w:t xml:space="preserve">Carvas 2025, PMID 40609154.</w:t>
      </w:r>
    </w:p>
  </w:footnote>
  <w:footnote w:id="675">
    <w:p>
      <w:pPr>
        <w:pStyle w:val="FootnoteText"/>
      </w:pPr>
      <w:r>
        <w:rPr>
          <w:rStyle w:val="FootnoteReference"/>
        </w:rPr>
        <w:footnoteRef/>
      </w:r>
      <w:r>
        <w:t xml:space="preserve"> </w:t>
      </w:r>
      <w:r>
        <w:t xml:space="preserve">Jacobsen 2025, PMID 40629149.</w:t>
      </w:r>
    </w:p>
  </w:footnote>
  <w:footnote w:id="676">
    <w:p>
      <w:pPr>
        <w:pStyle w:val="FootnoteText"/>
      </w:pPr>
      <w:r>
        <w:rPr>
          <w:rStyle w:val="FootnoteReference"/>
        </w:rPr>
        <w:footnoteRef/>
      </w:r>
      <w:r>
        <w:t xml:space="preserve"> </w:t>
      </w:r>
      <w:r>
        <w:t xml:space="preserve">Petersen 2026, PMID 42744908.</w:t>
      </w:r>
    </w:p>
  </w:footnote>
  <w:footnote w:id="678">
    <w:p>
      <w:pPr>
        <w:pStyle w:val="FootnoteText"/>
      </w:pPr>
      <w:r>
        <w:rPr>
          <w:rStyle w:val="FootnoteReference"/>
        </w:rPr>
        <w:footnoteRef/>
      </w:r>
      <w:r>
        <w:t xml:space="preserve"> </w:t>
      </w:r>
      <w:r>
        <w:t xml:space="preserve">Garvey 2025, PMID 40544433.</w:t>
      </w:r>
    </w:p>
  </w:footnote>
  <w:footnote w:id="679">
    <w:p>
      <w:pPr>
        <w:pStyle w:val="FootnoteText"/>
      </w:pPr>
      <w:r>
        <w:rPr>
          <w:rStyle w:val="FootnoteReference"/>
        </w:rPr>
        <w:footnoteRef/>
      </w:r>
      <w:r>
        <w:t xml:space="preserve"> </w:t>
      </w:r>
      <w:r>
        <w:t xml:space="preserve">Davies 2025, PMID 40544432.</w:t>
      </w:r>
    </w:p>
  </w:footnote>
  <w:footnote w:id="680">
    <w:p>
      <w:pPr>
        <w:pStyle w:val="FootnoteText"/>
      </w:pPr>
      <w:r>
        <w:rPr>
          <w:rStyle w:val="FootnoteReference"/>
        </w:rPr>
        <w:footnoteRef/>
      </w:r>
      <w:r>
        <w:t xml:space="preserve"> </w:t>
      </w:r>
      <w:r>
        <w:t xml:space="preserve">Rosenstock 2026, PMID 42251856.</w:t>
      </w:r>
    </w:p>
  </w:footnote>
  <w:footnote w:id="681">
    <w:p>
      <w:pPr>
        <w:pStyle w:val="FootnoteText"/>
      </w:pPr>
      <w:r>
        <w:rPr>
          <w:rStyle w:val="FootnoteReference"/>
        </w:rPr>
        <w:footnoteRef/>
      </w:r>
      <w:r>
        <w:t xml:space="preserve"> </w:t>
      </w:r>
      <w:r>
        <w:t xml:space="preserve">Gabe 2024, PMID 39279639.</w:t>
      </w:r>
    </w:p>
  </w:footnote>
  <w:footnote w:id="682">
    <w:p>
      <w:pPr>
        <w:pStyle w:val="FootnoteText"/>
      </w:pPr>
      <w:r>
        <w:rPr>
          <w:rStyle w:val="FootnoteReference"/>
        </w:rPr>
        <w:footnoteRef/>
      </w:r>
      <w:r>
        <w:t xml:space="preserve"> </w:t>
      </w:r>
      <w:r>
        <w:t xml:space="preserve">Nielsen 2026, PMID 42228334.</w:t>
      </w:r>
    </w:p>
  </w:footnote>
  <w:footnote w:id="683">
    <w:p>
      <w:pPr>
        <w:pStyle w:val="FootnoteText"/>
      </w:pPr>
      <w:r>
        <w:rPr>
          <w:rStyle w:val="FootnoteReference"/>
        </w:rPr>
        <w:footnoteRef/>
      </w:r>
      <w:r>
        <w:t xml:space="preserve"> </w:t>
      </w:r>
      <w:r>
        <w:t xml:space="preserve">NCT07010432.</w:t>
      </w:r>
    </w:p>
  </w:footnote>
  <w:footnote w:id="684">
    <w:p>
      <w:pPr>
        <w:pStyle w:val="FootnoteText"/>
      </w:pPr>
      <w:r>
        <w:rPr>
          <w:rStyle w:val="FootnoteReference"/>
        </w:rPr>
        <w:footnoteRef/>
      </w:r>
      <w:r>
        <w:t xml:space="preserve"> </w:t>
      </w:r>
      <w:r>
        <w:t xml:space="preserve">NCT07527195.</w:t>
      </w:r>
    </w:p>
  </w:footnote>
  <w:footnote w:id="687">
    <w:p>
      <w:pPr>
        <w:pStyle w:val="FootnoteText"/>
      </w:pPr>
      <w:r>
        <w:rPr>
          <w:rStyle w:val="FootnoteReference"/>
        </w:rPr>
        <w:footnoteRef/>
      </w:r>
      <w:r>
        <w:t xml:space="preserve"> </w:t>
      </w:r>
      <w:r>
        <w:t xml:space="preserve">NCT05669755.</w:t>
      </w:r>
    </w:p>
  </w:footnote>
  <w:footnote w:id="688">
    <w:p>
      <w:pPr>
        <w:pStyle w:val="FootnoteText"/>
      </w:pPr>
      <w:r>
        <w:rPr>
          <w:rStyle w:val="FootnoteReference"/>
        </w:rPr>
        <w:footnoteRef/>
      </w:r>
      <w:r>
        <w:t xml:space="preserve"> </w:t>
      </w:r>
      <w:r>
        <w:t xml:space="preserve">Cavender 2026, PMID 42838477.</w:t>
      </w:r>
    </w:p>
  </w:footnote>
  <w:footnote w:id="689">
    <w:p>
      <w:pPr>
        <w:pStyle w:val="FootnoteText"/>
      </w:pPr>
      <w:r>
        <w:rPr>
          <w:rStyle w:val="FootnoteReference"/>
        </w:rPr>
        <w:footnoteRef/>
      </w:r>
      <w:r>
        <w:t xml:space="preserve"> </w:t>
      </w:r>
      <w:r>
        <w:t xml:space="preserve">NCT06131437, NCT06221969, NCT06534411.</w:t>
      </w:r>
    </w:p>
  </w:footnote>
  <w:footnote w:id="690">
    <w:p>
      <w:pPr>
        <w:pStyle w:val="FootnoteText"/>
      </w:pPr>
      <w:r>
        <w:rPr>
          <w:rStyle w:val="FootnoteReference"/>
        </w:rPr>
        <w:footnoteRef/>
      </w:r>
      <w:r>
        <w:t xml:space="preserve"> </w:t>
      </w:r>
      <w:r>
        <w:t xml:space="preserve">NCT07564414.</w:t>
      </w:r>
    </w:p>
  </w:footnote>
  <w:footnote w:id="691">
    <w:p>
      <w:pPr>
        <w:pStyle w:val="FootnoteText"/>
      </w:pPr>
      <w:r>
        <w:rPr>
          <w:rStyle w:val="FootnoteReference"/>
        </w:rPr>
        <w:footnoteRef/>
      </w:r>
      <w:r>
        <w:t xml:space="preserve"> </w:t>
      </w:r>
      <w:r>
        <w:t xml:space="preserve">NCT06780449.</w:t>
      </w:r>
    </w:p>
  </w:footnote>
  <w:footnote w:id="692">
    <w:p>
      <w:pPr>
        <w:pStyle w:val="FootnoteText"/>
      </w:pPr>
      <w:r>
        <w:rPr>
          <w:rStyle w:val="FootnoteReference"/>
        </w:rPr>
        <w:footnoteRef/>
      </w:r>
      <w:r>
        <w:t xml:space="preserve"> </w:t>
      </w:r>
      <w:r>
        <w:t xml:space="preserve">NCT07253285.</w:t>
      </w:r>
    </w:p>
  </w:footnote>
  <w:footnote w:id="693">
    <w:p>
      <w:pPr>
        <w:pStyle w:val="FootnoteText"/>
      </w:pPr>
      <w:r>
        <w:rPr>
          <w:rStyle w:val="FootnoteReference"/>
        </w:rPr>
        <w:footnoteRef/>
      </w:r>
      <w:r>
        <w:t xml:space="preserve"> </w:t>
      </w:r>
      <w:r>
        <w:t xml:space="preserve">NCT07220642.</w:t>
      </w:r>
    </w:p>
  </w:footnote>
  <w:footnote w:id="694">
    <w:p>
      <w:pPr>
        <w:pStyle w:val="FootnoteText"/>
      </w:pPr>
      <w:r>
        <w:rPr>
          <w:rStyle w:val="FootnoteReference"/>
        </w:rPr>
        <w:footnoteRef/>
      </w:r>
      <w:r>
        <w:t xml:space="preserve"> </w:t>
      </w:r>
      <w:r>
        <w:t xml:space="preserve">NCT07010432.</w:t>
      </w:r>
    </w:p>
  </w:footnote>
  <w:footnote w:id="695">
    <w:p>
      <w:pPr>
        <w:pStyle w:val="FootnoteText"/>
      </w:pPr>
      <w:r>
        <w:rPr>
          <w:rStyle w:val="FootnoteReference"/>
        </w:rPr>
        <w:footnoteRef/>
      </w:r>
      <w:r>
        <w:t xml:space="preserve"> </w:t>
      </w:r>
      <w:r>
        <w:t xml:space="preserve">NCT07527195.</w:t>
      </w:r>
    </w:p>
  </w:footnote>
  <w:footnote w:id="696">
    <w:p>
      <w:pPr>
        <w:pStyle w:val="FootnoteText"/>
      </w:pPr>
      <w:r>
        <w:rPr>
          <w:rStyle w:val="FootnoteReference"/>
        </w:rPr>
        <w:footnoteRef/>
      </w:r>
      <w:r>
        <w:t xml:space="preserve"> </w:t>
      </w:r>
      <w:r>
        <w:t xml:space="preserve">NCT07607587.</w:t>
      </w:r>
    </w:p>
  </w:footnote>
  <w:footnote w:id="701">
    <w:p>
      <w:pPr>
        <w:pStyle w:val="FootnoteText"/>
      </w:pPr>
      <w:r>
        <w:rPr>
          <w:rStyle w:val="FootnoteReference"/>
        </w:rPr>
        <w:footnoteRef/>
      </w:r>
      <w:r>
        <w:t xml:space="preserve"> </w:t>
      </w:r>
      <w:r>
        <w:t xml:space="preserve">Kuhre 2025, PMID 40706446.</w:t>
      </w:r>
    </w:p>
  </w:footnote>
  <w:footnote w:id="703">
    <w:p>
      <w:pPr>
        <w:pStyle w:val="FootnoteText"/>
      </w:pPr>
      <w:r>
        <w:rPr>
          <w:rStyle w:val="FootnoteReference"/>
        </w:rPr>
        <w:footnoteRef/>
      </w:r>
      <w:r>
        <w:t xml:space="preserve"> </w:t>
      </w:r>
      <w:r>
        <w:t xml:space="preserve">Gasiorek 2025, PMID 40550229.</w:t>
      </w:r>
    </w:p>
  </w:footnote>
  <w:footnote w:id="705">
    <w:p>
      <w:pPr>
        <w:pStyle w:val="FootnoteText"/>
      </w:pPr>
      <w:r>
        <w:rPr>
          <w:rStyle w:val="FootnoteReference"/>
        </w:rPr>
        <w:footnoteRef/>
      </w:r>
      <w:r>
        <w:t xml:space="preserve"> </w:t>
      </w:r>
      <w:r>
        <w:t xml:space="preserve">Dahl 2025, PMID 40550231.</w:t>
      </w:r>
    </w:p>
  </w:footnote>
  <w:footnote w:id="707">
    <w:p>
      <w:pPr>
        <w:pStyle w:val="FootnoteText"/>
      </w:pPr>
      <w:r>
        <w:rPr>
          <w:rStyle w:val="FootnoteReference"/>
        </w:rPr>
        <w:footnoteRef/>
      </w:r>
      <w:r>
        <w:t xml:space="preserve"> </w:t>
      </w:r>
      <w:r>
        <w:t xml:space="preserve">Mora 2026, PMID 42532079.</w:t>
      </w:r>
    </w:p>
  </w:footnote>
  <w:footnote w:id="708">
    <w:p>
      <w:pPr>
        <w:pStyle w:val="FootnoteText"/>
      </w:pPr>
      <w:r>
        <w:rPr>
          <w:rStyle w:val="FootnoteReference"/>
        </w:rPr>
        <w:footnoteRef/>
      </w:r>
      <w:r>
        <w:t xml:space="preserve"> </w:t>
      </w:r>
      <w:r>
        <w:t xml:space="preserve">Mora 2026, PMID 42532080.</w:t>
      </w:r>
    </w:p>
  </w:footnote>
  <w:footnote w:id="711">
    <w:p>
      <w:pPr>
        <w:pStyle w:val="FootnoteText"/>
      </w:pPr>
      <w:r>
        <w:rPr>
          <w:rStyle w:val="FootnoteReference"/>
        </w:rPr>
        <w:footnoteRef/>
      </w:r>
      <w:r>
        <w:t xml:space="preserve"> </w:t>
      </w:r>
      <w:r>
        <w:t xml:space="preserve">Kuhre 2025, PMID 40706446.</w:t>
      </w:r>
    </w:p>
  </w:footnote>
  <w:footnote w:id="713">
    <w:p>
      <w:pPr>
        <w:pStyle w:val="FootnoteText"/>
      </w:pPr>
      <w:r>
        <w:rPr>
          <w:rStyle w:val="FootnoteReference"/>
        </w:rPr>
        <w:footnoteRef/>
      </w:r>
      <w:r>
        <w:t xml:space="preserve"> </w:t>
      </w:r>
      <w:r>
        <w:t xml:space="preserve">Gasiorek 2025, PMID 40550229 ; Dahl 2025, PMID 40550231.</w:t>
      </w:r>
    </w:p>
  </w:footnote>
  <w:footnote w:id="714">
    <w:p>
      <w:pPr>
        <w:pStyle w:val="FootnoteText"/>
      </w:pPr>
      <w:r>
        <w:rPr>
          <w:rStyle w:val="FootnoteReference"/>
        </w:rPr>
        <w:footnoteRef/>
      </w:r>
      <w:r>
        <w:t xml:space="preserve"> </w:t>
      </w:r>
      <w:r>
        <w:t xml:space="preserve">Mora 2026, PMID 42532079 ; PMID 42532080.</w:t>
      </w:r>
    </w:p>
  </w:footnote>
  <w:footnote w:id="715">
    <w:p>
      <w:pPr>
        <w:pStyle w:val="FootnoteText"/>
      </w:pPr>
      <w:r>
        <w:rPr>
          <w:rStyle w:val="FootnoteReference"/>
        </w:rPr>
        <w:footnoteRef/>
      </w:r>
      <w:r>
        <w:t xml:space="preserve"> </w:t>
      </w:r>
      <w:r>
        <w:t xml:space="preserve">Oldenburg 2026, PMID 42443140.</w:t>
      </w:r>
    </w:p>
  </w:footnote>
  <w:footnote w:id="716">
    <w:p>
      <w:pPr>
        <w:pStyle w:val="FootnoteText"/>
      </w:pPr>
      <w:r>
        <w:rPr>
          <w:rStyle w:val="FootnoteReference"/>
        </w:rPr>
        <w:footnoteRef/>
      </w:r>
      <w:r>
        <w:t xml:space="preserve"> </w:t>
      </w:r>
      <w:r>
        <w:t xml:space="preserve">Rubin 2026, PMID 42853576.</w:t>
      </w:r>
    </w:p>
  </w:footnote>
  <w:footnote w:id="719">
    <w:p>
      <w:pPr>
        <w:pStyle w:val="FootnoteText"/>
      </w:pPr>
      <w:r>
        <w:rPr>
          <w:rStyle w:val="FootnoteReference"/>
        </w:rPr>
        <w:footnoteRef/>
      </w:r>
      <w:r>
        <w:t xml:space="preserve"> </w:t>
      </w:r>
      <w:r>
        <w:t xml:space="preserve">NCT07339423.</w:t>
      </w:r>
    </w:p>
  </w:footnote>
  <w:footnote w:id="720">
    <w:p>
      <w:pPr>
        <w:pStyle w:val="FootnoteText"/>
      </w:pPr>
      <w:r>
        <w:rPr>
          <w:rStyle w:val="FootnoteReference"/>
        </w:rPr>
        <w:footnoteRef/>
      </w:r>
      <w:r>
        <w:t xml:space="preserve"> </w:t>
      </w:r>
      <w:r>
        <w:t xml:space="preserve">NCT07533175.</w:t>
      </w:r>
    </w:p>
  </w:footnote>
  <w:footnote w:id="721">
    <w:p>
      <w:pPr>
        <w:pStyle w:val="FootnoteText"/>
      </w:pPr>
      <w:r>
        <w:rPr>
          <w:rStyle w:val="FootnoteReference"/>
        </w:rPr>
        <w:footnoteRef/>
      </w:r>
      <w:r>
        <w:t xml:space="preserve"> </w:t>
      </w:r>
      <w:r>
        <w:t xml:space="preserve">NCT07571005, NCT07571109.</w:t>
      </w:r>
    </w:p>
  </w:footnote>
  <w:footnote w:id="722">
    <w:p>
      <w:pPr>
        <w:pStyle w:val="FootnoteText"/>
      </w:pPr>
      <w:r>
        <w:rPr>
          <w:rStyle w:val="FootnoteReference"/>
        </w:rPr>
        <w:footnoteRef/>
      </w:r>
      <w:r>
        <w:t xml:space="preserve"> </w:t>
      </w:r>
      <w:r>
        <w:t xml:space="preserve">NCT07509307.</w:t>
      </w:r>
    </w:p>
  </w:footnote>
  <w:footnote w:id="723">
    <w:p>
      <w:pPr>
        <w:pStyle w:val="FootnoteText"/>
      </w:pPr>
      <w:r>
        <w:rPr>
          <w:rStyle w:val="FootnoteReference"/>
        </w:rPr>
        <w:footnoteRef/>
      </w:r>
      <w:r>
        <w:t xml:space="preserve"> </w:t>
      </w:r>
      <w:r>
        <w:t xml:space="preserve">NCT07481630.</w:t>
      </w:r>
    </w:p>
  </w:footnote>
  <w:footnote w:id="724">
    <w:p>
      <w:pPr>
        <w:pStyle w:val="FootnoteText"/>
      </w:pPr>
      <w:r>
        <w:rPr>
          <w:rStyle w:val="FootnoteReference"/>
        </w:rPr>
        <w:footnoteRef/>
      </w:r>
      <w:r>
        <w:t xml:space="preserve"> </w:t>
      </w:r>
      <w:r>
        <w:t xml:space="preserve">NCT07720271.</w:t>
      </w:r>
    </w:p>
  </w:footnote>
  <w:footnote w:id="725">
    <w:p>
      <w:pPr>
        <w:pStyle w:val="FootnoteText"/>
      </w:pPr>
      <w:r>
        <w:rPr>
          <w:rStyle w:val="FootnoteReference"/>
        </w:rPr>
        <w:footnoteRef/>
      </w:r>
      <w:r>
        <w:t xml:space="preserve"> </w:t>
      </w:r>
      <w:r>
        <w:t xml:space="preserve">NCT07503210.</w:t>
      </w:r>
    </w:p>
  </w:footnote>
  <w:footnote w:id="730">
    <w:p>
      <w:pPr>
        <w:pStyle w:val="FootnoteText"/>
      </w:pPr>
      <w:r>
        <w:rPr>
          <w:rStyle w:val="FootnoteReference"/>
        </w:rPr>
        <w:footnoteRef/>
      </w:r>
      <w:r>
        <w:t xml:space="preserve"> </w:t>
      </w:r>
      <w:r>
        <w:t xml:space="preserve">Davies 2026, PMID 41287212.</w:t>
      </w:r>
    </w:p>
  </w:footnote>
  <w:footnote w:id="731">
    <w:p>
      <w:pPr>
        <w:pStyle w:val="FootnoteText"/>
      </w:pPr>
      <w:r>
        <w:rPr>
          <w:rStyle w:val="FootnoteReference"/>
        </w:rPr>
        <w:footnoteRef/>
      </w:r>
      <w:r>
        <w:t xml:space="preserve"> </w:t>
      </w:r>
      <w:r>
        <w:t xml:space="preserve">Véniant 2024, PMID 38316982.</w:t>
      </w:r>
    </w:p>
  </w:footnote>
  <w:footnote w:id="732">
    <w:p>
      <w:pPr>
        <w:pStyle w:val="FootnoteText"/>
      </w:pPr>
      <w:r>
        <w:rPr>
          <w:rStyle w:val="FootnoteReference"/>
        </w:rPr>
        <w:footnoteRef/>
      </w:r>
      <w:r>
        <w:t xml:space="preserve"> </w:t>
      </w:r>
      <w:r>
        <w:t xml:space="preserve">Wu 2026, PMID 41941715.</w:t>
      </w:r>
    </w:p>
  </w:footnote>
  <w:footnote w:id="734">
    <w:p>
      <w:pPr>
        <w:pStyle w:val="FootnoteText"/>
      </w:pPr>
      <w:r>
        <w:rPr>
          <w:rStyle w:val="FootnoteReference"/>
        </w:rPr>
        <w:footnoteRef/>
      </w:r>
      <w:r>
        <w:t xml:space="preserve"> </w:t>
      </w:r>
      <w:r>
        <w:t xml:space="preserve">Véniant 2024, PMID 38316982 ; NCT04478708.</w:t>
      </w:r>
    </w:p>
  </w:footnote>
  <w:footnote w:id="736">
    <w:p>
      <w:pPr>
        <w:pStyle w:val="FootnoteText"/>
      </w:pPr>
      <w:r>
        <w:rPr>
          <w:rStyle w:val="FootnoteReference"/>
        </w:rPr>
        <w:footnoteRef/>
      </w:r>
      <w:r>
        <w:t xml:space="preserve"> </w:t>
      </w:r>
      <w:r>
        <w:t xml:space="preserve">Jastreboff 2025, PMID 40549887.</w:t>
      </w:r>
    </w:p>
  </w:footnote>
  <w:footnote w:id="739">
    <w:p>
      <w:pPr>
        <w:pStyle w:val="FootnoteText"/>
      </w:pPr>
      <w:r>
        <w:rPr>
          <w:rStyle w:val="FootnoteReference"/>
        </w:rPr>
        <w:footnoteRef/>
      </w:r>
      <w:r>
        <w:t xml:space="preserve"> </w:t>
      </w:r>
      <w:r>
        <w:t xml:space="preserve">Véniant 2024, PMID 38316982 ; Wu 2026, PMID 41941715.</w:t>
      </w:r>
    </w:p>
  </w:footnote>
  <w:footnote w:id="740">
    <w:p>
      <w:pPr>
        <w:pStyle w:val="FootnoteText"/>
      </w:pPr>
      <w:r>
        <w:rPr>
          <w:rStyle w:val="FootnoteReference"/>
        </w:rPr>
        <w:footnoteRef/>
      </w:r>
      <w:r>
        <w:t xml:space="preserve"> </w:t>
      </w:r>
      <w:r>
        <w:t xml:space="preserve">Davies 2026, PMID 41287212.</w:t>
      </w:r>
    </w:p>
  </w:footnote>
  <w:footnote w:id="742">
    <w:p>
      <w:pPr>
        <w:pStyle w:val="FootnoteText"/>
      </w:pPr>
      <w:r>
        <w:rPr>
          <w:rStyle w:val="FootnoteReference"/>
        </w:rPr>
        <w:footnoteRef/>
      </w:r>
      <w:r>
        <w:t xml:space="preserve"> </w:t>
      </w:r>
      <w:r>
        <w:t xml:space="preserve">Jastreboff 2025, PMID 40549887.</w:t>
      </w:r>
    </w:p>
  </w:footnote>
  <w:footnote w:id="743">
    <w:p>
      <w:pPr>
        <w:pStyle w:val="FootnoteText"/>
      </w:pPr>
      <w:r>
        <w:rPr>
          <w:rStyle w:val="FootnoteReference"/>
        </w:rPr>
        <w:footnoteRef/>
      </w:r>
      <w:r>
        <w:t xml:space="preserve"> </w:t>
      </w:r>
      <w:r>
        <w:t xml:space="preserve">Véniant 2024, PMID 38316982.</w:t>
      </w:r>
    </w:p>
  </w:footnote>
  <w:footnote w:id="744">
    <w:p>
      <w:pPr>
        <w:pStyle w:val="FootnoteText"/>
      </w:pPr>
      <w:r>
        <w:rPr>
          <w:rStyle w:val="FootnoteReference"/>
        </w:rPr>
        <w:footnoteRef/>
      </w:r>
      <w:r>
        <w:t xml:space="preserve"> </w:t>
      </w:r>
      <w:r>
        <w:t xml:space="preserve">Davies 2026, PMID 41287212.</w:t>
      </w:r>
    </w:p>
  </w:footnote>
  <w:footnote w:id="747">
    <w:p>
      <w:pPr>
        <w:pStyle w:val="FootnoteText"/>
      </w:pPr>
      <w:r>
        <w:rPr>
          <w:rStyle w:val="FootnoteReference"/>
        </w:rPr>
        <w:footnoteRef/>
      </w:r>
      <w:r>
        <w:t xml:space="preserve"> </w:t>
      </w:r>
      <w:r>
        <w:t xml:space="preserve">NCT06858839.</w:t>
      </w:r>
    </w:p>
  </w:footnote>
  <w:footnote w:id="748">
    <w:p>
      <w:pPr>
        <w:pStyle w:val="FootnoteText"/>
      </w:pPr>
      <w:r>
        <w:rPr>
          <w:rStyle w:val="FootnoteReference"/>
        </w:rPr>
        <w:footnoteRef/>
      </w:r>
      <w:r>
        <w:t xml:space="preserve"> </w:t>
      </w:r>
      <w:r>
        <w:t xml:space="preserve">NCT06858878.</w:t>
      </w:r>
    </w:p>
  </w:footnote>
  <w:footnote w:id="749">
    <w:p>
      <w:pPr>
        <w:pStyle w:val="FootnoteText"/>
      </w:pPr>
      <w:r>
        <w:rPr>
          <w:rStyle w:val="FootnoteReference"/>
        </w:rPr>
        <w:footnoteRef/>
      </w:r>
      <w:r>
        <w:t xml:space="preserve"> </w:t>
      </w:r>
      <w:r>
        <w:t xml:space="preserve">NCT07037433.</w:t>
      </w:r>
    </w:p>
  </w:footnote>
  <w:footnote w:id="750">
    <w:p>
      <w:pPr>
        <w:pStyle w:val="FootnoteText"/>
      </w:pPr>
      <w:r>
        <w:rPr>
          <w:rStyle w:val="FootnoteReference"/>
        </w:rPr>
        <w:footnoteRef/>
      </w:r>
      <w:r>
        <w:t xml:space="preserve"> </w:t>
      </w:r>
      <w:r>
        <w:t xml:space="preserve">NCT07037459.</w:t>
      </w:r>
    </w:p>
  </w:footnote>
  <w:footnote w:id="751">
    <w:p>
      <w:pPr>
        <w:pStyle w:val="FootnoteText"/>
      </w:pPr>
      <w:r>
        <w:rPr>
          <w:rStyle w:val="FootnoteReference"/>
        </w:rPr>
        <w:footnoteRef/>
      </w:r>
      <w:r>
        <w:t xml:space="preserve"> </w:t>
      </w:r>
      <w:r>
        <w:t xml:space="preserve">NCT07226765, NCT07225686.</w:t>
      </w:r>
    </w:p>
  </w:footnote>
  <w:footnote w:id="752">
    <w:p>
      <w:pPr>
        <w:pStyle w:val="FootnoteText"/>
      </w:pPr>
      <w:r>
        <w:rPr>
          <w:rStyle w:val="FootnoteReference"/>
        </w:rPr>
        <w:footnoteRef/>
      </w:r>
      <w:r>
        <w:t xml:space="preserve"> </w:t>
      </w:r>
      <w:r>
        <w:t xml:space="preserve">NCT07866066.</w:t>
      </w:r>
    </w:p>
  </w:footnote>
  <w:footnote w:id="753">
    <w:p>
      <w:pPr>
        <w:pStyle w:val="FootnoteText"/>
      </w:pPr>
      <w:r>
        <w:rPr>
          <w:rStyle w:val="FootnoteReference"/>
        </w:rPr>
        <w:footnoteRef/>
      </w:r>
      <w:r>
        <w:t xml:space="preserve"> </w:t>
      </w:r>
      <w:r>
        <w:t xml:space="preserve">NCT07575399.</w:t>
      </w:r>
    </w:p>
  </w:footnote>
  <w:footnote w:id="754">
    <w:p>
      <w:pPr>
        <w:pStyle w:val="FootnoteText"/>
      </w:pPr>
      <w:r>
        <w:rPr>
          <w:rStyle w:val="FootnoteReference"/>
        </w:rPr>
        <w:footnoteRef/>
      </w:r>
      <w:r>
        <w:t xml:space="preserve"> </w:t>
      </w:r>
      <w:r>
        <w:t xml:space="preserve">NCT06987695.</w:t>
      </w:r>
    </w:p>
  </w:footnote>
  <w:footnote w:id="755">
    <w:p>
      <w:pPr>
        <w:pStyle w:val="FootnoteText"/>
      </w:pPr>
      <w:r>
        <w:rPr>
          <w:rStyle w:val="FootnoteReference"/>
        </w:rPr>
        <w:footnoteRef/>
      </w:r>
      <w:r>
        <w:t xml:space="preserve"> </w:t>
      </w:r>
      <w:r>
        <w:t xml:space="preserve">NCT07429032.</w:t>
      </w:r>
    </w:p>
  </w:footnote>
  <w:footnote w:id="756">
    <w:p>
      <w:pPr>
        <w:pStyle w:val="FootnoteText"/>
      </w:pPr>
      <w:r>
        <w:rPr>
          <w:rStyle w:val="FootnoteReference"/>
        </w:rPr>
        <w:footnoteRef/>
      </w:r>
      <w:r>
        <w:t xml:space="preserve"> </w:t>
      </w:r>
      <w:r>
        <w:t xml:space="preserve">NCT07229157.</w:t>
      </w:r>
    </w:p>
  </w:footnote>
  <w:footnote w:id="757">
    <w:p>
      <w:pPr>
        <w:pStyle w:val="FootnoteText"/>
      </w:pPr>
      <w:r>
        <w:rPr>
          <w:rStyle w:val="FootnoteReference"/>
        </w:rPr>
        <w:footnoteRef/>
      </w:r>
      <w:r>
        <w:t xml:space="preserve"> </w:t>
      </w:r>
      <w:r>
        <w:t xml:space="preserve">NCT07523711.</w:t>
      </w:r>
    </w:p>
  </w:footnote>
  <w:footnote w:id="762">
    <w:p>
      <w:pPr>
        <w:pStyle w:val="FootnoteText"/>
      </w:pPr>
      <w:r>
        <w:rPr>
          <w:rStyle w:val="FootnoteReference"/>
        </w:rPr>
        <w:footnoteRef/>
      </w:r>
      <w:r>
        <w:t xml:space="preserve"> </w:t>
      </w:r>
      <w:r>
        <w:t xml:space="preserve">Vella 2002, PMID 11975712.</w:t>
      </w:r>
    </w:p>
  </w:footnote>
  <w:footnote w:id="764">
    <w:p>
      <w:pPr>
        <w:pStyle w:val="FootnoteText"/>
      </w:pPr>
      <w:r>
        <w:rPr>
          <w:rStyle w:val="FootnoteReference"/>
        </w:rPr>
        <w:footnoteRef/>
      </w:r>
      <w:r>
        <w:t xml:space="preserve"> </w:t>
      </w:r>
      <w:r>
        <w:t xml:space="preserve">Avgerinos 2021, PMID 33300282.</w:t>
      </w:r>
    </w:p>
  </w:footnote>
  <w:footnote w:id="766">
    <w:p>
      <w:pPr>
        <w:pStyle w:val="FootnoteText"/>
      </w:pPr>
      <w:r>
        <w:rPr>
          <w:rStyle w:val="FootnoteReference"/>
        </w:rPr>
        <w:footnoteRef/>
      </w:r>
      <w:r>
        <w:t xml:space="preserve"> </w:t>
      </w:r>
      <w:r>
        <w:t xml:space="preserve">Hollander 2003, PMID 12610038.</w:t>
      </w:r>
    </w:p>
  </w:footnote>
  <w:footnote w:id="767">
    <w:p>
      <w:pPr>
        <w:pStyle w:val="FootnoteText"/>
      </w:pPr>
      <w:r>
        <w:rPr>
          <w:rStyle w:val="FootnoteReference"/>
        </w:rPr>
        <w:footnoteRef/>
      </w:r>
      <w:r>
        <w:t xml:space="preserve"> </w:t>
      </w:r>
      <w:r>
        <w:t xml:space="preserve">Riddle 2009, PMID 19502544.</w:t>
      </w:r>
    </w:p>
  </w:footnote>
  <w:footnote w:id="768">
    <w:p>
      <w:pPr>
        <w:pStyle w:val="FootnoteText"/>
      </w:pPr>
      <w:r>
        <w:rPr>
          <w:rStyle w:val="FootnoteReference"/>
        </w:rPr>
        <w:footnoteRef/>
      </w:r>
      <w:r>
        <w:t xml:space="preserve"> </w:t>
      </w:r>
      <w:r>
        <w:t xml:space="preserve">Singh-Franco 2011, PMID 21199269.</w:t>
      </w:r>
    </w:p>
  </w:footnote>
  <w:footnote w:id="770">
    <w:p>
      <w:pPr>
        <w:pStyle w:val="FootnoteText"/>
      </w:pPr>
      <w:r>
        <w:rPr>
          <w:rStyle w:val="FootnoteReference"/>
        </w:rPr>
        <w:footnoteRef/>
      </w:r>
      <w:r>
        <w:t xml:space="preserve"> </w:t>
      </w:r>
      <w:r>
        <w:t xml:space="preserve">Aronne 2007, PMID 17504894.</w:t>
      </w:r>
    </w:p>
  </w:footnote>
  <w:footnote w:id="771">
    <w:p>
      <w:pPr>
        <w:pStyle w:val="FootnoteText"/>
      </w:pPr>
      <w:r>
        <w:rPr>
          <w:rStyle w:val="FootnoteReference"/>
        </w:rPr>
        <w:footnoteRef/>
      </w:r>
      <w:r>
        <w:t xml:space="preserve"> </w:t>
      </w:r>
      <w:r>
        <w:t xml:space="preserve">Smith 2008, PMID 18753666.</w:t>
      </w:r>
    </w:p>
  </w:footnote>
  <w:footnote w:id="772">
    <w:p>
      <w:pPr>
        <w:pStyle w:val="FootnoteText"/>
      </w:pPr>
      <w:r>
        <w:rPr>
          <w:rStyle w:val="FootnoteReference"/>
        </w:rPr>
        <w:footnoteRef/>
      </w:r>
      <w:r>
        <w:t xml:space="preserve"> </w:t>
      </w:r>
      <w:r>
        <w:t xml:space="preserve">Ravussin 2009, PMID 19521351.</w:t>
      </w:r>
    </w:p>
  </w:footnote>
  <w:footnote w:id="774">
    <w:p>
      <w:pPr>
        <w:pStyle w:val="FootnoteText"/>
      </w:pPr>
      <w:r>
        <w:rPr>
          <w:rStyle w:val="FootnoteReference"/>
        </w:rPr>
        <w:footnoteRef/>
      </w:r>
      <w:r>
        <w:t xml:space="preserve"> </w:t>
      </w:r>
      <w:r>
        <w:t xml:space="preserve">Haidar 2020, PMID 31974099.</w:t>
      </w:r>
    </w:p>
  </w:footnote>
  <w:footnote w:id="775">
    <w:p>
      <w:pPr>
        <w:pStyle w:val="FootnoteText"/>
      </w:pPr>
      <w:r>
        <w:rPr>
          <w:rStyle w:val="FootnoteReference"/>
        </w:rPr>
        <w:footnoteRef/>
      </w:r>
      <w:r>
        <w:t xml:space="preserve"> </w:t>
      </w:r>
      <w:r>
        <w:t xml:space="preserve">Odabassian 2025, PMID 41174925.</w:t>
      </w:r>
    </w:p>
  </w:footnote>
  <w:footnote w:id="776">
    <w:p>
      <w:pPr>
        <w:pStyle w:val="FootnoteText"/>
      </w:pPr>
      <w:r>
        <w:rPr>
          <w:rStyle w:val="FootnoteReference"/>
        </w:rPr>
        <w:footnoteRef/>
      </w:r>
      <w:r>
        <w:t xml:space="preserve"> </w:t>
      </w:r>
      <w:r>
        <w:t xml:space="preserve">Andersen 2024, PMID 39109464.</w:t>
      </w:r>
    </w:p>
  </w:footnote>
  <w:footnote w:id="779">
    <w:p>
      <w:pPr>
        <w:pStyle w:val="FootnoteText"/>
      </w:pPr>
      <w:r>
        <w:rPr>
          <w:rStyle w:val="FootnoteReference"/>
        </w:rPr>
        <w:footnoteRef/>
      </w:r>
      <w:r>
        <w:t xml:space="preserve"> </w:t>
      </w:r>
      <w:r>
        <w:t xml:space="preserve">décrite comme point de départ dans Ravussin 2009, PMID 19521351.</w:t>
      </w:r>
    </w:p>
  </w:footnote>
  <w:footnote w:id="780">
    <w:p>
      <w:pPr>
        <w:pStyle w:val="FootnoteText"/>
      </w:pPr>
      <w:r>
        <w:rPr>
          <w:rStyle w:val="FootnoteReference"/>
        </w:rPr>
        <w:footnoteRef/>
      </w:r>
      <w:r>
        <w:t xml:space="preserve"> </w:t>
      </w:r>
      <w:r>
        <w:t xml:space="preserve">Ghanizada 2021, PMID 33772845.</w:t>
      </w:r>
    </w:p>
  </w:footnote>
  <w:footnote w:id="782">
    <w:p>
      <w:pPr>
        <w:pStyle w:val="FootnoteText"/>
      </w:pPr>
      <w:r>
        <w:rPr>
          <w:rStyle w:val="FootnoteReference"/>
        </w:rPr>
        <w:footnoteRef/>
      </w:r>
      <w:r>
        <w:t xml:space="preserve"> </w:t>
      </w:r>
      <w:r>
        <w:t xml:space="preserve">Smith 2008, PMID 18753666 ; Edelman 2006, PMID 17003291.</w:t>
      </w:r>
    </w:p>
  </w:footnote>
  <w:footnote w:id="783">
    <w:p>
      <w:pPr>
        <w:pStyle w:val="FootnoteText"/>
      </w:pPr>
      <w:r>
        <w:rPr>
          <w:rStyle w:val="FootnoteReference"/>
        </w:rPr>
        <w:footnoteRef/>
      </w:r>
      <w:r>
        <w:t xml:space="preserve"> </w:t>
      </w:r>
      <w:r>
        <w:t xml:space="preserve">Edelman 2006, PMID 17003291.</w:t>
      </w:r>
    </w:p>
  </w:footnote>
  <w:footnote w:id="784">
    <w:p>
      <w:pPr>
        <w:pStyle w:val="FootnoteText"/>
      </w:pPr>
      <w:r>
        <w:rPr>
          <w:rStyle w:val="FootnoteReference"/>
        </w:rPr>
        <w:footnoteRef/>
      </w:r>
      <w:r>
        <w:t xml:space="preserve"> </w:t>
      </w:r>
      <w:r>
        <w:t xml:space="preserve">Ghanizada 2021, PMID 33772845.</w:t>
      </w:r>
    </w:p>
  </w:footnote>
  <w:footnote w:id="787">
    <w:p>
      <w:pPr>
        <w:pStyle w:val="FootnoteText"/>
      </w:pPr>
      <w:r>
        <w:rPr>
          <w:rStyle w:val="FootnoteReference"/>
        </w:rPr>
        <w:footnoteRef/>
      </w:r>
      <w:r>
        <w:t xml:space="preserve"> </w:t>
      </w:r>
      <w:r>
        <w:t xml:space="preserve">NCT07340788.</w:t>
      </w:r>
    </w:p>
  </w:footnote>
  <w:footnote w:id="788">
    <w:p>
      <w:pPr>
        <w:pStyle w:val="FootnoteText"/>
      </w:pPr>
      <w:r>
        <w:rPr>
          <w:rStyle w:val="FootnoteReference"/>
        </w:rPr>
        <w:footnoteRef/>
      </w:r>
      <w:r>
        <w:t xml:space="preserve"> </w:t>
      </w:r>
      <w:r>
        <w:t xml:space="preserve">NCT07340775.</w:t>
      </w:r>
    </w:p>
  </w:footnote>
  <w:footnote w:id="789">
    <w:p>
      <w:pPr>
        <w:pStyle w:val="FootnoteText"/>
      </w:pPr>
      <w:r>
        <w:rPr>
          <w:rStyle w:val="FootnoteReference"/>
        </w:rPr>
        <w:footnoteRef/>
      </w:r>
      <w:r>
        <w:t xml:space="preserve"> </w:t>
      </w:r>
      <w:r>
        <w:t xml:space="preserve">NCT07506369.</w:t>
      </w:r>
    </w:p>
  </w:footnote>
  <w:footnote w:id="790">
    <w:p>
      <w:pPr>
        <w:pStyle w:val="FootnoteText"/>
      </w:pPr>
      <w:r>
        <w:rPr>
          <w:rStyle w:val="FootnoteReference"/>
        </w:rPr>
        <w:footnoteRef/>
      </w:r>
      <w:r>
        <w:t xml:space="preserve"> </w:t>
      </w:r>
      <w:r>
        <w:t xml:space="preserve">Odabassian 2025, PMID 41174925.</w:t>
      </w:r>
    </w:p>
  </w:footnote>
  <w:footnote w:id="794">
    <w:p>
      <w:pPr>
        <w:pStyle w:val="FootnoteText"/>
      </w:pPr>
      <w:r>
        <w:rPr>
          <w:rStyle w:val="FootnoteReference"/>
        </w:rPr>
        <w:footnoteRef/>
      </w:r>
      <w:r>
        <w:t xml:space="preserve"> </w:t>
      </w:r>
      <w:r>
        <w:t xml:space="preserve">Markham 2021, PMID 33638809.</w:t>
      </w:r>
    </w:p>
  </w:footnote>
  <w:footnote w:id="797">
    <w:p>
      <w:pPr>
        <w:pStyle w:val="FootnoteText"/>
      </w:pPr>
      <w:r>
        <w:rPr>
          <w:rStyle w:val="FootnoteReference"/>
        </w:rPr>
        <w:footnoteRef/>
      </w:r>
      <w:r>
        <w:t xml:space="preserve"> </w:t>
      </w:r>
      <w:r>
        <w:t xml:space="preserve">Kühnen 2016, PMID 27468060.</w:t>
      </w:r>
    </w:p>
  </w:footnote>
  <w:footnote w:id="798">
    <w:p>
      <w:pPr>
        <w:pStyle w:val="FootnoteText"/>
      </w:pPr>
      <w:r>
        <w:rPr>
          <w:rStyle w:val="FootnoteReference"/>
        </w:rPr>
        <w:footnoteRef/>
      </w:r>
      <w:r>
        <w:t xml:space="preserve"> </w:t>
      </w:r>
      <w:r>
        <w:t xml:space="preserve">Clément 2018, PMID 29736023.</w:t>
      </w:r>
    </w:p>
  </w:footnote>
  <w:footnote w:id="799">
    <w:p>
      <w:pPr>
        <w:pStyle w:val="FootnoteText"/>
      </w:pPr>
      <w:r>
        <w:rPr>
          <w:rStyle w:val="FootnoteReference"/>
        </w:rPr>
        <w:footnoteRef/>
      </w:r>
      <w:r>
        <w:t xml:space="preserve"> </w:t>
      </w:r>
      <w:r>
        <w:t xml:space="preserve">Clément 2020, PMID 33137293.</w:t>
      </w:r>
    </w:p>
  </w:footnote>
  <w:footnote w:id="801">
    <w:p>
      <w:pPr>
        <w:pStyle w:val="FootnoteText"/>
      </w:pPr>
      <w:r>
        <w:rPr>
          <w:rStyle w:val="FootnoteReference"/>
        </w:rPr>
        <w:footnoteRef/>
      </w:r>
      <w:r>
        <w:t xml:space="preserve"> </w:t>
      </w:r>
      <w:r>
        <w:t xml:space="preserve">Haqq 2022, PMID 36356613.</w:t>
      </w:r>
    </w:p>
  </w:footnote>
  <w:footnote w:id="802">
    <w:p>
      <w:pPr>
        <w:pStyle w:val="FootnoteText"/>
      </w:pPr>
      <w:r>
        <w:rPr>
          <w:rStyle w:val="FootnoteReference"/>
        </w:rPr>
        <w:footnoteRef/>
      </w:r>
      <w:r>
        <w:t xml:space="preserve"> </w:t>
      </w:r>
      <w:r>
        <w:t xml:space="preserve">Argente 2026, PMID 41703984.</w:t>
      </w:r>
    </w:p>
  </w:footnote>
  <w:footnote w:id="804">
    <w:p>
      <w:pPr>
        <w:pStyle w:val="FootnoteText"/>
      </w:pPr>
      <w:r>
        <w:rPr>
          <w:rStyle w:val="FootnoteReference"/>
        </w:rPr>
        <w:footnoteRef/>
      </w:r>
      <w:r>
        <w:t xml:space="preserve"> </w:t>
      </w:r>
      <w:r>
        <w:t xml:space="preserve">Argente 2025, PMID 39549719.</w:t>
      </w:r>
    </w:p>
  </w:footnote>
  <w:footnote w:id="806">
    <w:p>
      <w:pPr>
        <w:pStyle w:val="FootnoteText"/>
      </w:pPr>
      <w:r>
        <w:rPr>
          <w:rStyle w:val="FootnoteReference"/>
        </w:rPr>
        <w:footnoteRef/>
      </w:r>
      <w:r>
        <w:t xml:space="preserve"> </w:t>
      </w:r>
      <w:r>
        <w:t xml:space="preserve">Roth 2024, PMID 38697184.</w:t>
      </w:r>
    </w:p>
  </w:footnote>
  <w:footnote w:id="807">
    <w:p>
      <w:pPr>
        <w:pStyle w:val="FootnoteText"/>
      </w:pPr>
      <w:r>
        <w:rPr>
          <w:rStyle w:val="FootnoteReference"/>
        </w:rPr>
        <w:footnoteRef/>
      </w:r>
      <w:r>
        <w:t xml:space="preserve"> </w:t>
      </w:r>
      <w:r>
        <w:t xml:space="preserve">Miller 2026, PMID 42418774.</w:t>
      </w:r>
    </w:p>
  </w:footnote>
  <w:footnote w:id="809">
    <w:p>
      <w:pPr>
        <w:pStyle w:val="FootnoteText"/>
      </w:pPr>
      <w:r>
        <w:rPr>
          <w:rStyle w:val="FootnoteReference"/>
        </w:rPr>
        <w:footnoteRef/>
      </w:r>
      <w:r>
        <w:t xml:space="preserve"> </w:t>
      </w:r>
      <w:r>
        <w:t xml:space="preserve">Collet 2017, PMID 29031731.</w:t>
      </w:r>
    </w:p>
  </w:footnote>
  <w:footnote w:id="810">
    <w:p>
      <w:pPr>
        <w:pStyle w:val="FootnoteText"/>
      </w:pPr>
      <w:r>
        <w:rPr>
          <w:rStyle w:val="FootnoteReference"/>
        </w:rPr>
        <w:footnoteRef/>
      </w:r>
      <w:r>
        <w:t xml:space="preserve"> </w:t>
      </w:r>
      <w:r>
        <w:t xml:space="preserve">NCT05093634.</w:t>
      </w:r>
    </w:p>
  </w:footnote>
  <w:footnote w:id="813">
    <w:p>
      <w:pPr>
        <w:pStyle w:val="FootnoteText"/>
      </w:pPr>
      <w:r>
        <w:rPr>
          <w:rStyle w:val="FootnoteReference"/>
        </w:rPr>
        <w:footnoteRef/>
      </w:r>
      <w:r>
        <w:t xml:space="preserve"> </w:t>
      </w:r>
      <w:r>
        <w:t xml:space="preserve">Collet 2017, PMID 29031731.</w:t>
      </w:r>
    </w:p>
  </w:footnote>
  <w:footnote w:id="815">
    <w:p>
      <w:pPr>
        <w:pStyle w:val="FootnoteText"/>
      </w:pPr>
      <w:r>
        <w:rPr>
          <w:rStyle w:val="FootnoteReference"/>
        </w:rPr>
        <w:footnoteRef/>
      </w:r>
      <w:r>
        <w:t xml:space="preserve"> </w:t>
      </w:r>
      <w:r>
        <w:t xml:space="preserve">Sridharan 2026, PMID 39924461.</w:t>
      </w:r>
    </w:p>
  </w:footnote>
  <w:footnote w:id="816">
    <w:p>
      <w:pPr>
        <w:pStyle w:val="FootnoteText"/>
      </w:pPr>
      <w:r>
        <w:rPr>
          <w:rStyle w:val="FootnoteReference"/>
        </w:rPr>
        <w:footnoteRef/>
      </w:r>
      <w:r>
        <w:t xml:space="preserve"> </w:t>
      </w:r>
      <w:r>
        <w:t xml:space="preserve">Kanti 2021, PMID 34058738.</w:t>
      </w:r>
    </w:p>
  </w:footnote>
  <w:footnote w:id="817">
    <w:p>
      <w:pPr>
        <w:pStyle w:val="FootnoteText"/>
      </w:pPr>
      <w:r>
        <w:rPr>
          <w:rStyle w:val="FootnoteReference"/>
        </w:rPr>
        <w:footnoteRef/>
      </w:r>
      <w:r>
        <w:t xml:space="preserve"> </w:t>
      </w:r>
      <w:r>
        <w:t xml:space="preserve">Sridharan 2026, PMID 39924461.</w:t>
      </w:r>
    </w:p>
  </w:footnote>
  <w:footnote w:id="818">
    <w:p>
      <w:pPr>
        <w:pStyle w:val="FootnoteText"/>
      </w:pPr>
      <w:r>
        <w:rPr>
          <w:rStyle w:val="FootnoteReference"/>
        </w:rPr>
        <w:footnoteRef/>
      </w:r>
      <w:r>
        <w:t xml:space="preserve"> </w:t>
      </w:r>
      <w:r>
        <w:t xml:space="preserve">Miller 2026, PMID 42418774.</w:t>
      </w:r>
    </w:p>
  </w:footnote>
  <w:footnote w:id="819">
    <w:p>
      <w:pPr>
        <w:pStyle w:val="FootnoteText"/>
      </w:pPr>
      <w:r>
        <w:rPr>
          <w:rStyle w:val="FootnoteReference"/>
        </w:rPr>
        <w:footnoteRef/>
      </w:r>
      <w:r>
        <w:t xml:space="preserve"> </w:t>
      </w:r>
      <w:r>
        <w:t xml:space="preserve">Haqq 2022, PMID 36356613.</w:t>
      </w:r>
    </w:p>
  </w:footnote>
  <w:footnote w:id="822">
    <w:p>
      <w:pPr>
        <w:pStyle w:val="FootnoteText"/>
      </w:pPr>
      <w:r>
        <w:rPr>
          <w:rStyle w:val="FootnoteReference"/>
        </w:rPr>
        <w:footnoteRef/>
      </w:r>
      <w:r>
        <w:t xml:space="preserve"> </w:t>
      </w:r>
      <w:r>
        <w:t xml:space="preserve">NCT05774756.</w:t>
      </w:r>
    </w:p>
  </w:footnote>
  <w:footnote w:id="823">
    <w:p>
      <w:pPr>
        <w:pStyle w:val="FootnoteText"/>
      </w:pPr>
      <w:r>
        <w:rPr>
          <w:rStyle w:val="FootnoteReference"/>
        </w:rPr>
        <w:footnoteRef/>
      </w:r>
      <w:r>
        <w:t xml:space="preserve"> </w:t>
      </w:r>
      <w:r>
        <w:t xml:space="preserve">NCT06760546.</w:t>
      </w:r>
    </w:p>
  </w:footnote>
  <w:footnote w:id="824">
    <w:p>
      <w:pPr>
        <w:pStyle w:val="FootnoteText"/>
      </w:pPr>
      <w:r>
        <w:rPr>
          <w:rStyle w:val="FootnoteReference"/>
        </w:rPr>
        <w:footnoteRef/>
      </w:r>
      <w:r>
        <w:t xml:space="preserve"> </w:t>
      </w:r>
      <w:r>
        <w:t xml:space="preserve">NCT06772597.</w:t>
      </w:r>
    </w:p>
  </w:footnote>
  <w:footnote w:id="825">
    <w:p>
      <w:pPr>
        <w:pStyle w:val="FootnoteText"/>
      </w:pPr>
      <w:r>
        <w:rPr>
          <w:rStyle w:val="FootnoteReference"/>
        </w:rPr>
        <w:footnoteRef/>
      </w:r>
      <w:r>
        <w:t xml:space="preserve"> </w:t>
      </w:r>
      <w:r>
        <w:t xml:space="preserve">NCT07674290.</w:t>
      </w:r>
    </w:p>
  </w:footnote>
  <w:footnote w:id="826">
    <w:p>
      <w:pPr>
        <w:pStyle w:val="FootnoteText"/>
      </w:pPr>
      <w:r>
        <w:rPr>
          <w:rStyle w:val="FootnoteReference"/>
        </w:rPr>
        <w:footnoteRef/>
      </w:r>
      <w:r>
        <w:t xml:space="preserve"> </w:t>
      </w:r>
      <w:r>
        <w:t xml:space="preserve">NCT05093634.</w:t>
      </w:r>
    </w:p>
  </w:footnote>
  <w:footnote w:id="827">
    <w:p>
      <w:pPr>
        <w:pStyle w:val="FootnoteText"/>
      </w:pPr>
      <w:r>
        <w:rPr>
          <w:rStyle w:val="FootnoteReference"/>
        </w:rPr>
        <w:footnoteRef/>
      </w:r>
      <w:r>
        <w:t xml:space="preserve"> </w:t>
      </w:r>
      <w:r>
        <w:t xml:space="preserve">NCT04963231.</w:t>
      </w:r>
    </w:p>
  </w:footnote>
  <w:footnote w:id="831">
    <w:p>
      <w:pPr>
        <w:pStyle w:val="FootnoteText"/>
      </w:pPr>
      <w:r>
        <w:rPr>
          <w:rStyle w:val="FootnoteReference"/>
        </w:rPr>
        <w:footnoteRef/>
      </w:r>
      <w:r>
        <w:t xml:space="preserve"> </w:t>
      </w:r>
      <w:r>
        <w:t xml:space="preserve">Cox 2015, PMID 25208511.</w:t>
      </w:r>
    </w:p>
  </w:footnote>
  <w:footnote w:id="833">
    <w:p>
      <w:pPr>
        <w:pStyle w:val="FootnoteText"/>
      </w:pPr>
      <w:r>
        <w:rPr>
          <w:rStyle w:val="FootnoteReference"/>
        </w:rPr>
        <w:footnoteRef/>
      </w:r>
      <w:r>
        <w:t xml:space="preserve"> </w:t>
      </w:r>
      <w:r>
        <w:t xml:space="preserve">Wade 1982, PMID 6751009.</w:t>
      </w:r>
    </w:p>
  </w:footnote>
  <w:footnote w:id="834">
    <w:p>
      <w:pPr>
        <w:pStyle w:val="FootnoteText"/>
      </w:pPr>
      <w:r>
        <w:rPr>
          <w:rStyle w:val="FootnoteReference"/>
        </w:rPr>
        <w:footnoteRef/>
      </w:r>
      <w:r>
        <w:t xml:space="preserve"> </w:t>
      </w:r>
      <w:r>
        <w:t xml:space="preserve">Heffernan 2001, PMID 11673763.</w:t>
      </w:r>
    </w:p>
  </w:footnote>
  <w:footnote w:id="835">
    <w:p>
      <w:pPr>
        <w:pStyle w:val="FootnoteText"/>
      </w:pPr>
      <w:r>
        <w:rPr>
          <w:rStyle w:val="FootnoteReference"/>
        </w:rPr>
        <w:footnoteRef/>
      </w:r>
      <w:r>
        <w:t xml:space="preserve"> </w:t>
      </w:r>
      <w:r>
        <w:t xml:space="preserve">Heffernan 2001, PMID 11713213.</w:t>
      </w:r>
    </w:p>
  </w:footnote>
  <w:footnote w:id="837">
    <w:p>
      <w:pPr>
        <w:pStyle w:val="FootnoteText"/>
      </w:pPr>
      <w:r>
        <w:rPr>
          <w:rStyle w:val="FootnoteReference"/>
        </w:rPr>
        <w:footnoteRef/>
      </w:r>
      <w:r>
        <w:t xml:space="preserve"> </w:t>
      </w:r>
      <w:r>
        <w:t xml:space="preserve">Wilding 2004, PMID 15134286 ; Halford 2006, PMID 16625817.</w:t>
      </w:r>
    </w:p>
  </w:footnote>
  <w:footnote w:id="839">
    <w:p>
      <w:pPr>
        <w:pStyle w:val="FootnoteText"/>
      </w:pPr>
      <w:r>
        <w:rPr>
          <w:rStyle w:val="FootnoteReference"/>
        </w:rPr>
        <w:footnoteRef/>
      </w:r>
      <w:r>
        <w:t xml:space="preserve"> </w:t>
      </w:r>
      <w:r>
        <w:t xml:space="preserve">Ng 2000, PMID 11146367.</w:t>
      </w:r>
    </w:p>
  </w:footnote>
  <w:footnote w:id="840">
    <w:p>
      <w:pPr>
        <w:pStyle w:val="FootnoteText"/>
      </w:pPr>
      <w:r>
        <w:rPr>
          <w:rStyle w:val="FootnoteReference"/>
        </w:rPr>
        <w:footnoteRef/>
      </w:r>
      <w:r>
        <w:t xml:space="preserve"> </w:t>
      </w:r>
      <w:r>
        <w:t xml:space="preserve">Heffernan 2001, PMID 11673763.</w:t>
      </w:r>
    </w:p>
  </w:footnote>
  <w:footnote w:id="841">
    <w:p>
      <w:pPr>
        <w:pStyle w:val="FootnoteText"/>
      </w:pPr>
      <w:r>
        <w:rPr>
          <w:rStyle w:val="FootnoteReference"/>
        </w:rPr>
        <w:footnoteRef/>
      </w:r>
      <w:r>
        <w:t xml:space="preserve"> </w:t>
      </w:r>
      <w:r>
        <w:t xml:space="preserve">Natera 1994, PMID 7987248.</w:t>
      </w:r>
    </w:p>
  </w:footnote>
  <w:footnote w:id="842">
    <w:p>
      <w:pPr>
        <w:pStyle w:val="FootnoteText"/>
      </w:pPr>
      <w:r>
        <w:rPr>
          <w:rStyle w:val="FootnoteReference"/>
        </w:rPr>
        <w:footnoteRef/>
      </w:r>
      <w:r>
        <w:t xml:space="preserve"> </w:t>
      </w:r>
      <w:r>
        <w:t xml:space="preserve">Kwon 2015, PMID 26275694.</w:t>
      </w:r>
    </w:p>
  </w:footnote>
  <w:footnote w:id="844">
    <w:p>
      <w:pPr>
        <w:pStyle w:val="FootnoteText"/>
      </w:pPr>
      <w:r>
        <w:rPr>
          <w:rStyle w:val="FootnoteReference"/>
        </w:rPr>
        <w:footnoteRef/>
      </w:r>
      <w:r>
        <w:t xml:space="preserve"> </w:t>
      </w:r>
      <w:r>
        <w:t xml:space="preserve">Cox 2015, PMID 25208511.</w:t>
      </w:r>
    </w:p>
  </w:footnote>
  <w:footnote w:id="845">
    <w:p>
      <w:pPr>
        <w:pStyle w:val="FootnoteText"/>
      </w:pPr>
      <w:r>
        <w:rPr>
          <w:rStyle w:val="FootnoteReference"/>
        </w:rPr>
        <w:footnoteRef/>
      </w:r>
      <w:r>
        <w:t xml:space="preserve"> </w:t>
      </w:r>
      <w:r>
        <w:t xml:space="preserve">Vanhee 2014, PMID 24976118.</w:t>
      </w:r>
    </w:p>
  </w:footnote>
  <w:footnote w:id="846">
    <w:p>
      <w:pPr>
        <w:pStyle w:val="FootnoteText"/>
      </w:pPr>
      <w:r>
        <w:rPr>
          <w:rStyle w:val="FootnoteReference"/>
        </w:rPr>
        <w:footnoteRef/>
      </w:r>
      <w:r>
        <w:t xml:space="preserve"> </w:t>
      </w:r>
      <w:r>
        <w:t xml:space="preserve">Mendias 2026, PMID 41966639 ; Dominikowski 2026, PMID 42395176.</w:t>
      </w:r>
    </w:p>
  </w:footnote>
  <w:footnote w:id="847">
    <w:p>
      <w:pPr>
        <w:pStyle w:val="FootnoteText"/>
      </w:pPr>
      <w:r>
        <w:rPr>
          <w:rStyle w:val="FootnoteReference"/>
        </w:rPr>
        <w:footnoteRef/>
      </w:r>
      <w:r>
        <w:t xml:space="preserve"> </w:t>
      </w:r>
      <w:r>
        <w:t xml:space="preserve">Coutinho 2026, PMID 41880199.</w:t>
      </w:r>
    </w:p>
  </w:footnote>
  <w:footnote w:id="848">
    <w:p>
      <w:pPr>
        <w:pStyle w:val="FootnoteText"/>
      </w:pPr>
      <w:r>
        <w:rPr>
          <w:rStyle w:val="FootnoteReference"/>
        </w:rPr>
        <w:footnoteRef/>
      </w:r>
      <w:r>
        <w:t xml:space="preserve"> </w:t>
      </w:r>
      <w:r>
        <w:t xml:space="preserve">Heffernan 2001, PMID 11673763.</w:t>
      </w:r>
    </w:p>
  </w:footnote>
  <w:footnote w:id="850">
    <w:p>
      <w:pPr>
        <w:pStyle w:val="FootnoteText"/>
      </w:pPr>
      <w:r>
        <w:rPr>
          <w:rStyle w:val="FootnoteReference"/>
        </w:rPr>
        <w:footnoteRef/>
      </w:r>
      <w:r>
        <w:t xml:space="preserve"> </w:t>
      </w:r>
      <w:r>
        <w:t xml:space="preserve">Cox 2015, PMID 25208511.</w:t>
      </w:r>
    </w:p>
  </w:footnote>
  <w:footnote w:id="851">
    <w:p>
      <w:pPr>
        <w:pStyle w:val="FootnoteText"/>
      </w:pPr>
      <w:r>
        <w:rPr>
          <w:rStyle w:val="FootnoteReference"/>
        </w:rPr>
        <w:footnoteRef/>
      </w:r>
      <w:r>
        <w:t xml:space="preserve"> </w:t>
      </w:r>
      <w:r>
        <w:t xml:space="preserve">Orlovius 2013, PMID 24124033.</w:t>
      </w:r>
    </w:p>
  </w:footnote>
  <w:footnote w:id="857">
    <w:p>
      <w:pPr>
        <w:pStyle w:val="FootnoteText"/>
      </w:pPr>
      <w:r>
        <w:rPr>
          <w:rStyle w:val="FootnoteReference"/>
        </w:rPr>
        <w:footnoteRef/>
      </w:r>
      <w:r>
        <w:t xml:space="preserve"> </w:t>
      </w:r>
      <w:r>
        <w:t xml:space="preserve">Rosenstock 2026, PMID 41765029.</w:t>
      </w:r>
    </w:p>
  </w:footnote>
  <w:footnote w:id="859">
    <w:p>
      <w:pPr>
        <w:pStyle w:val="FootnoteText"/>
      </w:pPr>
      <w:r>
        <w:rPr>
          <w:rStyle w:val="FootnoteReference"/>
        </w:rPr>
        <w:footnoteRef/>
      </w:r>
      <w:r>
        <w:t xml:space="preserve"> </w:t>
      </w:r>
      <w:r>
        <w:t xml:space="preserve">Rosenstock 2025, PMID 40808573.</w:t>
      </w:r>
    </w:p>
  </w:footnote>
  <w:footnote w:id="861">
    <w:p>
      <w:pPr>
        <w:pStyle w:val="FootnoteText"/>
      </w:pPr>
      <w:r>
        <w:rPr>
          <w:rStyle w:val="FootnoteReference"/>
        </w:rPr>
        <w:footnoteRef/>
      </w:r>
      <w:r>
        <w:t xml:space="preserve"> </w:t>
      </w:r>
      <w:r>
        <w:t xml:space="preserve">Wharton 2025, PMID 40960239.</w:t>
      </w:r>
    </w:p>
  </w:footnote>
  <w:footnote w:id="862">
    <w:p>
      <w:pPr>
        <w:pStyle w:val="FootnoteText"/>
      </w:pPr>
      <w:r>
        <w:rPr>
          <w:rStyle w:val="FootnoteReference"/>
        </w:rPr>
        <w:footnoteRef/>
      </w:r>
      <w:r>
        <w:t xml:space="preserve"> </w:t>
      </w:r>
      <w:r>
        <w:t xml:space="preserve">Wharton 2023, PMID 37351564.</w:t>
      </w:r>
    </w:p>
  </w:footnote>
  <w:footnote w:id="863">
    <w:p>
      <w:pPr>
        <w:pStyle w:val="FootnoteText"/>
      </w:pPr>
      <w:r>
        <w:rPr>
          <w:rStyle w:val="FootnoteReference"/>
        </w:rPr>
        <w:footnoteRef/>
      </w:r>
      <w:r>
        <w:t xml:space="preserve"> </w:t>
      </w:r>
      <w:r>
        <w:t xml:space="preserve">Horn 2026, PMID 41275875.</w:t>
      </w:r>
    </w:p>
  </w:footnote>
  <w:footnote w:id="864">
    <w:p>
      <w:pPr>
        <w:pStyle w:val="FootnoteText"/>
      </w:pPr>
      <w:r>
        <w:rPr>
          <w:rStyle w:val="FootnoteReference"/>
        </w:rPr>
        <w:footnoteRef/>
      </w:r>
      <w:r>
        <w:t xml:space="preserve"> </w:t>
      </w:r>
      <w:r>
        <w:t xml:space="preserve">Aronne 2026, PMID 42120723.</w:t>
      </w:r>
    </w:p>
  </w:footnote>
  <w:footnote w:id="866">
    <w:p>
      <w:pPr>
        <w:pStyle w:val="FootnoteText"/>
      </w:pPr>
      <w:r>
        <w:rPr>
          <w:rStyle w:val="FootnoteReference"/>
        </w:rPr>
        <w:footnoteRef/>
      </w:r>
      <w:r>
        <w:t xml:space="preserve"> </w:t>
      </w:r>
      <w:r>
        <w:t xml:space="preserve">Rosenstock 2025, PMID 40544435.</w:t>
      </w:r>
    </w:p>
  </w:footnote>
  <w:footnote w:id="867">
    <w:p>
      <w:pPr>
        <w:pStyle w:val="FootnoteText"/>
      </w:pPr>
      <w:r>
        <w:rPr>
          <w:rStyle w:val="FootnoteReference"/>
        </w:rPr>
        <w:footnoteRef/>
      </w:r>
      <w:r>
        <w:t xml:space="preserve"> </w:t>
      </w:r>
      <w:r>
        <w:t xml:space="preserve">Welch 2026, PMID 42259339.</w:t>
      </w:r>
    </w:p>
  </w:footnote>
  <w:footnote w:id="868">
    <w:p>
      <w:pPr>
        <w:pStyle w:val="FootnoteText"/>
      </w:pPr>
      <w:r>
        <w:rPr>
          <w:rStyle w:val="FootnoteReference"/>
        </w:rPr>
        <w:footnoteRef/>
      </w:r>
      <w:r>
        <w:t xml:space="preserve"> </w:t>
      </w:r>
      <w:r>
        <w:t xml:space="preserve">Rosenstock 2026, PMID 41765029.</w:t>
      </w:r>
    </w:p>
  </w:footnote>
  <w:footnote w:id="869">
    <w:p>
      <w:pPr>
        <w:pStyle w:val="FootnoteText"/>
      </w:pPr>
      <w:r>
        <w:rPr>
          <w:rStyle w:val="FootnoteReference"/>
        </w:rPr>
        <w:footnoteRef/>
      </w:r>
      <w:r>
        <w:t xml:space="preserve"> </w:t>
      </w:r>
      <w:r>
        <w:t xml:space="preserve">Klein 2026, PMID 42815506.</w:t>
      </w:r>
    </w:p>
  </w:footnote>
  <w:footnote w:id="872">
    <w:p>
      <w:pPr>
        <w:pStyle w:val="FootnoteText"/>
      </w:pPr>
      <w:r>
        <w:rPr>
          <w:rStyle w:val="FootnoteReference"/>
        </w:rPr>
        <w:footnoteRef/>
      </w:r>
      <w:r>
        <w:t xml:space="preserve"> </w:t>
      </w:r>
      <w:r>
        <w:t xml:space="preserve">NCT05469126, NCT05573230, NCT06370728, NCT06704763.</w:t>
      </w:r>
    </w:p>
  </w:footnote>
  <w:footnote w:id="874">
    <w:p>
      <w:pPr>
        <w:pStyle w:val="FootnoteText"/>
      </w:pPr>
      <w:r>
        <w:rPr>
          <w:rStyle w:val="FootnoteReference"/>
        </w:rPr>
        <w:footnoteRef/>
      </w:r>
      <w:r>
        <w:t xml:space="preserve"> </w:t>
      </w:r>
      <w:r>
        <w:t xml:space="preserve">Klein 2026, PMID 42815506.</w:t>
      </w:r>
    </w:p>
  </w:footnote>
  <w:footnote w:id="875">
    <w:p>
      <w:pPr>
        <w:pStyle w:val="FootnoteText"/>
      </w:pPr>
      <w:r>
        <w:rPr>
          <w:rStyle w:val="FootnoteReference"/>
        </w:rPr>
        <w:footnoteRef/>
      </w:r>
      <w:r>
        <w:t xml:space="preserve"> </w:t>
      </w:r>
      <w:r>
        <w:t xml:space="preserve">Wharton 2025, PMID 40960239.</w:t>
      </w:r>
    </w:p>
  </w:footnote>
  <w:footnote w:id="876">
    <w:p>
      <w:pPr>
        <w:pStyle w:val="FootnoteText"/>
      </w:pPr>
      <w:r>
        <w:rPr>
          <w:rStyle w:val="FootnoteReference"/>
        </w:rPr>
        <w:footnoteRef/>
      </w:r>
      <w:r>
        <w:t xml:space="preserve"> </w:t>
      </w:r>
      <w:r>
        <w:t xml:space="preserve">Rosenstock 2026, PMID 41765029.</w:t>
      </w:r>
    </w:p>
  </w:footnote>
  <w:footnote w:id="877">
    <w:p>
      <w:pPr>
        <w:pStyle w:val="FootnoteText"/>
      </w:pPr>
      <w:r>
        <w:rPr>
          <w:rStyle w:val="FootnoteReference"/>
        </w:rPr>
        <w:footnoteRef/>
      </w:r>
      <w:r>
        <w:t xml:space="preserve"> </w:t>
      </w:r>
      <w:r>
        <w:t xml:space="preserve">Rosenstock 2026, PMID 41765029.</w:t>
      </w:r>
    </w:p>
  </w:footnote>
  <w:footnote w:id="878">
    <w:p>
      <w:pPr>
        <w:pStyle w:val="FootnoteText"/>
      </w:pPr>
      <w:r>
        <w:rPr>
          <w:rStyle w:val="FootnoteReference"/>
        </w:rPr>
        <w:footnoteRef/>
      </w:r>
      <w:r>
        <w:t xml:space="preserve"> </w:t>
      </w:r>
      <w:r>
        <w:t xml:space="preserve">Klein 2026, PMID 42815506.</w:t>
      </w:r>
    </w:p>
  </w:footnote>
  <w:footnote w:id="879">
    <w:p>
      <w:pPr>
        <w:pStyle w:val="FootnoteText"/>
      </w:pPr>
      <w:r>
        <w:rPr>
          <w:rStyle w:val="FootnoteReference"/>
        </w:rPr>
        <w:footnoteRef/>
      </w:r>
      <w:r>
        <w:t xml:space="preserve"> </w:t>
      </w:r>
      <w:r>
        <w:t xml:space="preserve">NCT07241390.</w:t>
      </w:r>
    </w:p>
  </w:footnote>
  <w:footnote w:id="880">
    <w:p>
      <w:pPr>
        <w:pStyle w:val="FootnoteText"/>
      </w:pPr>
      <w:r>
        <w:rPr>
          <w:rStyle w:val="FootnoteReference"/>
        </w:rPr>
        <w:footnoteRef/>
      </w:r>
      <w:r>
        <w:t xml:space="preserve"> </w:t>
      </w:r>
      <w:r>
        <w:t xml:space="preserve">Wharton 2026, PMID 42338042.</w:t>
      </w:r>
    </w:p>
  </w:footnote>
  <w:footnote w:id="883">
    <w:p>
      <w:pPr>
        <w:pStyle w:val="FootnoteText"/>
      </w:pPr>
      <w:r>
        <w:rPr>
          <w:rStyle w:val="FootnoteReference"/>
        </w:rPr>
        <w:footnoteRef/>
      </w:r>
      <w:r>
        <w:t xml:space="preserve"> </w:t>
      </w:r>
      <w:r>
        <w:t xml:space="preserve">NCT07223593.</w:t>
      </w:r>
    </w:p>
  </w:footnote>
  <w:footnote w:id="884">
    <w:p>
      <w:pPr>
        <w:pStyle w:val="FootnoteText"/>
      </w:pPr>
      <w:r>
        <w:rPr>
          <w:rStyle w:val="FootnoteReference"/>
        </w:rPr>
        <w:footnoteRef/>
      </w:r>
      <w:r>
        <w:t xml:space="preserve"> </w:t>
      </w:r>
      <w:r>
        <w:t xml:space="preserve">NCT06948422, NCT06948435, NCT06952530.</w:t>
      </w:r>
    </w:p>
  </w:footnote>
  <w:footnote w:id="885">
    <w:p>
      <w:pPr>
        <w:pStyle w:val="FootnoteText"/>
      </w:pPr>
      <w:r>
        <w:rPr>
          <w:rStyle w:val="FootnoteReference"/>
        </w:rPr>
        <w:footnoteRef/>
      </w:r>
      <w:r>
        <w:t xml:space="preserve"> </w:t>
      </w:r>
      <w:r>
        <w:t xml:space="preserve">NCT07153471.</w:t>
      </w:r>
    </w:p>
  </w:footnote>
  <w:footnote w:id="886">
    <w:p>
      <w:pPr>
        <w:pStyle w:val="FootnoteText"/>
      </w:pPr>
      <w:r>
        <w:rPr>
          <w:rStyle w:val="FootnoteReference"/>
        </w:rPr>
        <w:footnoteRef/>
      </w:r>
      <w:r>
        <w:t xml:space="preserve"> </w:t>
      </w:r>
      <w:r>
        <w:t xml:space="preserve">NCT07202884.</w:t>
      </w:r>
    </w:p>
  </w:footnote>
  <w:footnote w:id="887">
    <w:p>
      <w:pPr>
        <w:pStyle w:val="FootnoteText"/>
      </w:pPr>
      <w:r>
        <w:rPr>
          <w:rStyle w:val="FootnoteReference"/>
        </w:rPr>
        <w:footnoteRef/>
      </w:r>
      <w:r>
        <w:t xml:space="preserve"> </w:t>
      </w:r>
      <w:r>
        <w:t xml:space="preserve">NCT06672939.</w:t>
      </w:r>
    </w:p>
  </w:footnote>
  <w:footnote w:id="888">
    <w:p>
      <w:pPr>
        <w:pStyle w:val="FootnoteText"/>
      </w:pPr>
      <w:r>
        <w:rPr>
          <w:rStyle w:val="FootnoteReference"/>
        </w:rPr>
        <w:footnoteRef/>
      </w:r>
      <w:r>
        <w:t xml:space="preserve"> </w:t>
      </w:r>
      <w:r>
        <w:t xml:space="preserve">NCT07668336.</w:t>
      </w:r>
    </w:p>
  </w:footnote>
  <w:footnote w:id="889">
    <w:p>
      <w:pPr>
        <w:pStyle w:val="FootnoteText"/>
      </w:pPr>
      <w:r>
        <w:rPr>
          <w:rStyle w:val="FootnoteReference"/>
        </w:rPr>
        <w:footnoteRef/>
      </w:r>
      <w:r>
        <w:t xml:space="preserve"> </w:t>
      </w:r>
      <w:r>
        <w:t xml:space="preserve">NCT06649045.</w:t>
      </w:r>
    </w:p>
  </w:footnote>
  <w:footnote w:id="897">
    <w:p>
      <w:pPr>
        <w:pStyle w:val="FootnoteText"/>
      </w:pPr>
      <w:r>
        <w:rPr>
          <w:rStyle w:val="FootnoteReference"/>
        </w:rPr>
        <w:footnoteRef/>
      </w:r>
      <w:r>
        <w:t xml:space="preserve"> </w:t>
      </w:r>
      <w:r>
        <w:t xml:space="preserve">Cox 2017, PMID 28035768.</w:t>
      </w:r>
    </w:p>
  </w:footnote>
  <w:footnote w:id="899">
    <w:p>
      <w:pPr>
        <w:pStyle w:val="FootnoteText"/>
      </w:pPr>
      <w:r>
        <w:rPr>
          <w:rStyle w:val="FootnoteReference"/>
        </w:rPr>
        <w:footnoteRef/>
      </w:r>
      <w:r>
        <w:t xml:space="preserve"> </w:t>
      </w:r>
      <w:r>
        <w:t xml:space="preserve">Hsieh 2017, PMID 27847966.</w:t>
      </w:r>
    </w:p>
  </w:footnote>
  <w:footnote w:id="900">
    <w:p>
      <w:pPr>
        <w:pStyle w:val="FootnoteText"/>
      </w:pPr>
      <w:r>
        <w:rPr>
          <w:rStyle w:val="FootnoteReference"/>
        </w:rPr>
        <w:footnoteRef/>
      </w:r>
      <w:r>
        <w:t xml:space="preserve"> </w:t>
      </w:r>
      <w:r>
        <w:t xml:space="preserve">Zhang 2026, PMID 41606641.</w:t>
      </w:r>
    </w:p>
  </w:footnote>
  <w:footnote w:id="901">
    <w:p>
      <w:pPr>
        <w:pStyle w:val="FootnoteText"/>
      </w:pPr>
      <w:r>
        <w:rPr>
          <w:rStyle w:val="FootnoteReference"/>
        </w:rPr>
        <w:footnoteRef/>
      </w:r>
      <w:r>
        <w:t xml:space="preserve"> </w:t>
      </w:r>
      <w:r>
        <w:t xml:space="preserve">Chang 2011, PMID 21030672.</w:t>
      </w:r>
    </w:p>
  </w:footnote>
  <w:footnote w:id="902">
    <w:p>
      <w:pPr>
        <w:pStyle w:val="FootnoteText"/>
      </w:pPr>
      <w:r>
        <w:rPr>
          <w:rStyle w:val="FootnoteReference"/>
        </w:rPr>
        <w:footnoteRef/>
      </w:r>
      <w:r>
        <w:t xml:space="preserve"> </w:t>
      </w:r>
      <w:r>
        <w:t xml:space="preserve">Chang 2014, PMID 25415472.</w:t>
      </w:r>
    </w:p>
  </w:footnote>
  <w:footnote w:id="903">
    <w:p>
      <w:pPr>
        <w:pStyle w:val="FootnoteText"/>
      </w:pPr>
      <w:r>
        <w:rPr>
          <w:rStyle w:val="FootnoteReference"/>
        </w:rPr>
        <w:footnoteRef/>
      </w:r>
      <w:r>
        <w:t xml:space="preserve"> </w:t>
      </w:r>
      <w:r>
        <w:t xml:space="preserve">Sikiric 2025, PMID 40573323.</w:t>
      </w:r>
    </w:p>
  </w:footnote>
  <w:footnote w:id="904">
    <w:p>
      <w:pPr>
        <w:pStyle w:val="FootnoteText"/>
      </w:pPr>
      <w:r>
        <w:rPr>
          <w:rStyle w:val="FootnoteReference"/>
        </w:rPr>
        <w:footnoteRef/>
      </w:r>
      <w:r>
        <w:t xml:space="preserve"> </w:t>
      </w:r>
      <w:r>
        <w:t xml:space="preserve">Mateescu 2026, PMID 42198317.</w:t>
      </w:r>
    </w:p>
  </w:footnote>
  <w:footnote w:id="906">
    <w:p>
      <w:pPr>
        <w:pStyle w:val="FootnoteText"/>
      </w:pPr>
      <w:r>
        <w:rPr>
          <w:rStyle w:val="FootnoteReference"/>
        </w:rPr>
        <w:footnoteRef/>
      </w:r>
      <w:r>
        <w:t xml:space="preserve"> </w:t>
      </w:r>
      <w:r>
        <w:t xml:space="preserve">Poolton 2026, PMID 42885452.</w:t>
      </w:r>
    </w:p>
  </w:footnote>
  <w:footnote w:id="907">
    <w:p>
      <w:pPr>
        <w:pStyle w:val="FootnoteText"/>
      </w:pPr>
      <w:r>
        <w:rPr>
          <w:rStyle w:val="FootnoteReference"/>
        </w:rPr>
        <w:footnoteRef/>
      </w:r>
      <w:r>
        <w:t xml:space="preserve"> </w:t>
      </w:r>
      <w:r>
        <w:t xml:space="preserve">Lee 2021, PMID 34324435.</w:t>
      </w:r>
    </w:p>
  </w:footnote>
  <w:footnote w:id="908">
    <w:p>
      <w:pPr>
        <w:pStyle w:val="FootnoteText"/>
      </w:pPr>
      <w:r>
        <w:rPr>
          <w:rStyle w:val="FootnoteReference"/>
        </w:rPr>
        <w:footnoteRef/>
      </w:r>
      <w:r>
        <w:t xml:space="preserve"> </w:t>
      </w:r>
      <w:r>
        <w:t xml:space="preserve">Lee 2024, PMID 39325560.</w:t>
      </w:r>
    </w:p>
  </w:footnote>
  <w:footnote w:id="909">
    <w:p>
      <w:pPr>
        <w:pStyle w:val="FootnoteText"/>
      </w:pPr>
      <w:r>
        <w:rPr>
          <w:rStyle w:val="FootnoteReference"/>
        </w:rPr>
        <w:footnoteRef/>
      </w:r>
      <w:r>
        <w:t xml:space="preserve"> </w:t>
      </w:r>
      <w:r>
        <w:t xml:space="preserve">Lee 2025, PMID 40131143.</w:t>
      </w:r>
    </w:p>
  </w:footnote>
  <w:footnote w:id="910">
    <w:p>
      <w:pPr>
        <w:pStyle w:val="FootnoteText"/>
      </w:pPr>
      <w:r>
        <w:rPr>
          <w:rStyle w:val="FootnoteReference"/>
        </w:rPr>
        <w:footnoteRef/>
      </w:r>
      <w:r>
        <w:t xml:space="preserve"> </w:t>
      </w:r>
      <w:r>
        <w:t xml:space="preserve">Poolton 2026, PMID 42885452.</w:t>
      </w:r>
    </w:p>
  </w:footnote>
  <w:footnote w:id="911">
    <w:p>
      <w:pPr>
        <w:pStyle w:val="FootnoteText"/>
      </w:pPr>
      <w:r>
        <w:rPr>
          <w:rStyle w:val="FootnoteReference"/>
        </w:rPr>
        <w:footnoteRef/>
      </w:r>
      <w:r>
        <w:t xml:space="preserve"> </w:t>
      </w:r>
      <w:r>
        <w:t xml:space="preserve">Vasireddi 2025, PMID 40756949.</w:t>
      </w:r>
    </w:p>
  </w:footnote>
  <w:footnote w:id="912">
    <w:p>
      <w:pPr>
        <w:pStyle w:val="FootnoteText"/>
      </w:pPr>
      <w:r>
        <w:rPr>
          <w:rStyle w:val="FootnoteReference"/>
        </w:rPr>
        <w:footnoteRef/>
      </w:r>
      <w:r>
        <w:t xml:space="preserve"> </w:t>
      </w:r>
      <w:r>
        <w:t xml:space="preserve">Tham 2026, PMID 42937313 ; Tewari 2026, PMID 42578445.</w:t>
      </w:r>
    </w:p>
  </w:footnote>
  <w:footnote w:id="914">
    <w:p>
      <w:pPr>
        <w:pStyle w:val="FootnoteText"/>
      </w:pPr>
      <w:r>
        <w:rPr>
          <w:rStyle w:val="FootnoteReference"/>
        </w:rPr>
        <w:footnoteRef/>
      </w:r>
      <w:r>
        <w:t xml:space="preserve"> </w:t>
      </w:r>
      <w:r>
        <w:t xml:space="preserve">Staresinic 2003, PMID 14554208.</w:t>
      </w:r>
    </w:p>
  </w:footnote>
  <w:footnote w:id="915">
    <w:p>
      <w:pPr>
        <w:pStyle w:val="FootnoteText"/>
      </w:pPr>
      <w:r>
        <w:rPr>
          <w:rStyle w:val="FootnoteReference"/>
        </w:rPr>
        <w:footnoteRef/>
      </w:r>
      <w:r>
        <w:t xml:space="preserve"> </w:t>
      </w:r>
      <w:r>
        <w:t xml:space="preserve">Seiwerth 2021, PMID 34267654.</w:t>
      </w:r>
    </w:p>
  </w:footnote>
  <w:footnote w:id="916">
    <w:p>
      <w:pPr>
        <w:pStyle w:val="FootnoteText"/>
      </w:pPr>
      <w:r>
        <w:rPr>
          <w:rStyle w:val="FootnoteReference"/>
        </w:rPr>
        <w:footnoteRef/>
      </w:r>
      <w:r>
        <w:t xml:space="preserve"> </w:t>
      </w:r>
      <w:r>
        <w:t xml:space="preserve">NCT02637284.</w:t>
      </w:r>
    </w:p>
  </w:footnote>
  <w:footnote w:id="919">
    <w:p>
      <w:pPr>
        <w:pStyle w:val="FootnoteText"/>
      </w:pPr>
      <w:r>
        <w:rPr>
          <w:rStyle w:val="FootnoteReference"/>
        </w:rPr>
        <w:footnoteRef/>
      </w:r>
      <w:r>
        <w:t xml:space="preserve"> </w:t>
      </w:r>
      <w:r>
        <w:t xml:space="preserve">Gwyer 2019, PMID 30915550.</w:t>
      </w:r>
    </w:p>
  </w:footnote>
  <w:footnote w:id="920">
    <w:p>
      <w:pPr>
        <w:pStyle w:val="FootnoteText"/>
      </w:pPr>
      <w:r>
        <w:rPr>
          <w:rStyle w:val="FootnoteReference"/>
        </w:rPr>
        <w:footnoteRef/>
      </w:r>
      <w:r>
        <w:t xml:space="preserve"> </w:t>
      </w:r>
      <w:r>
        <w:t xml:space="preserve">Demirtaş 2026, PMID 42794771.</w:t>
      </w:r>
    </w:p>
  </w:footnote>
  <w:footnote w:id="921">
    <w:p>
      <w:pPr>
        <w:pStyle w:val="FootnoteText"/>
      </w:pPr>
      <w:r>
        <w:rPr>
          <w:rStyle w:val="FootnoteReference"/>
        </w:rPr>
        <w:footnoteRef/>
      </w:r>
      <w:r>
        <w:t xml:space="preserve"> </w:t>
      </w:r>
      <w:r>
        <w:t xml:space="preserve">Whitehouse 2025, PMID 40759852.</w:t>
      </w:r>
    </w:p>
  </w:footnote>
  <w:footnote w:id="924">
    <w:p>
      <w:pPr>
        <w:pStyle w:val="FootnoteText"/>
      </w:pPr>
      <w:r>
        <w:rPr>
          <w:rStyle w:val="FootnoteReference"/>
        </w:rPr>
        <w:footnoteRef/>
      </w:r>
      <w:r>
        <w:t xml:space="preserve"> </w:t>
      </w:r>
      <w:r>
        <w:t xml:space="preserve">He 2022, PMID 36588717.</w:t>
      </w:r>
    </w:p>
  </w:footnote>
  <w:footnote w:id="925">
    <w:p>
      <w:pPr>
        <w:pStyle w:val="FootnoteText"/>
      </w:pPr>
      <w:r>
        <w:rPr>
          <w:rStyle w:val="FootnoteReference"/>
        </w:rPr>
        <w:footnoteRef/>
      </w:r>
      <w:r>
        <w:t xml:space="preserve"> </w:t>
      </w:r>
      <w:r>
        <w:t xml:space="preserve">Xu 2020, PMID 32334036.</w:t>
      </w:r>
    </w:p>
  </w:footnote>
  <w:footnote w:id="928">
    <w:p>
      <w:pPr>
        <w:pStyle w:val="FootnoteText"/>
      </w:pPr>
      <w:r>
        <w:rPr>
          <w:rStyle w:val="FootnoteReference"/>
        </w:rPr>
        <w:footnoteRef/>
      </w:r>
      <w:r>
        <w:t xml:space="preserve"> </w:t>
      </w:r>
      <w:r>
        <w:t xml:space="preserve">Poolton 2026, PMID 42885452.</w:t>
      </w:r>
    </w:p>
  </w:footnote>
  <w:footnote w:id="930">
    <w:p>
      <w:pPr>
        <w:pStyle w:val="FootnoteText"/>
      </w:pPr>
      <w:r>
        <w:rPr>
          <w:rStyle w:val="FootnoteReference"/>
        </w:rPr>
        <w:footnoteRef/>
      </w:r>
      <w:r>
        <w:t xml:space="preserve"> </w:t>
      </w:r>
      <w:r>
        <w:t xml:space="preserve">Hsieh 2017, PMID 27847966.</w:t>
      </w:r>
    </w:p>
  </w:footnote>
  <w:footnote w:id="931">
    <w:p>
      <w:pPr>
        <w:pStyle w:val="FootnoteText"/>
      </w:pPr>
      <w:r>
        <w:rPr>
          <w:rStyle w:val="FootnoteReference"/>
        </w:rPr>
        <w:footnoteRef/>
      </w:r>
      <w:r>
        <w:t xml:space="preserve"> </w:t>
      </w:r>
      <w:r>
        <w:t xml:space="preserve">Moiz 2026, PMID 42757290.</w:t>
      </w:r>
    </w:p>
  </w:footnote>
  <w:footnote w:id="932">
    <w:p>
      <w:pPr>
        <w:pStyle w:val="FootnoteText"/>
      </w:pPr>
      <w:r>
        <w:rPr>
          <w:rStyle w:val="FootnoteReference"/>
        </w:rPr>
        <w:footnoteRef/>
      </w:r>
      <w:r>
        <w:t xml:space="preserve"> </w:t>
      </w:r>
      <w:r>
        <w:t xml:space="preserve">Sikiric 2025, PMID 40573323.</w:t>
      </w:r>
    </w:p>
  </w:footnote>
  <w:footnote w:id="934">
    <w:p>
      <w:pPr>
        <w:pStyle w:val="FootnoteText"/>
      </w:pPr>
      <w:r>
        <w:rPr>
          <w:rStyle w:val="FootnoteReference"/>
        </w:rPr>
        <w:footnoteRef/>
      </w:r>
      <w:r>
        <w:t xml:space="preserve"> </w:t>
      </w:r>
      <w:r>
        <w:t xml:space="preserve">Tham 2026, PMID 42937313 ; Mendias 2026, PMID 41966639.</w:t>
      </w:r>
    </w:p>
  </w:footnote>
  <w:footnote w:id="935">
    <w:p>
      <w:pPr>
        <w:pStyle w:val="FootnoteText"/>
      </w:pPr>
      <w:r>
        <w:rPr>
          <w:rStyle w:val="FootnoteReference"/>
        </w:rPr>
        <w:footnoteRef/>
      </w:r>
      <w:r>
        <w:t xml:space="preserve"> </w:t>
      </w:r>
      <w:r>
        <w:t xml:space="preserve">Cox 2017, PMID 28035768.</w:t>
      </w:r>
    </w:p>
  </w:footnote>
  <w:footnote w:id="937">
    <w:p>
      <w:pPr>
        <w:pStyle w:val="FootnoteText"/>
      </w:pPr>
      <w:r>
        <w:rPr>
          <w:rStyle w:val="FootnoteReference"/>
        </w:rPr>
        <w:footnoteRef/>
      </w:r>
      <w:r>
        <w:t xml:space="preserve"> </w:t>
      </w:r>
      <w:r>
        <w:t xml:space="preserve">Sikiric 2025, PMID 40573323.</w:t>
      </w:r>
    </w:p>
  </w:footnote>
  <w:footnote w:id="938">
    <w:p>
      <w:pPr>
        <w:pStyle w:val="FootnoteText"/>
      </w:pPr>
      <w:r>
        <w:rPr>
          <w:rStyle w:val="FootnoteReference"/>
        </w:rPr>
        <w:footnoteRef/>
      </w:r>
      <w:r>
        <w:t xml:space="preserve"> </w:t>
      </w:r>
      <w:r>
        <w:t xml:space="preserve">Mendias 2026, PMID 41966639.</w:t>
      </w:r>
    </w:p>
  </w:footnote>
  <w:footnote w:id="941">
    <w:p>
      <w:pPr>
        <w:pStyle w:val="FootnoteText"/>
      </w:pPr>
      <w:r>
        <w:rPr>
          <w:rStyle w:val="FootnoteReference"/>
        </w:rPr>
        <w:footnoteRef/>
      </w:r>
      <w:r>
        <w:t xml:space="preserve"> </w:t>
      </w:r>
      <w:r>
        <w:t xml:space="preserve">Willis 2026, PMID 42752426.</w:t>
      </w:r>
    </w:p>
  </w:footnote>
  <w:footnote w:id="942">
    <w:p>
      <w:pPr>
        <w:pStyle w:val="FootnoteText"/>
      </w:pPr>
      <w:r>
        <w:rPr>
          <w:rStyle w:val="FootnoteReference"/>
        </w:rPr>
        <w:footnoteRef/>
      </w:r>
      <w:r>
        <w:t xml:space="preserve"> </w:t>
      </w:r>
      <w:r>
        <w:t xml:space="preserve">Józwiak 2025, PMID 40005999.</w:t>
      </w:r>
    </w:p>
  </w:footnote>
  <w:footnote w:id="943">
    <w:p>
      <w:pPr>
        <w:pStyle w:val="FootnoteText"/>
      </w:pPr>
      <w:r>
        <w:rPr>
          <w:rStyle w:val="FootnoteReference"/>
        </w:rPr>
        <w:footnoteRef/>
      </w:r>
      <w:r>
        <w:t xml:space="preserve"> </w:t>
      </w:r>
      <w:r>
        <w:t xml:space="preserve">Tian 2023, PMID 37959764.</w:t>
      </w:r>
    </w:p>
  </w:footnote>
  <w:footnote w:id="945">
    <w:p>
      <w:pPr>
        <w:pStyle w:val="FootnoteText"/>
      </w:pPr>
      <w:r>
        <w:rPr>
          <w:rStyle w:val="FootnoteReference"/>
        </w:rPr>
        <w:footnoteRef/>
      </w:r>
      <w:r>
        <w:t xml:space="preserve"> </w:t>
      </w:r>
      <w:r>
        <w:t xml:space="preserve">NCT07437547.</w:t>
      </w:r>
    </w:p>
  </w:footnote>
  <w:footnote w:id="946">
    <w:p>
      <w:pPr>
        <w:pStyle w:val="FootnoteText"/>
      </w:pPr>
      <w:r>
        <w:rPr>
          <w:rStyle w:val="FootnoteReference"/>
        </w:rPr>
        <w:footnoteRef/>
      </w:r>
      <w:r>
        <w:t xml:space="preserve"> </w:t>
      </w:r>
      <w:r>
        <w:t xml:space="preserve">NCT07487363.</w:t>
      </w:r>
    </w:p>
  </w:footnote>
  <w:footnote w:id="947">
    <w:p>
      <w:pPr>
        <w:pStyle w:val="FootnoteText"/>
      </w:pPr>
      <w:r>
        <w:rPr>
          <w:rStyle w:val="FootnoteReference"/>
        </w:rPr>
        <w:footnoteRef/>
      </w:r>
      <w:r>
        <w:t xml:space="preserve"> </w:t>
      </w:r>
      <w:r>
        <w:t xml:space="preserve">NCT07803250.</w:t>
      </w:r>
    </w:p>
  </w:footnote>
  <w:footnote w:id="948">
    <w:p>
      <w:pPr>
        <w:pStyle w:val="FootnoteText"/>
      </w:pPr>
      <w:r>
        <w:rPr>
          <w:rStyle w:val="FootnoteReference"/>
        </w:rPr>
        <w:footnoteRef/>
      </w:r>
      <w:r>
        <w:t xml:space="preserve"> </w:t>
      </w:r>
      <w:r>
        <w:t xml:space="preserve">NCT07752381.</w:t>
      </w:r>
    </w:p>
  </w:footnote>
  <w:footnote w:id="949">
    <w:p>
      <w:pPr>
        <w:pStyle w:val="FootnoteText"/>
      </w:pPr>
      <w:r>
        <w:rPr>
          <w:rStyle w:val="FootnoteReference"/>
        </w:rPr>
        <w:footnoteRef/>
      </w:r>
      <w:r>
        <w:t xml:space="preserve"> </w:t>
      </w:r>
      <w:r>
        <w:t xml:space="preserve">Mateescu 2026, PMID 42198317.</w:t>
      </w:r>
    </w:p>
  </w:footnote>
  <w:footnote w:id="951">
    <w:p>
      <w:pPr>
        <w:pStyle w:val="FootnoteText"/>
      </w:pPr>
      <w:r>
        <w:rPr>
          <w:rStyle w:val="FootnoteReference"/>
        </w:rPr>
        <w:footnoteRef/>
      </w:r>
      <w:r>
        <w:t xml:space="preserve"> </w:t>
      </w:r>
      <w:r>
        <w:t xml:space="preserve">Poolton 2026, PMID 42885452.</w:t>
      </w:r>
    </w:p>
  </w:footnote>
  <w:footnote w:id="952">
    <w:p>
      <w:pPr>
        <w:pStyle w:val="FootnoteText"/>
      </w:pPr>
      <w:r>
        <w:rPr>
          <w:rStyle w:val="FootnoteReference"/>
        </w:rPr>
        <w:footnoteRef/>
      </w:r>
      <w:r>
        <w:t xml:space="preserve"> </w:t>
      </w:r>
      <w:r>
        <w:t xml:space="preserve">NCT07803250.</w:t>
      </w:r>
    </w:p>
  </w:footnote>
  <w:footnote w:id="955">
    <w:p>
      <w:pPr>
        <w:pStyle w:val="FootnoteText"/>
      </w:pPr>
      <w:r>
        <w:rPr>
          <w:rStyle w:val="FootnoteReference"/>
        </w:rPr>
        <w:footnoteRef/>
      </w:r>
      <w:r>
        <w:t xml:space="preserve"> </w:t>
      </w:r>
      <w:r>
        <w:t xml:space="preserve">Esposito 2012, PMID 22962027.</w:t>
      </w:r>
    </w:p>
  </w:footnote>
  <w:footnote w:id="957">
    <w:p>
      <w:pPr>
        <w:pStyle w:val="FootnoteText"/>
      </w:pPr>
      <w:r>
        <w:rPr>
          <w:rStyle w:val="FootnoteReference"/>
        </w:rPr>
        <w:footnoteRef/>
      </w:r>
      <w:r>
        <w:t xml:space="preserve"> </w:t>
      </w:r>
      <w:r>
        <w:t xml:space="preserve">Sosne 2010, PMID 20179146.</w:t>
      </w:r>
    </w:p>
  </w:footnote>
  <w:footnote w:id="958">
    <w:p>
      <w:pPr>
        <w:pStyle w:val="FootnoteText"/>
      </w:pPr>
      <w:r>
        <w:rPr>
          <w:rStyle w:val="FootnoteReference"/>
        </w:rPr>
        <w:footnoteRef/>
      </w:r>
      <w:r>
        <w:t xml:space="preserve"> </w:t>
      </w:r>
      <w:r>
        <w:t xml:space="preserve">Philp 2003, PMID 14500546.</w:t>
      </w:r>
    </w:p>
  </w:footnote>
  <w:footnote w:id="959">
    <w:p>
      <w:pPr>
        <w:pStyle w:val="FootnoteText"/>
      </w:pPr>
      <w:r>
        <w:rPr>
          <w:rStyle w:val="FootnoteReference"/>
        </w:rPr>
        <w:footnoteRef/>
      </w:r>
      <w:r>
        <w:t xml:space="preserve"> </w:t>
      </w:r>
      <w:r>
        <w:t xml:space="preserve">Rahaman 2024, PMID 38382158.</w:t>
      </w:r>
    </w:p>
  </w:footnote>
  <w:footnote w:id="960">
    <w:p>
      <w:pPr>
        <w:pStyle w:val="FootnoteText"/>
      </w:pPr>
      <w:r>
        <w:rPr>
          <w:rStyle w:val="FootnoteReference"/>
        </w:rPr>
        <w:footnoteRef/>
      </w:r>
      <w:r>
        <w:t xml:space="preserve"> </w:t>
      </w:r>
      <w:r>
        <w:t xml:space="preserve">Tham 2026, PMID 42937313.</w:t>
      </w:r>
    </w:p>
  </w:footnote>
  <w:footnote w:id="962">
    <w:p>
      <w:pPr>
        <w:pStyle w:val="FootnoteText"/>
      </w:pPr>
      <w:r>
        <w:rPr>
          <w:rStyle w:val="FootnoteReference"/>
        </w:rPr>
        <w:footnoteRef/>
      </w:r>
      <w:r>
        <w:t xml:space="preserve"> </w:t>
      </w:r>
      <w:r>
        <w:t xml:space="preserve">Sosne 2015, PMID 25826322.</w:t>
      </w:r>
    </w:p>
  </w:footnote>
  <w:footnote w:id="963">
    <w:p>
      <w:pPr>
        <w:pStyle w:val="FootnoteText"/>
      </w:pPr>
      <w:r>
        <w:rPr>
          <w:rStyle w:val="FootnoteReference"/>
        </w:rPr>
        <w:footnoteRef/>
      </w:r>
      <w:r>
        <w:t xml:space="preserve"> </w:t>
      </w:r>
      <w:r>
        <w:t xml:space="preserve">Sosne 2015, PMID 26056426.</w:t>
      </w:r>
    </w:p>
  </w:footnote>
  <w:footnote w:id="964">
    <w:p>
      <w:pPr>
        <w:pStyle w:val="FootnoteText"/>
      </w:pPr>
      <w:r>
        <w:rPr>
          <w:rStyle w:val="FootnoteReference"/>
        </w:rPr>
        <w:footnoteRef/>
      </w:r>
      <w:r>
        <w:t xml:space="preserve"> </w:t>
      </w:r>
      <w:r>
        <w:t xml:space="preserve">NCT02974907 ; NCT03937882.</w:t>
      </w:r>
    </w:p>
  </w:footnote>
  <w:footnote w:id="965">
    <w:p>
      <w:pPr>
        <w:pStyle w:val="FootnoteText"/>
      </w:pPr>
      <w:r>
        <w:rPr>
          <w:rStyle w:val="FootnoteReference"/>
        </w:rPr>
        <w:footnoteRef/>
      </w:r>
      <w:r>
        <w:t xml:space="preserve"> </w:t>
      </w:r>
      <w:r>
        <w:t xml:space="preserve">Sosne 2022, PMID 36613994.</w:t>
      </w:r>
    </w:p>
  </w:footnote>
  <w:footnote w:id="966">
    <w:p>
      <w:pPr>
        <w:pStyle w:val="FootnoteText"/>
      </w:pPr>
      <w:r>
        <w:rPr>
          <w:rStyle w:val="FootnoteReference"/>
        </w:rPr>
        <w:footnoteRef/>
      </w:r>
      <w:r>
        <w:t xml:space="preserve"> </w:t>
      </w:r>
      <w:r>
        <w:t xml:space="preserve">Kruoch 2025, PMID 41347649.</w:t>
      </w:r>
    </w:p>
  </w:footnote>
  <w:footnote w:id="968">
    <w:p>
      <w:pPr>
        <w:pStyle w:val="FootnoteText"/>
      </w:pPr>
      <w:r>
        <w:rPr>
          <w:rStyle w:val="FootnoteReference"/>
        </w:rPr>
        <w:footnoteRef/>
      </w:r>
      <w:r>
        <w:t xml:space="preserve"> </w:t>
      </w:r>
      <w:r>
        <w:t xml:space="preserve">Zhang 2025, PMID 41229390.</w:t>
      </w:r>
    </w:p>
  </w:footnote>
  <w:footnote w:id="970">
    <w:p>
      <w:pPr>
        <w:pStyle w:val="FootnoteText"/>
      </w:pPr>
      <w:r>
        <w:rPr>
          <w:rStyle w:val="FootnoteReference"/>
        </w:rPr>
        <w:footnoteRef/>
      </w:r>
      <w:r>
        <w:t xml:space="preserve"> </w:t>
      </w:r>
      <w:r>
        <w:t xml:space="preserve">Guarnera 2010, PMID 20536470.</w:t>
      </w:r>
    </w:p>
  </w:footnote>
  <w:footnote w:id="971">
    <w:p>
      <w:pPr>
        <w:pStyle w:val="FootnoteText"/>
      </w:pPr>
      <w:r>
        <w:rPr>
          <w:rStyle w:val="FootnoteReference"/>
        </w:rPr>
        <w:footnoteRef/>
      </w:r>
      <w:r>
        <w:t xml:space="preserve"> </w:t>
      </w:r>
      <w:r>
        <w:t xml:space="preserve">NCT00311766.</w:t>
      </w:r>
    </w:p>
  </w:footnote>
  <w:footnote w:id="973">
    <w:p>
      <w:pPr>
        <w:pStyle w:val="FootnoteText"/>
      </w:pPr>
      <w:r>
        <w:rPr>
          <w:rStyle w:val="FootnoteReference"/>
        </w:rPr>
        <w:footnoteRef/>
      </w:r>
      <w:r>
        <w:t xml:space="preserve"> </w:t>
      </w:r>
      <w:r>
        <w:t xml:space="preserve">NCT07487363.</w:t>
      </w:r>
    </w:p>
  </w:footnote>
  <w:footnote w:id="974">
    <w:p>
      <w:pPr>
        <w:pStyle w:val="FootnoteText"/>
      </w:pPr>
      <w:r>
        <w:rPr>
          <w:rStyle w:val="FootnoteReference"/>
        </w:rPr>
        <w:footnoteRef/>
      </w:r>
      <w:r>
        <w:t xml:space="preserve"> </w:t>
      </w:r>
      <w:r>
        <w:t xml:space="preserve">Lee 2021, PMID 34324435.</w:t>
      </w:r>
    </w:p>
  </w:footnote>
  <w:footnote w:id="977">
    <w:p>
      <w:pPr>
        <w:pStyle w:val="FootnoteText"/>
      </w:pPr>
      <w:r>
        <w:rPr>
          <w:rStyle w:val="FootnoteReference"/>
        </w:rPr>
        <w:footnoteRef/>
      </w:r>
      <w:r>
        <w:t xml:space="preserve"> </w:t>
      </w:r>
      <w:r>
        <w:t xml:space="preserve">Bock-Marquette 2004, PMID 15565145.</w:t>
      </w:r>
    </w:p>
  </w:footnote>
  <w:footnote w:id="978">
    <w:p>
      <w:pPr>
        <w:pStyle w:val="FootnoteText"/>
      </w:pPr>
      <w:r>
        <w:rPr>
          <w:rStyle w:val="FootnoteReference"/>
        </w:rPr>
        <w:footnoteRef/>
      </w:r>
      <w:r>
        <w:t xml:space="preserve"> </w:t>
      </w:r>
      <w:r>
        <w:t xml:space="preserve">Smart 2007, PMID 17108969.</w:t>
      </w:r>
    </w:p>
  </w:footnote>
  <w:footnote w:id="979">
    <w:p>
      <w:pPr>
        <w:pStyle w:val="FootnoteText"/>
      </w:pPr>
      <w:r>
        <w:rPr>
          <w:rStyle w:val="FootnoteReference"/>
        </w:rPr>
        <w:footnoteRef/>
      </w:r>
      <w:r>
        <w:t xml:space="preserve"> </w:t>
      </w:r>
      <w:r>
        <w:t xml:space="preserve">Kispert 2012, PMID 22019445.</w:t>
      </w:r>
    </w:p>
  </w:footnote>
  <w:footnote w:id="980">
    <w:p>
      <w:pPr>
        <w:pStyle w:val="FootnoteText"/>
      </w:pPr>
      <w:r>
        <w:rPr>
          <w:rStyle w:val="FootnoteReference"/>
        </w:rPr>
        <w:footnoteRef/>
      </w:r>
      <w:r>
        <w:t xml:space="preserve"> </w:t>
      </w:r>
      <w:r>
        <w:t xml:space="preserve">Tao 2024, PMID 38757041.</w:t>
      </w:r>
    </w:p>
  </w:footnote>
  <w:footnote w:id="981">
    <w:p>
      <w:pPr>
        <w:pStyle w:val="FootnoteText"/>
      </w:pPr>
      <w:r>
        <w:rPr>
          <w:rStyle w:val="FootnoteReference"/>
        </w:rPr>
        <w:footnoteRef/>
      </w:r>
      <w:r>
        <w:t xml:space="preserve"> </w:t>
      </w:r>
      <w:r>
        <w:t xml:space="preserve">Brady 2014, PMID 25042765.</w:t>
      </w:r>
    </w:p>
  </w:footnote>
  <w:footnote w:id="982">
    <w:p>
      <w:pPr>
        <w:pStyle w:val="FootnoteText"/>
      </w:pPr>
      <w:r>
        <w:rPr>
          <w:rStyle w:val="FootnoteReference"/>
        </w:rPr>
        <w:footnoteRef/>
      </w:r>
      <w:r>
        <w:t xml:space="preserve"> </w:t>
      </w:r>
      <w:r>
        <w:t xml:space="preserve">Tham 2026, PMID 42937313.</w:t>
      </w:r>
    </w:p>
  </w:footnote>
  <w:footnote w:id="983">
    <w:p>
      <w:pPr>
        <w:pStyle w:val="FootnoteText"/>
      </w:pPr>
      <w:r>
        <w:rPr>
          <w:rStyle w:val="FootnoteReference"/>
        </w:rPr>
        <w:footnoteRef/>
      </w:r>
      <w:r>
        <w:t xml:space="preserve"> </w:t>
      </w:r>
      <w:r>
        <w:t xml:space="preserve">Biçer 2026, PMID 42542926.</w:t>
      </w:r>
    </w:p>
  </w:footnote>
  <w:footnote w:id="985">
    <w:p>
      <w:pPr>
        <w:pStyle w:val="FootnoteText"/>
      </w:pPr>
      <w:r>
        <w:rPr>
          <w:rStyle w:val="FootnoteReference"/>
        </w:rPr>
        <w:footnoteRef/>
      </w:r>
      <w:r>
        <w:t xml:space="preserve"> </w:t>
      </w:r>
      <w:r>
        <w:t xml:space="preserve">Ruff 2010, PMID 20536472.</w:t>
      </w:r>
    </w:p>
  </w:footnote>
  <w:footnote w:id="986">
    <w:p>
      <w:pPr>
        <w:pStyle w:val="FootnoteText"/>
      </w:pPr>
      <w:r>
        <w:rPr>
          <w:rStyle w:val="FootnoteReference"/>
        </w:rPr>
        <w:footnoteRef/>
      </w:r>
      <w:r>
        <w:t xml:space="preserve"> </w:t>
      </w:r>
      <w:r>
        <w:t xml:space="preserve">Wang 2021, PMID 34346165.</w:t>
      </w:r>
    </w:p>
  </w:footnote>
  <w:footnote w:id="988">
    <w:p>
      <w:pPr>
        <w:pStyle w:val="FootnoteText"/>
      </w:pPr>
      <w:r>
        <w:rPr>
          <w:rStyle w:val="FootnoteReference"/>
        </w:rPr>
        <w:footnoteRef/>
      </w:r>
      <w:r>
        <w:t xml:space="preserve"> </w:t>
      </w:r>
      <w:r>
        <w:t xml:space="preserve">Wang 2016, PMID 27596300.</w:t>
      </w:r>
    </w:p>
  </w:footnote>
  <w:footnote w:id="989">
    <w:p>
      <w:pPr>
        <w:pStyle w:val="FootnoteText"/>
      </w:pPr>
      <w:r>
        <w:rPr>
          <w:rStyle w:val="FootnoteReference"/>
        </w:rPr>
        <w:footnoteRef/>
      </w:r>
      <w:r>
        <w:t xml:space="preserve"> </w:t>
      </w:r>
      <w:r>
        <w:t xml:space="preserve">Larsson 2007, PMID 17495241.</w:t>
      </w:r>
    </w:p>
  </w:footnote>
  <w:footnote w:id="991">
    <w:p>
      <w:pPr>
        <w:pStyle w:val="FootnoteText"/>
      </w:pPr>
      <w:r>
        <w:rPr>
          <w:rStyle w:val="FootnoteReference"/>
        </w:rPr>
        <w:footnoteRef/>
      </w:r>
      <w:r>
        <w:t xml:space="preserve"> </w:t>
      </w:r>
      <w:r>
        <w:t xml:space="preserve">Delcourt 2023, PMID 36482504.</w:t>
      </w:r>
    </w:p>
  </w:footnote>
  <w:footnote w:id="992">
    <w:p>
      <w:pPr>
        <w:pStyle w:val="FootnoteText"/>
      </w:pPr>
      <w:r>
        <w:rPr>
          <w:rStyle w:val="FootnoteReference"/>
        </w:rPr>
        <w:footnoteRef/>
      </w:r>
      <w:r>
        <w:t xml:space="preserve"> </w:t>
      </w:r>
      <w:r>
        <w:t xml:space="preserve">Ho 2012, PMID 23084823.</w:t>
      </w:r>
    </w:p>
  </w:footnote>
  <w:footnote w:id="995">
    <w:p>
      <w:pPr>
        <w:pStyle w:val="FootnoteText"/>
      </w:pPr>
      <w:r>
        <w:rPr>
          <w:rStyle w:val="FootnoteReference"/>
        </w:rPr>
        <w:footnoteRef/>
      </w:r>
      <w:r>
        <w:t xml:space="preserve"> </w:t>
      </w:r>
      <w:r>
        <w:t xml:space="preserve">Willis 2026, PMID 42752426.</w:t>
      </w:r>
    </w:p>
  </w:footnote>
  <w:footnote w:id="996">
    <w:p>
      <w:pPr>
        <w:pStyle w:val="FootnoteText"/>
      </w:pPr>
      <w:r>
        <w:rPr>
          <w:rStyle w:val="FootnoteReference"/>
        </w:rPr>
        <w:footnoteRef/>
      </w:r>
      <w:r>
        <w:t xml:space="preserve"> </w:t>
      </w:r>
      <w:r>
        <w:t xml:space="preserve">Delcourt 2025, PMID 39314109.</w:t>
      </w:r>
    </w:p>
  </w:footnote>
  <w:footnote w:id="998">
    <w:p>
      <w:pPr>
        <w:pStyle w:val="FootnoteText"/>
      </w:pPr>
      <w:r>
        <w:rPr>
          <w:rStyle w:val="FootnoteReference"/>
        </w:rPr>
        <w:footnoteRef/>
      </w:r>
      <w:r>
        <w:t xml:space="preserve"> </w:t>
      </w:r>
      <w:r>
        <w:t xml:space="preserve">NCT05555589.</w:t>
      </w:r>
    </w:p>
  </w:footnote>
  <w:footnote w:id="999">
    <w:p>
      <w:pPr>
        <w:pStyle w:val="FootnoteText"/>
      </w:pPr>
      <w:r>
        <w:rPr>
          <w:rStyle w:val="FootnoteReference"/>
        </w:rPr>
        <w:footnoteRef/>
      </w:r>
      <w:r>
        <w:t xml:space="preserve"> </w:t>
      </w:r>
      <w:r>
        <w:t xml:space="preserve">NCT07586865.</w:t>
      </w:r>
    </w:p>
  </w:footnote>
  <w:footnote w:id="1000">
    <w:p>
      <w:pPr>
        <w:pStyle w:val="FootnoteText"/>
      </w:pPr>
      <w:r>
        <w:rPr>
          <w:rStyle w:val="FootnoteReference"/>
        </w:rPr>
        <w:footnoteRef/>
      </w:r>
      <w:r>
        <w:t xml:space="preserve"> </w:t>
      </w:r>
      <w:r>
        <w:t xml:space="preserve">NCT05485818 ; NCT05984134.</w:t>
      </w:r>
    </w:p>
  </w:footnote>
  <w:footnote w:id="1002">
    <w:p>
      <w:pPr>
        <w:pStyle w:val="FootnoteText"/>
      </w:pPr>
      <w:r>
        <w:rPr>
          <w:rStyle w:val="FootnoteReference"/>
        </w:rPr>
        <w:footnoteRef/>
      </w:r>
      <w:r>
        <w:t xml:space="preserve"> </w:t>
      </w:r>
      <w:r>
        <w:t xml:space="preserve">Zhang 2025, PMID 41229390.</w:t>
      </w:r>
    </w:p>
  </w:footnote>
  <w:footnote w:id="1005">
    <w:p>
      <w:pPr>
        <w:pStyle w:val="FootnoteText"/>
      </w:pPr>
      <w:r>
        <w:rPr>
          <w:rStyle w:val="FootnoteReference"/>
        </w:rPr>
        <w:footnoteRef/>
      </w:r>
      <w:r>
        <w:t xml:space="preserve"> </w:t>
      </w:r>
      <w:r>
        <w:t xml:space="preserve">Iino 2005, PMID 15850471.</w:t>
      </w:r>
    </w:p>
  </w:footnote>
  <w:footnote w:id="1006">
    <w:p>
      <w:pPr>
        <w:pStyle w:val="FootnoteText"/>
      </w:pPr>
      <w:r>
        <w:rPr>
          <w:rStyle w:val="FootnoteReference"/>
        </w:rPr>
        <w:footnoteRef/>
      </w:r>
      <w:r>
        <w:t xml:space="preserve"> </w:t>
      </w:r>
      <w:r>
        <w:t xml:space="preserve">Dinetz 2024, PMID 38308608.</w:t>
      </w:r>
    </w:p>
  </w:footnote>
  <w:footnote w:id="1008">
    <w:p>
      <w:pPr>
        <w:pStyle w:val="FootnoteText"/>
      </w:pPr>
      <w:r>
        <w:rPr>
          <w:rStyle w:val="FootnoteReference"/>
        </w:rPr>
        <w:footnoteRef/>
      </w:r>
      <w:r>
        <w:t xml:space="preserve"> </w:t>
      </w:r>
      <w:r>
        <w:t xml:space="preserve">Garaci 2007, PMID 17600290.</w:t>
      </w:r>
    </w:p>
  </w:footnote>
  <w:footnote w:id="1009">
    <w:p>
      <w:pPr>
        <w:pStyle w:val="FootnoteText"/>
      </w:pPr>
      <w:r>
        <w:rPr>
          <w:rStyle w:val="FootnoteReference"/>
        </w:rPr>
        <w:footnoteRef/>
      </w:r>
      <w:r>
        <w:t xml:space="preserve"> </w:t>
      </w:r>
      <w:r>
        <w:t xml:space="preserve">Ancell 2001, PMID 11381492.</w:t>
      </w:r>
    </w:p>
  </w:footnote>
  <w:footnote w:id="1011">
    <w:p>
      <w:pPr>
        <w:pStyle w:val="FootnoteText"/>
      </w:pPr>
      <w:r>
        <w:rPr>
          <w:rStyle w:val="FootnoteReference"/>
        </w:rPr>
        <w:footnoteRef/>
      </w:r>
      <w:r>
        <w:t xml:space="preserve"> </w:t>
      </w:r>
      <w:r>
        <w:t xml:space="preserve">Dinetz 2024, PMID 38308608.</w:t>
      </w:r>
    </w:p>
  </w:footnote>
  <w:footnote w:id="1013">
    <w:p>
      <w:pPr>
        <w:pStyle w:val="FootnoteText"/>
      </w:pPr>
      <w:r>
        <w:rPr>
          <w:rStyle w:val="FootnoteReference"/>
        </w:rPr>
        <w:footnoteRef/>
      </w:r>
      <w:r>
        <w:t xml:space="preserve"> </w:t>
      </w:r>
      <w:r>
        <w:t xml:space="preserve">Chien 1998, PMID 9581695.</w:t>
      </w:r>
    </w:p>
  </w:footnote>
  <w:footnote w:id="1014">
    <w:p>
      <w:pPr>
        <w:pStyle w:val="FootnoteText"/>
      </w:pPr>
      <w:r>
        <w:rPr>
          <w:rStyle w:val="FootnoteReference"/>
        </w:rPr>
        <w:footnoteRef/>
      </w:r>
      <w:r>
        <w:t xml:space="preserve"> </w:t>
      </w:r>
      <w:r>
        <w:t xml:space="preserve">Mutchnick 1999, PMID 10607256.</w:t>
      </w:r>
    </w:p>
  </w:footnote>
  <w:footnote w:id="1015">
    <w:p>
      <w:pPr>
        <w:pStyle w:val="FootnoteText"/>
      </w:pPr>
      <w:r>
        <w:rPr>
          <w:rStyle w:val="FootnoteReference"/>
        </w:rPr>
        <w:footnoteRef/>
      </w:r>
      <w:r>
        <w:t xml:space="preserve"> </w:t>
      </w:r>
      <w:r>
        <w:t xml:space="preserve">Yang 2008, PMID 18078676.</w:t>
      </w:r>
    </w:p>
  </w:footnote>
  <w:footnote w:id="1016">
    <w:p>
      <w:pPr>
        <w:pStyle w:val="FootnoteText"/>
      </w:pPr>
      <w:r>
        <w:rPr>
          <w:rStyle w:val="FootnoteReference"/>
        </w:rPr>
        <w:footnoteRef/>
      </w:r>
      <w:r>
        <w:t xml:space="preserve"> </w:t>
      </w:r>
      <w:r>
        <w:t xml:space="preserve">Wu 2018, PMID 30063860.</w:t>
      </w:r>
    </w:p>
  </w:footnote>
  <w:footnote w:id="1017">
    <w:p>
      <w:pPr>
        <w:pStyle w:val="FootnoteText"/>
      </w:pPr>
      <w:r>
        <w:rPr>
          <w:rStyle w:val="FootnoteReference"/>
        </w:rPr>
        <w:footnoteRef/>
      </w:r>
      <w:r>
        <w:t xml:space="preserve"> </w:t>
      </w:r>
      <w:r>
        <w:t xml:space="preserve">Peng 2020, PMID 33076834.</w:t>
      </w:r>
    </w:p>
  </w:footnote>
  <w:footnote w:id="1018">
    <w:p>
      <w:pPr>
        <w:pStyle w:val="FootnoteText"/>
      </w:pPr>
      <w:r>
        <w:rPr>
          <w:rStyle w:val="FootnoteReference"/>
        </w:rPr>
        <w:footnoteRef/>
      </w:r>
      <w:r>
        <w:t xml:space="preserve"> </w:t>
      </w:r>
      <w:r>
        <w:t xml:space="preserve">Chen 2022, PMID 35616850.</w:t>
      </w:r>
    </w:p>
  </w:footnote>
  <w:footnote w:id="1019">
    <w:p>
      <w:pPr>
        <w:pStyle w:val="FootnoteText"/>
      </w:pPr>
      <w:r>
        <w:rPr>
          <w:rStyle w:val="FootnoteReference"/>
        </w:rPr>
        <w:footnoteRef/>
      </w:r>
      <w:r>
        <w:t xml:space="preserve"> </w:t>
      </w:r>
      <w:r>
        <w:t xml:space="preserve">Sherman 1998, PMID 9537454 ; Andreone 2004, PMID 14738560.</w:t>
      </w:r>
    </w:p>
  </w:footnote>
  <w:footnote w:id="1021">
    <w:p>
      <w:pPr>
        <w:pStyle w:val="FootnoteText"/>
      </w:pPr>
      <w:r>
        <w:rPr>
          <w:rStyle w:val="FootnoteReference"/>
        </w:rPr>
        <w:footnoteRef/>
      </w:r>
      <w:r>
        <w:t xml:space="preserve"> </w:t>
      </w:r>
      <w:r>
        <w:t xml:space="preserve">Wu 2013, PMID 23327199.</w:t>
      </w:r>
    </w:p>
  </w:footnote>
  <w:footnote w:id="1022">
    <w:p>
      <w:pPr>
        <w:pStyle w:val="FootnoteText"/>
      </w:pPr>
      <w:r>
        <w:rPr>
          <w:rStyle w:val="FootnoteReference"/>
        </w:rPr>
        <w:footnoteRef/>
      </w:r>
      <w:r>
        <w:t xml:space="preserve"> </w:t>
      </w:r>
      <w:r>
        <w:t xml:space="preserve">Wu 2025, PMID 39814420.</w:t>
      </w:r>
    </w:p>
  </w:footnote>
  <w:footnote w:id="1023">
    <w:p>
      <w:pPr>
        <w:pStyle w:val="FootnoteText"/>
      </w:pPr>
      <w:r>
        <w:rPr>
          <w:rStyle w:val="FootnoteReference"/>
        </w:rPr>
        <w:footnoteRef/>
      </w:r>
      <w:r>
        <w:t xml:space="preserve"> </w:t>
      </w:r>
      <w:r>
        <w:t xml:space="preserve">Gu 2025, PMID 40969554.</w:t>
      </w:r>
    </w:p>
  </w:footnote>
  <w:footnote w:id="1024">
    <w:p>
      <w:pPr>
        <w:pStyle w:val="FootnoteText"/>
      </w:pPr>
      <w:r>
        <w:rPr>
          <w:rStyle w:val="FootnoteReference"/>
        </w:rPr>
        <w:footnoteRef/>
      </w:r>
      <w:r>
        <w:t xml:space="preserve"> </w:t>
      </w:r>
      <w:r>
        <w:t xml:space="preserve">Luo 2026, PMID 42205841.</w:t>
      </w:r>
    </w:p>
  </w:footnote>
  <w:footnote w:id="1026">
    <w:p>
      <w:pPr>
        <w:pStyle w:val="FootnoteText"/>
      </w:pPr>
      <w:r>
        <w:rPr>
          <w:rStyle w:val="FootnoteReference"/>
        </w:rPr>
        <w:footnoteRef/>
      </w:r>
      <w:r>
        <w:t xml:space="preserve"> </w:t>
      </w:r>
      <w:r>
        <w:t xml:space="preserve">Liu 2020, PMID 32442287.</w:t>
      </w:r>
    </w:p>
  </w:footnote>
  <w:footnote w:id="1027">
    <w:p>
      <w:pPr>
        <w:pStyle w:val="FootnoteText"/>
      </w:pPr>
      <w:r>
        <w:rPr>
          <w:rStyle w:val="FootnoteReference"/>
        </w:rPr>
        <w:footnoteRef/>
      </w:r>
      <w:r>
        <w:t xml:space="preserve"> </w:t>
      </w:r>
      <w:r>
        <w:t xml:space="preserve">Liu 2021, PMID 34408744.</w:t>
      </w:r>
    </w:p>
  </w:footnote>
  <w:footnote w:id="1028">
    <w:p>
      <w:pPr>
        <w:pStyle w:val="FootnoteText"/>
      </w:pPr>
      <w:r>
        <w:rPr>
          <w:rStyle w:val="FootnoteReference"/>
        </w:rPr>
        <w:footnoteRef/>
      </w:r>
      <w:r>
        <w:t xml:space="preserve"> </w:t>
      </w:r>
      <w:r>
        <w:t xml:space="preserve">Shehadeh 2023, PMID 36056913.</w:t>
      </w:r>
    </w:p>
  </w:footnote>
  <w:footnote w:id="1029">
    <w:p>
      <w:pPr>
        <w:pStyle w:val="FootnoteText"/>
      </w:pPr>
      <w:r>
        <w:rPr>
          <w:rStyle w:val="FootnoteReference"/>
        </w:rPr>
        <w:footnoteRef/>
      </w:r>
      <w:r>
        <w:t xml:space="preserve"> </w:t>
      </w:r>
      <w:r>
        <w:t xml:space="preserve">Shang 2023, PMID 36527881.</w:t>
      </w:r>
    </w:p>
  </w:footnote>
  <w:footnote w:id="1030">
    <w:p>
      <w:pPr>
        <w:pStyle w:val="FootnoteText"/>
      </w:pPr>
      <w:r>
        <w:rPr>
          <w:rStyle w:val="FootnoteReference"/>
        </w:rPr>
        <w:footnoteRef/>
      </w:r>
      <w:r>
        <w:t xml:space="preserve"> </w:t>
      </w:r>
      <w:r>
        <w:t xml:space="preserve">Soeroto 2023, PMID 37845598.</w:t>
      </w:r>
    </w:p>
  </w:footnote>
  <w:footnote w:id="1032">
    <w:p>
      <w:pPr>
        <w:pStyle w:val="FootnoteText"/>
      </w:pPr>
      <w:r>
        <w:rPr>
          <w:rStyle w:val="FootnoteReference"/>
        </w:rPr>
        <w:footnoteRef/>
      </w:r>
      <w:r>
        <w:t xml:space="preserve"> </w:t>
      </w:r>
      <w:r>
        <w:t xml:space="preserve">Maio 2010, PMID 20194853.</w:t>
      </w:r>
    </w:p>
  </w:footnote>
  <w:footnote w:id="1033">
    <w:p>
      <w:pPr>
        <w:pStyle w:val="FootnoteText"/>
      </w:pPr>
      <w:r>
        <w:rPr>
          <w:rStyle w:val="FootnoteReference"/>
        </w:rPr>
        <w:footnoteRef/>
      </w:r>
      <w:r>
        <w:t xml:space="preserve"> </w:t>
      </w:r>
      <w:r>
        <w:t xml:space="preserve">Kim 2026, PMID 42797537.</w:t>
      </w:r>
    </w:p>
  </w:footnote>
  <w:footnote w:id="1034">
    <w:p>
      <w:pPr>
        <w:pStyle w:val="FootnoteText"/>
      </w:pPr>
      <w:r>
        <w:rPr>
          <w:rStyle w:val="FootnoteReference"/>
        </w:rPr>
        <w:footnoteRef/>
      </w:r>
      <w:r>
        <w:t xml:space="preserve"> </w:t>
      </w:r>
      <w:r>
        <w:t xml:space="preserve">Xu 2026, PMID 41749205.</w:t>
      </w:r>
    </w:p>
  </w:footnote>
  <w:footnote w:id="1036">
    <w:p>
      <w:pPr>
        <w:pStyle w:val="FootnoteText"/>
      </w:pPr>
      <w:r>
        <w:rPr>
          <w:rStyle w:val="FootnoteReference"/>
        </w:rPr>
        <w:footnoteRef/>
      </w:r>
      <w:r>
        <w:t xml:space="preserve"> </w:t>
      </w:r>
      <w:r>
        <w:t xml:space="preserve">Gravenstein 1989, PMID 2642497.</w:t>
      </w:r>
    </w:p>
  </w:footnote>
  <w:footnote w:id="1037">
    <w:p>
      <w:pPr>
        <w:pStyle w:val="FootnoteText"/>
      </w:pPr>
      <w:r>
        <w:rPr>
          <w:rStyle w:val="FootnoteReference"/>
        </w:rPr>
        <w:footnoteRef/>
      </w:r>
      <w:r>
        <w:t xml:space="preserve"> </w:t>
      </w:r>
      <w:r>
        <w:t xml:space="preserve">Tuthill 2023, PMID 36881981.</w:t>
      </w:r>
    </w:p>
  </w:footnote>
  <w:footnote w:id="1038">
    <w:p>
      <w:pPr>
        <w:pStyle w:val="FootnoteText"/>
      </w:pPr>
      <w:r>
        <w:rPr>
          <w:rStyle w:val="FootnoteReference"/>
        </w:rPr>
        <w:footnoteRef/>
      </w:r>
      <w:r>
        <w:t xml:space="preserve"> </w:t>
      </w:r>
      <w:r>
        <w:t xml:space="preserve">NCT06821100.</w:t>
      </w:r>
    </w:p>
  </w:footnote>
  <w:footnote w:id="1041">
    <w:p>
      <w:pPr>
        <w:pStyle w:val="FootnoteText"/>
      </w:pPr>
      <w:r>
        <w:rPr>
          <w:rStyle w:val="FootnoteReference"/>
        </w:rPr>
        <w:footnoteRef/>
      </w:r>
      <w:r>
        <w:t xml:space="preserve"> </w:t>
      </w:r>
      <w:r>
        <w:t xml:space="preserve">Garaci 2007, PMID 17600290.</w:t>
      </w:r>
    </w:p>
  </w:footnote>
  <w:footnote w:id="1043">
    <w:p>
      <w:pPr>
        <w:pStyle w:val="FootnoteText"/>
      </w:pPr>
      <w:r>
        <w:rPr>
          <w:rStyle w:val="FootnoteReference"/>
        </w:rPr>
        <w:footnoteRef/>
      </w:r>
      <w:r>
        <w:t xml:space="preserve"> </w:t>
      </w:r>
      <w:r>
        <w:t xml:space="preserve">Ancell 2001, PMID 11381492.</w:t>
      </w:r>
    </w:p>
  </w:footnote>
  <w:footnote w:id="1044">
    <w:p>
      <w:pPr>
        <w:pStyle w:val="FootnoteText"/>
      </w:pPr>
      <w:r>
        <w:rPr>
          <w:rStyle w:val="FootnoteReference"/>
        </w:rPr>
        <w:footnoteRef/>
      </w:r>
      <w:r>
        <w:t xml:space="preserve"> </w:t>
      </w:r>
      <w:r>
        <w:t xml:space="preserve">Wu 2025, PMID 39814420.</w:t>
      </w:r>
    </w:p>
  </w:footnote>
  <w:footnote w:id="1045">
    <w:p>
      <w:pPr>
        <w:pStyle w:val="FootnoteText"/>
      </w:pPr>
      <w:r>
        <w:rPr>
          <w:rStyle w:val="FootnoteReference"/>
        </w:rPr>
        <w:footnoteRef/>
      </w:r>
      <w:r>
        <w:t xml:space="preserve"> </w:t>
      </w:r>
      <w:r>
        <w:t xml:space="preserve">Iino 2005, PMID 15850471.</w:t>
      </w:r>
    </w:p>
  </w:footnote>
  <w:footnote w:id="1047">
    <w:p>
      <w:pPr>
        <w:pStyle w:val="FootnoteText"/>
      </w:pPr>
      <w:r>
        <w:rPr>
          <w:rStyle w:val="FootnoteReference"/>
        </w:rPr>
        <w:footnoteRef/>
      </w:r>
      <w:r>
        <w:t xml:space="preserve"> </w:t>
      </w:r>
      <w:r>
        <w:t xml:space="preserve">Wu 2025, PMID 39814420.</w:t>
      </w:r>
    </w:p>
  </w:footnote>
  <w:footnote w:id="1048">
    <w:p>
      <w:pPr>
        <w:pStyle w:val="FootnoteText"/>
      </w:pPr>
      <w:r>
        <w:rPr>
          <w:rStyle w:val="FootnoteReference"/>
        </w:rPr>
        <w:footnoteRef/>
      </w:r>
      <w:r>
        <w:t xml:space="preserve"> </w:t>
      </w:r>
      <w:r>
        <w:t xml:space="preserve">Liu 2021, PMID 34408744.</w:t>
      </w:r>
    </w:p>
  </w:footnote>
  <w:footnote w:id="1049">
    <w:p>
      <w:pPr>
        <w:pStyle w:val="FootnoteText"/>
      </w:pPr>
      <w:r>
        <w:rPr>
          <w:rStyle w:val="FootnoteReference"/>
        </w:rPr>
        <w:footnoteRef/>
      </w:r>
      <w:r>
        <w:t xml:space="preserve"> </w:t>
      </w:r>
      <w:r>
        <w:t xml:space="preserve">Kim 2026, PMID 42797537.</w:t>
      </w:r>
    </w:p>
  </w:footnote>
  <w:footnote w:id="1052">
    <w:p>
      <w:pPr>
        <w:pStyle w:val="FootnoteText"/>
      </w:pPr>
      <w:r>
        <w:rPr>
          <w:rStyle w:val="FootnoteReference"/>
        </w:rPr>
        <w:footnoteRef/>
      </w:r>
      <w:r>
        <w:t xml:space="preserve"> </w:t>
      </w:r>
      <w:r>
        <w:t xml:space="preserve">Dinetz 2024, PMID 38308608.</w:t>
      </w:r>
    </w:p>
  </w:footnote>
  <w:footnote w:id="1053">
    <w:p>
      <w:pPr>
        <w:pStyle w:val="FootnoteText"/>
      </w:pPr>
      <w:r>
        <w:rPr>
          <w:rStyle w:val="FootnoteReference"/>
        </w:rPr>
        <w:footnoteRef/>
      </w:r>
      <w:r>
        <w:t xml:space="preserve"> </w:t>
      </w:r>
      <w:r>
        <w:t xml:space="preserve">Willis 2026, PMID 42752426.</w:t>
      </w:r>
    </w:p>
  </w:footnote>
  <w:footnote w:id="1055">
    <w:p>
      <w:pPr>
        <w:pStyle w:val="FootnoteText"/>
      </w:pPr>
      <w:r>
        <w:rPr>
          <w:rStyle w:val="FootnoteReference"/>
        </w:rPr>
        <w:footnoteRef/>
      </w:r>
      <w:r>
        <w:t xml:space="preserve"> </w:t>
      </w:r>
      <w:r>
        <w:t xml:space="preserve">NCT05086614.</w:t>
      </w:r>
    </w:p>
  </w:footnote>
  <w:footnote w:id="1056">
    <w:p>
      <w:pPr>
        <w:pStyle w:val="FootnoteText"/>
      </w:pPr>
      <w:r>
        <w:rPr>
          <w:rStyle w:val="FootnoteReference"/>
        </w:rPr>
        <w:footnoteRef/>
      </w:r>
      <w:r>
        <w:t xml:space="preserve"> </w:t>
      </w:r>
      <w:r>
        <w:t xml:space="preserve">NCT07884201.</w:t>
      </w:r>
    </w:p>
  </w:footnote>
  <w:footnote w:id="1057">
    <w:p>
      <w:pPr>
        <w:pStyle w:val="FootnoteText"/>
      </w:pPr>
      <w:r>
        <w:rPr>
          <w:rStyle w:val="FootnoteReference"/>
        </w:rPr>
        <w:footnoteRef/>
      </w:r>
      <w:r>
        <w:t xml:space="preserve"> </w:t>
      </w:r>
      <w:r>
        <w:t xml:space="preserve">NCT07866118.</w:t>
      </w:r>
    </w:p>
  </w:footnote>
  <w:footnote w:id="1058">
    <w:p>
      <w:pPr>
        <w:pStyle w:val="FootnoteText"/>
      </w:pPr>
      <w:r>
        <w:rPr>
          <w:rStyle w:val="FootnoteReference"/>
        </w:rPr>
        <w:footnoteRef/>
      </w:r>
      <w:r>
        <w:t xml:space="preserve"> </w:t>
      </w:r>
      <w:r>
        <w:t xml:space="preserve">NCT06821100.</w:t>
      </w:r>
    </w:p>
  </w:footnote>
  <w:footnote w:id="1060">
    <w:p>
      <w:pPr>
        <w:pStyle w:val="FootnoteText"/>
      </w:pPr>
      <w:r>
        <w:rPr>
          <w:rStyle w:val="FootnoteReference"/>
        </w:rPr>
        <w:footnoteRef/>
      </w:r>
      <w:r>
        <w:t xml:space="preserve"> </w:t>
      </w:r>
      <w:r>
        <w:t xml:space="preserve">Wu 2025, PMID 39814420.</w:t>
      </w:r>
    </w:p>
  </w:footnote>
  <w:footnote w:id="1061">
    <w:p>
      <w:pPr>
        <w:pStyle w:val="FootnoteText"/>
      </w:pPr>
      <w:r>
        <w:rPr>
          <w:rStyle w:val="FootnoteReference"/>
        </w:rPr>
        <w:footnoteRef/>
      </w:r>
      <w:r>
        <w:t xml:space="preserve"> </w:t>
      </w:r>
      <w:r>
        <w:t xml:space="preserve">Ke 2022, PMID 35713670.</w:t>
      </w:r>
    </w:p>
  </w:footnote>
  <w:footnote w:id="1062">
    <w:p>
      <w:pPr>
        <w:pStyle w:val="FootnoteText"/>
      </w:pPr>
      <w:r>
        <w:rPr>
          <w:rStyle w:val="FootnoteReference"/>
        </w:rPr>
        <w:footnoteRef/>
      </w:r>
      <w:r>
        <w:t xml:space="preserve"> </w:t>
      </w:r>
      <w:r>
        <w:t xml:space="preserve">Wu 2018, PMID 30063860.</w:t>
      </w:r>
    </w:p>
  </w:footnote>
  <w:footnote w:id="1065">
    <w:p>
      <w:pPr>
        <w:pStyle w:val="FootnoteText"/>
      </w:pPr>
      <w:r>
        <w:rPr>
          <w:rStyle w:val="FootnoteReference"/>
        </w:rPr>
        <w:footnoteRef/>
      </w:r>
      <w:r>
        <w:t xml:space="preserve"> </w:t>
      </w:r>
      <w:r>
        <w:t xml:space="preserve">Cutuli 2000, PMID 10670585.</w:t>
      </w:r>
    </w:p>
  </w:footnote>
  <w:footnote w:id="1067">
    <w:p>
      <w:pPr>
        <w:pStyle w:val="FootnoteText"/>
      </w:pPr>
      <w:r>
        <w:rPr>
          <w:rStyle w:val="FootnoteReference"/>
        </w:rPr>
        <w:footnoteRef/>
      </w:r>
      <w:r>
        <w:t xml:space="preserve"> </w:t>
      </w:r>
      <w:r>
        <w:t xml:space="preserve">Catania 1998, PMID 9700761.</w:t>
      </w:r>
    </w:p>
  </w:footnote>
  <w:footnote w:id="1068">
    <w:p>
      <w:pPr>
        <w:pStyle w:val="FootnoteText"/>
      </w:pPr>
      <w:r>
        <w:rPr>
          <w:rStyle w:val="FootnoteReference"/>
        </w:rPr>
        <w:footnoteRef/>
      </w:r>
      <w:r>
        <w:t xml:space="preserve"> </w:t>
      </w:r>
      <w:r>
        <w:t xml:space="preserve">Getting 2003, PMID 12750433.</w:t>
      </w:r>
    </w:p>
  </w:footnote>
  <w:footnote w:id="1069">
    <w:p>
      <w:pPr>
        <w:pStyle w:val="FootnoteText"/>
      </w:pPr>
      <w:r>
        <w:rPr>
          <w:rStyle w:val="FootnoteReference"/>
        </w:rPr>
        <w:footnoteRef/>
      </w:r>
      <w:r>
        <w:t xml:space="preserve"> </w:t>
      </w:r>
      <w:r>
        <w:t xml:space="preserve">Dalmasso 2008, PMID 18061177.</w:t>
      </w:r>
    </w:p>
  </w:footnote>
  <w:footnote w:id="1070">
    <w:p>
      <w:pPr>
        <w:pStyle w:val="FootnoteText"/>
      </w:pPr>
      <w:r>
        <w:rPr>
          <w:rStyle w:val="FootnoteReference"/>
        </w:rPr>
        <w:footnoteRef/>
      </w:r>
      <w:r>
        <w:t xml:space="preserve"> </w:t>
      </w:r>
      <w:r>
        <w:t xml:space="preserve">Cutuli 2000, PMID 10670585.</w:t>
      </w:r>
    </w:p>
  </w:footnote>
  <w:footnote w:id="1072">
    <w:p>
      <w:pPr>
        <w:pStyle w:val="FootnoteText"/>
      </w:pPr>
      <w:r>
        <w:rPr>
          <w:rStyle w:val="FootnoteReference"/>
        </w:rPr>
        <w:footnoteRef/>
      </w:r>
      <w:r>
        <w:t xml:space="preserve"> </w:t>
      </w:r>
      <w:r>
        <w:t xml:space="preserve">Catania 1998, PMID 9700761.</w:t>
      </w:r>
    </w:p>
  </w:footnote>
  <w:footnote w:id="1073">
    <w:p>
      <w:pPr>
        <w:pStyle w:val="FootnoteText"/>
      </w:pPr>
      <w:r>
        <w:rPr>
          <w:rStyle w:val="FootnoteReference"/>
        </w:rPr>
        <w:footnoteRef/>
      </w:r>
      <w:r>
        <w:t xml:space="preserve"> </w:t>
      </w:r>
      <w:r>
        <w:t xml:space="preserve">Elliott 2004, PMID 15102092.</w:t>
      </w:r>
    </w:p>
  </w:footnote>
  <w:footnote w:id="1074">
    <w:p>
      <w:pPr>
        <w:pStyle w:val="FootnoteText"/>
      </w:pPr>
      <w:r>
        <w:rPr>
          <w:rStyle w:val="FootnoteReference"/>
        </w:rPr>
        <w:footnoteRef/>
      </w:r>
      <w:r>
        <w:t xml:space="preserve"> </w:t>
      </w:r>
      <w:r>
        <w:t xml:space="preserve">Pawar 2017, PMID 28343991.</w:t>
      </w:r>
    </w:p>
  </w:footnote>
  <w:footnote w:id="1075">
    <w:p>
      <w:pPr>
        <w:pStyle w:val="FootnoteText"/>
      </w:pPr>
      <w:r>
        <w:rPr>
          <w:rStyle w:val="FootnoteReference"/>
        </w:rPr>
        <w:footnoteRef/>
      </w:r>
      <w:r>
        <w:t xml:space="preserve"> </w:t>
      </w:r>
      <w:r>
        <w:t xml:space="preserve">Gatti 2006, PMID 16413580.</w:t>
      </w:r>
    </w:p>
  </w:footnote>
  <w:footnote w:id="1079">
    <w:p>
      <w:pPr>
        <w:pStyle w:val="FootnoteText"/>
      </w:pPr>
      <w:r>
        <w:rPr>
          <w:rStyle w:val="FootnoteReference"/>
        </w:rPr>
        <w:footnoteRef/>
      </w:r>
      <w:r>
        <w:t xml:space="preserve"> </w:t>
      </w:r>
      <w:r>
        <w:t xml:space="preserve">Cutuli 2000, PMID 10670585.</w:t>
      </w:r>
    </w:p>
  </w:footnote>
  <w:footnote w:id="1080">
    <w:p>
      <w:pPr>
        <w:pStyle w:val="FootnoteText"/>
      </w:pPr>
      <w:r>
        <w:rPr>
          <w:rStyle w:val="FootnoteReference"/>
        </w:rPr>
        <w:footnoteRef/>
      </w:r>
      <w:r>
        <w:t xml:space="preserve"> </w:t>
      </w:r>
      <w:r>
        <w:t xml:space="preserve">Coutinho 2026, PMID 41880199.</w:t>
      </w:r>
    </w:p>
  </w:footnote>
  <w:footnote w:id="1085">
    <w:p>
      <w:pPr>
        <w:pStyle w:val="FootnoteText"/>
      </w:pPr>
      <w:r>
        <w:rPr>
          <w:rStyle w:val="FootnoteReference"/>
        </w:rPr>
        <w:footnoteRef/>
      </w:r>
      <w:r>
        <w:t xml:space="preserve"> </w:t>
      </w:r>
      <w:r>
        <w:t xml:space="preserve">Dalmasso 2008, PMID 18061177 ; Kannengiesser 2008, PMID 18092346.</w:t>
      </w:r>
    </w:p>
  </w:footnote>
  <w:footnote w:id="1088">
    <w:p>
      <w:pPr>
        <w:pStyle w:val="FootnoteText"/>
      </w:pPr>
      <w:r>
        <w:rPr>
          <w:rStyle w:val="FootnoteReference"/>
        </w:rPr>
        <w:footnoteRef/>
      </w:r>
      <w:r>
        <w:t xml:space="preserve"> </w:t>
      </w:r>
      <w:r>
        <w:t xml:space="preserve">Gombart 2005, PMID 15985530.</w:t>
      </w:r>
    </w:p>
  </w:footnote>
  <w:footnote w:id="1090">
    <w:p>
      <w:pPr>
        <w:pStyle w:val="FootnoteText"/>
      </w:pPr>
      <w:r>
        <w:rPr>
          <w:rStyle w:val="FootnoteReference"/>
        </w:rPr>
        <w:footnoteRef/>
      </w:r>
      <w:r>
        <w:t xml:space="preserve"> </w:t>
      </w:r>
      <w:r>
        <w:t xml:space="preserve">Gombart 2005, PMID 15985530.</w:t>
      </w:r>
    </w:p>
  </w:footnote>
  <w:footnote w:id="1091">
    <w:p>
      <w:pPr>
        <w:pStyle w:val="FootnoteText"/>
      </w:pPr>
      <w:r>
        <w:rPr>
          <w:rStyle w:val="FootnoteReference"/>
        </w:rPr>
        <w:footnoteRef/>
      </w:r>
      <w:r>
        <w:t xml:space="preserve"> </w:t>
      </w:r>
      <w:r>
        <w:t xml:space="preserve">Lande 2007, PMID 17873860.</w:t>
      </w:r>
    </w:p>
  </w:footnote>
  <w:footnote w:id="1092">
    <w:p>
      <w:pPr>
        <w:pStyle w:val="FootnoteText"/>
      </w:pPr>
      <w:r>
        <w:rPr>
          <w:rStyle w:val="FootnoteReference"/>
        </w:rPr>
        <w:footnoteRef/>
      </w:r>
      <w:r>
        <w:t xml:space="preserve"> </w:t>
      </w:r>
      <w:r>
        <w:t xml:space="preserve">Lande 2014, PMID 25470744.</w:t>
      </w:r>
    </w:p>
  </w:footnote>
  <w:footnote w:id="1093">
    <w:p>
      <w:pPr>
        <w:pStyle w:val="FootnoteText"/>
      </w:pPr>
      <w:r>
        <w:rPr>
          <w:rStyle w:val="FootnoteReference"/>
        </w:rPr>
        <w:footnoteRef/>
      </w:r>
      <w:r>
        <w:t xml:space="preserve"> </w:t>
      </w:r>
      <w:r>
        <w:t xml:space="preserve">Yamasaki 2007, PMID 17676051.</w:t>
      </w:r>
    </w:p>
  </w:footnote>
  <w:footnote w:id="1095">
    <w:p>
      <w:pPr>
        <w:pStyle w:val="FootnoteText"/>
      </w:pPr>
      <w:r>
        <w:rPr>
          <w:rStyle w:val="FootnoteReference"/>
        </w:rPr>
        <w:footnoteRef/>
      </w:r>
      <w:r>
        <w:t xml:space="preserve"> </w:t>
      </w:r>
      <w:r>
        <w:t xml:space="preserve">Grönberg 2014, PMID 25041740.</w:t>
      </w:r>
    </w:p>
  </w:footnote>
  <w:footnote w:id="1096">
    <w:p>
      <w:pPr>
        <w:pStyle w:val="FootnoteText"/>
      </w:pPr>
      <w:r>
        <w:rPr>
          <w:rStyle w:val="FootnoteReference"/>
        </w:rPr>
        <w:footnoteRef/>
      </w:r>
      <w:r>
        <w:t xml:space="preserve"> </w:t>
      </w:r>
      <w:r>
        <w:t xml:space="preserve">Mahlapuu 2021, PMID 34687253.</w:t>
      </w:r>
    </w:p>
  </w:footnote>
  <w:footnote w:id="1097">
    <w:p>
      <w:pPr>
        <w:pStyle w:val="FootnoteText"/>
      </w:pPr>
      <w:r>
        <w:rPr>
          <w:rStyle w:val="FootnoteReference"/>
        </w:rPr>
        <w:footnoteRef/>
      </w:r>
      <w:r>
        <w:t xml:space="preserve"> </w:t>
      </w:r>
      <w:r>
        <w:t xml:space="preserve">Miranda 2023, PMID 37480520.</w:t>
      </w:r>
    </w:p>
  </w:footnote>
  <w:footnote w:id="1098">
    <w:p>
      <w:pPr>
        <w:pStyle w:val="FootnoteText"/>
      </w:pPr>
      <w:r>
        <w:rPr>
          <w:rStyle w:val="FootnoteReference"/>
        </w:rPr>
        <w:footnoteRef/>
      </w:r>
      <w:r>
        <w:t xml:space="preserve"> </w:t>
      </w:r>
      <w:r>
        <w:t xml:space="preserve">Zhao 2023, PMID 37605995.</w:t>
      </w:r>
    </w:p>
  </w:footnote>
  <w:footnote w:id="1100">
    <w:p>
      <w:pPr>
        <w:pStyle w:val="FootnoteText"/>
      </w:pPr>
      <w:r>
        <w:rPr>
          <w:rStyle w:val="FootnoteReference"/>
        </w:rPr>
        <w:footnoteRef/>
      </w:r>
      <w:r>
        <w:t xml:space="preserve"> </w:t>
      </w:r>
      <w:r>
        <w:t xml:space="preserve">Majewski 2017, PMID 28956425.</w:t>
      </w:r>
    </w:p>
  </w:footnote>
  <w:footnote w:id="1101">
    <w:p>
      <w:pPr>
        <w:pStyle w:val="FootnoteText"/>
      </w:pPr>
      <w:r>
        <w:rPr>
          <w:rStyle w:val="FootnoteReference"/>
        </w:rPr>
        <w:footnoteRef/>
      </w:r>
      <w:r>
        <w:t xml:space="preserve"> </w:t>
      </w:r>
      <w:r>
        <w:t xml:space="preserve">Savonius 2018, PMID 28827496.</w:t>
      </w:r>
    </w:p>
  </w:footnote>
  <w:footnote w:id="1102">
    <w:p>
      <w:pPr>
        <w:pStyle w:val="FootnoteText"/>
      </w:pPr>
      <w:r>
        <w:rPr>
          <w:rStyle w:val="FootnoteReference"/>
        </w:rPr>
        <w:footnoteRef/>
      </w:r>
      <w:r>
        <w:t xml:space="preserve"> </w:t>
      </w:r>
      <w:r>
        <w:t xml:space="preserve">Quraishi 2015, PMID 26086941.</w:t>
      </w:r>
    </w:p>
  </w:footnote>
  <w:footnote w:id="1104">
    <w:p>
      <w:pPr>
        <w:pStyle w:val="FootnoteText"/>
      </w:pPr>
      <w:r>
        <w:rPr>
          <w:rStyle w:val="FootnoteReference"/>
        </w:rPr>
        <w:footnoteRef/>
      </w:r>
      <w:r>
        <w:t xml:space="preserve"> </w:t>
      </w:r>
      <w:r>
        <w:t xml:space="preserve">Mily 2015, PMID 26394045.</w:t>
      </w:r>
    </w:p>
  </w:footnote>
  <w:footnote w:id="1107">
    <w:p>
      <w:pPr>
        <w:pStyle w:val="FootnoteText"/>
      </w:pPr>
      <w:r>
        <w:rPr>
          <w:rStyle w:val="FootnoteReference"/>
        </w:rPr>
        <w:footnoteRef/>
      </w:r>
      <w:r>
        <w:t xml:space="preserve"> </w:t>
      </w:r>
      <w:r>
        <w:t xml:space="preserve">Chen 2018, PMID 29843147.</w:t>
      </w:r>
    </w:p>
  </w:footnote>
  <w:footnote w:id="1108">
    <w:p>
      <w:pPr>
        <w:pStyle w:val="FootnoteText"/>
      </w:pPr>
      <w:r>
        <w:rPr>
          <w:rStyle w:val="FootnoteReference"/>
        </w:rPr>
        <w:footnoteRef/>
      </w:r>
      <w:r>
        <w:t xml:space="preserve"> </w:t>
      </w:r>
      <w:r>
        <w:t xml:space="preserve">Gombart 2005, PMID 15985530.</w:t>
      </w:r>
    </w:p>
  </w:footnote>
  <w:footnote w:id="1110">
    <w:p>
      <w:pPr>
        <w:pStyle w:val="FootnoteText"/>
      </w:pPr>
      <w:r>
        <w:rPr>
          <w:rStyle w:val="FootnoteReference"/>
        </w:rPr>
        <w:footnoteRef/>
      </w:r>
      <w:r>
        <w:t xml:space="preserve"> </w:t>
      </w:r>
      <w:r>
        <w:t xml:space="preserve">Grönberg 2014, PMID 25041740 ; Mahlapuu 2021, PMID 34687253.</w:t>
      </w:r>
    </w:p>
  </w:footnote>
  <w:footnote w:id="1111">
    <w:p>
      <w:pPr>
        <w:pStyle w:val="FootnoteText"/>
      </w:pPr>
      <w:r>
        <w:rPr>
          <w:rStyle w:val="FootnoteReference"/>
        </w:rPr>
        <w:footnoteRef/>
      </w:r>
      <w:r>
        <w:t xml:space="preserve"> </w:t>
      </w:r>
      <w:r>
        <w:t xml:space="preserve">Dolkar 2018, PMID 29665030.</w:t>
      </w:r>
    </w:p>
  </w:footnote>
  <w:footnote w:id="1113">
    <w:p>
      <w:pPr>
        <w:pStyle w:val="FootnoteText"/>
      </w:pPr>
      <w:r>
        <w:rPr>
          <w:rStyle w:val="FootnoteReference"/>
        </w:rPr>
        <w:footnoteRef/>
      </w:r>
      <w:r>
        <w:t xml:space="preserve"> </w:t>
      </w:r>
      <w:r>
        <w:t xml:space="preserve">Lande 2007, PMID 17873860 ; Lande 2014, PMID 25470744.</w:t>
      </w:r>
    </w:p>
  </w:footnote>
  <w:footnote w:id="1114">
    <w:p>
      <w:pPr>
        <w:pStyle w:val="FootnoteText"/>
      </w:pPr>
      <w:r>
        <w:rPr>
          <w:rStyle w:val="FootnoteReference"/>
        </w:rPr>
        <w:footnoteRef/>
      </w:r>
      <w:r>
        <w:t xml:space="preserve"> </w:t>
      </w:r>
      <w:r>
        <w:t xml:space="preserve">Yamasaki 2007, PMID 17676051.</w:t>
      </w:r>
    </w:p>
  </w:footnote>
  <w:footnote w:id="1115">
    <w:p>
      <w:pPr>
        <w:pStyle w:val="FootnoteText"/>
      </w:pPr>
      <w:r>
        <w:rPr>
          <w:rStyle w:val="FootnoteReference"/>
        </w:rPr>
        <w:footnoteRef/>
      </w:r>
      <w:r>
        <w:t xml:space="preserve"> </w:t>
      </w:r>
      <w:r>
        <w:t xml:space="preserve">Chen 2018, PMID 29843147.</w:t>
      </w:r>
    </w:p>
  </w:footnote>
  <w:footnote w:id="1120">
    <w:p>
      <w:pPr>
        <w:pStyle w:val="FootnoteText"/>
      </w:pPr>
      <w:r>
        <w:rPr>
          <w:rStyle w:val="FootnoteReference"/>
        </w:rPr>
        <w:footnoteRef/>
      </w:r>
      <w:r>
        <w:t xml:space="preserve"> </w:t>
      </w:r>
      <w:r>
        <w:t xml:space="preserve">Mahlapuu 2021, PMID 34687253.</w:t>
      </w:r>
    </w:p>
  </w:footnote>
  <w:footnote w:id="1123">
    <w:p>
      <w:pPr>
        <w:pStyle w:val="FootnoteText"/>
      </w:pPr>
      <w:r>
        <w:rPr>
          <w:rStyle w:val="FootnoteReference"/>
        </w:rPr>
        <w:footnoteRef/>
      </w:r>
      <w:r>
        <w:t xml:space="preserve"> </w:t>
      </w:r>
      <w:r>
        <w:t xml:space="preserve">Winicki 2022, PMID 36741836.</w:t>
      </w:r>
    </w:p>
  </w:footnote>
  <w:footnote w:id="1124">
    <w:p>
      <w:pPr>
        <w:pStyle w:val="FootnoteText"/>
      </w:pPr>
      <w:r>
        <w:rPr>
          <w:rStyle w:val="FootnoteReference"/>
        </w:rPr>
        <w:footnoteRef/>
      </w:r>
      <w:r>
        <w:t xml:space="preserve"> </w:t>
      </w:r>
      <w:r>
        <w:t xml:space="preserve">Thomas 2017, PMID 28941172.</w:t>
      </w:r>
    </w:p>
  </w:footnote>
  <w:footnote w:id="1126">
    <w:p>
      <w:pPr>
        <w:pStyle w:val="FootnoteText"/>
      </w:pPr>
      <w:r>
        <w:rPr>
          <w:rStyle w:val="FootnoteReference"/>
        </w:rPr>
        <w:footnoteRef/>
      </w:r>
      <w:r>
        <w:t xml:space="preserve"> </w:t>
      </w:r>
      <w:r>
        <w:t xml:space="preserve">Swartjes 2014, PMID 24529189.</w:t>
      </w:r>
    </w:p>
  </w:footnote>
  <w:footnote w:id="1127">
    <w:p>
      <w:pPr>
        <w:pStyle w:val="FootnoteText"/>
      </w:pPr>
      <w:r>
        <w:rPr>
          <w:rStyle w:val="FootnoteReference"/>
        </w:rPr>
        <w:footnoteRef/>
      </w:r>
      <w:r>
        <w:t xml:space="preserve"> </w:t>
      </w:r>
      <w:r>
        <w:t xml:space="preserve">Thomas 2017, PMID 28941172.</w:t>
      </w:r>
    </w:p>
  </w:footnote>
  <w:footnote w:id="1129">
    <w:p>
      <w:pPr>
        <w:pStyle w:val="FootnoteText"/>
      </w:pPr>
      <w:r>
        <w:rPr>
          <w:rStyle w:val="FootnoteReference"/>
        </w:rPr>
        <w:footnoteRef/>
      </w:r>
      <w:r>
        <w:t xml:space="preserve"> </w:t>
      </w:r>
      <w:r>
        <w:t xml:space="preserve">Heij 2012, PMID 23168581.</w:t>
      </w:r>
    </w:p>
  </w:footnote>
  <w:footnote w:id="1130">
    <w:p>
      <w:pPr>
        <w:pStyle w:val="FootnoteText"/>
      </w:pPr>
      <w:r>
        <w:rPr>
          <w:rStyle w:val="FootnoteReference"/>
        </w:rPr>
        <w:footnoteRef/>
      </w:r>
      <w:r>
        <w:t xml:space="preserve"> </w:t>
      </w:r>
      <w:r>
        <w:t xml:space="preserve">Culver 2017, PMID 28475703.</w:t>
      </w:r>
    </w:p>
  </w:footnote>
  <w:footnote w:id="1131">
    <w:p>
      <w:pPr>
        <w:pStyle w:val="FootnoteText"/>
      </w:pPr>
      <w:r>
        <w:rPr>
          <w:rStyle w:val="FootnoteReference"/>
        </w:rPr>
        <w:footnoteRef/>
      </w:r>
      <w:r>
        <w:t xml:space="preserve"> </w:t>
      </w:r>
      <w:r>
        <w:t xml:space="preserve">van Velzen 2014, PMID 24555851.</w:t>
      </w:r>
    </w:p>
  </w:footnote>
  <w:footnote w:id="1133">
    <w:p>
      <w:pPr>
        <w:pStyle w:val="FootnoteText"/>
      </w:pPr>
      <w:r>
        <w:rPr>
          <w:rStyle w:val="FootnoteReference"/>
        </w:rPr>
        <w:footnoteRef/>
      </w:r>
      <w:r>
        <w:t xml:space="preserve"> </w:t>
      </w:r>
      <w:r>
        <w:t xml:space="preserve">Brines 2015, PMID 25387363.</w:t>
      </w:r>
    </w:p>
  </w:footnote>
  <w:footnote w:id="1134">
    <w:p>
      <w:pPr>
        <w:pStyle w:val="FootnoteText"/>
      </w:pPr>
      <w:r>
        <w:rPr>
          <w:rStyle w:val="FootnoteReference"/>
        </w:rPr>
        <w:footnoteRef/>
      </w:r>
      <w:r>
        <w:t xml:space="preserve"> </w:t>
      </w:r>
      <w:r>
        <w:t xml:space="preserve">NCT01933529.</w:t>
      </w:r>
    </w:p>
  </w:footnote>
  <w:footnote w:id="1135">
    <w:p>
      <w:pPr>
        <w:pStyle w:val="FootnoteText"/>
      </w:pPr>
      <w:r>
        <w:rPr>
          <w:rStyle w:val="FootnoteReference"/>
        </w:rPr>
        <w:footnoteRef/>
      </w:r>
      <w:r>
        <w:t xml:space="preserve"> </w:t>
      </w:r>
      <w:r>
        <w:t xml:space="preserve">Lois 2020, PMID 32674280.</w:t>
      </w:r>
    </w:p>
  </w:footnote>
  <w:footnote w:id="1138">
    <w:p>
      <w:pPr>
        <w:pStyle w:val="FootnoteText"/>
      </w:pPr>
      <w:r>
        <w:rPr>
          <w:rStyle w:val="FootnoteReference"/>
        </w:rPr>
        <w:footnoteRef/>
      </w:r>
      <w:r>
        <w:t xml:space="preserve"> </w:t>
      </w:r>
      <w:r>
        <w:t xml:space="preserve">Swartjes 2014, PMID 24529189 ; Pulman 2013, PMID 23262243.</w:t>
      </w:r>
    </w:p>
  </w:footnote>
  <w:footnote w:id="1139">
    <w:p>
      <w:pPr>
        <w:pStyle w:val="FootnoteText"/>
      </w:pPr>
      <w:r>
        <w:rPr>
          <w:rStyle w:val="FootnoteReference"/>
        </w:rPr>
        <w:footnoteRef/>
      </w:r>
      <w:r>
        <w:t xml:space="preserve"> </w:t>
      </w:r>
      <w:r>
        <w:t xml:space="preserve">van Rijt 2013, PMID 23302512.</w:t>
      </w:r>
    </w:p>
  </w:footnote>
  <w:footnote w:id="1140">
    <w:p>
      <w:pPr>
        <w:pStyle w:val="FootnoteText"/>
      </w:pPr>
      <w:r>
        <w:rPr>
          <w:rStyle w:val="FootnoteReference"/>
        </w:rPr>
        <w:footnoteRef/>
      </w:r>
      <w:r>
        <w:t xml:space="preserve"> </w:t>
      </w:r>
      <w:r>
        <w:t xml:space="preserve">Muller 2016, PMID 26736179.</w:t>
      </w:r>
    </w:p>
  </w:footnote>
  <w:footnote w:id="1141">
    <w:p>
      <w:pPr>
        <w:pStyle w:val="FootnoteText"/>
      </w:pPr>
      <w:r>
        <w:rPr>
          <w:rStyle w:val="FootnoteReference"/>
        </w:rPr>
        <w:footnoteRef/>
      </w:r>
      <w:r>
        <w:t xml:space="preserve"> </w:t>
      </w:r>
      <w:r>
        <w:t xml:space="preserve">Al-Onaizi 2022, PMID 34343617.</w:t>
      </w:r>
    </w:p>
  </w:footnote>
  <w:footnote w:id="1142">
    <w:p>
      <w:pPr>
        <w:pStyle w:val="FootnoteText"/>
      </w:pPr>
      <w:r>
        <w:rPr>
          <w:rStyle w:val="FootnoteReference"/>
        </w:rPr>
        <w:footnoteRef/>
      </w:r>
      <w:r>
        <w:t xml:space="preserve"> </w:t>
      </w:r>
      <w:r>
        <w:t xml:space="preserve">Winicki 2022, PMID 36741836.</w:t>
      </w:r>
    </w:p>
  </w:footnote>
  <w:footnote w:id="1144">
    <w:p>
      <w:pPr>
        <w:pStyle w:val="FootnoteText"/>
      </w:pPr>
      <w:r>
        <w:rPr>
          <w:rStyle w:val="FootnoteReference"/>
        </w:rPr>
        <w:footnoteRef/>
      </w:r>
      <w:r>
        <w:t xml:space="preserve"> </w:t>
      </w:r>
      <w:r>
        <w:t xml:space="preserve">Heij 2012, PMID 23168581 ; Brines 2015, PMID 25387363.</w:t>
      </w:r>
    </w:p>
  </w:footnote>
  <w:footnote w:id="1145">
    <w:p>
      <w:pPr>
        <w:pStyle w:val="FootnoteText"/>
      </w:pPr>
      <w:r>
        <w:rPr>
          <w:rStyle w:val="FootnoteReference"/>
        </w:rPr>
        <w:footnoteRef/>
      </w:r>
      <w:r>
        <w:t xml:space="preserve"> </w:t>
      </w:r>
      <w:r>
        <w:t xml:space="preserve">Lois 2020, PMID 32674280.</w:t>
      </w:r>
    </w:p>
  </w:footnote>
  <w:footnote w:id="1150">
    <w:p>
      <w:pPr>
        <w:pStyle w:val="FootnoteText"/>
      </w:pPr>
      <w:r>
        <w:rPr>
          <w:rStyle w:val="FootnoteReference"/>
        </w:rPr>
        <w:footnoteRef/>
      </w:r>
      <w:r>
        <w:t xml:space="preserve"> </w:t>
      </w:r>
      <w:r>
        <w:t xml:space="preserve">NCT02039687.</w:t>
      </w:r>
    </w:p>
  </w:footnote>
  <w:footnote w:id="1151">
    <w:p>
      <w:pPr>
        <w:pStyle w:val="FootnoteText"/>
      </w:pPr>
      <w:r>
        <w:rPr>
          <w:rStyle w:val="FootnoteReference"/>
        </w:rPr>
        <w:footnoteRef/>
      </w:r>
      <w:r>
        <w:t xml:space="preserve"> </w:t>
      </w:r>
      <w:r>
        <w:t xml:space="preserve">NCT06626971.</w:t>
      </w:r>
    </w:p>
  </w:footnote>
  <w:footnote w:id="1153">
    <w:p>
      <w:pPr>
        <w:pStyle w:val="FootnoteText"/>
      </w:pPr>
      <w:r>
        <w:rPr>
          <w:rStyle w:val="FootnoteReference"/>
        </w:rPr>
        <w:footnoteRef/>
      </w:r>
      <w:r>
        <w:t xml:space="preserve"> </w:t>
      </w:r>
      <w:r>
        <w:t xml:space="preserve">Culver 2017, PMID 28475703.</w:t>
      </w:r>
    </w:p>
  </w:footnote>
  <w:footnote w:id="1156">
    <w:p>
      <w:pPr>
        <w:pStyle w:val="FootnoteText"/>
      </w:pPr>
      <w:r>
        <w:rPr>
          <w:rStyle w:val="FootnoteReference"/>
        </w:rPr>
        <w:footnoteRef/>
      </w:r>
      <w:r>
        <w:t xml:space="preserve"> </w:t>
      </w:r>
      <w:r>
        <w:t xml:space="preserve">Gopalakrishnan 2012, PMID 22401908.</w:t>
      </w:r>
    </w:p>
  </w:footnote>
  <w:footnote w:id="1158">
    <w:p>
      <w:pPr>
        <w:pStyle w:val="FootnoteText"/>
      </w:pPr>
      <w:r>
        <w:rPr>
          <w:rStyle w:val="FootnoteReference"/>
        </w:rPr>
        <w:footnoteRef/>
      </w:r>
      <w:r>
        <w:t xml:space="preserve"> </w:t>
      </w:r>
      <w:r>
        <w:t xml:space="preserve">Gopalakrishnan 2012, PMID 22401908.</w:t>
      </w:r>
    </w:p>
  </w:footnote>
  <w:footnote w:id="1159">
    <w:p>
      <w:pPr>
        <w:pStyle w:val="FootnoteText"/>
      </w:pPr>
      <w:r>
        <w:rPr>
          <w:rStyle w:val="FootnoteReference"/>
        </w:rPr>
        <w:footnoteRef/>
      </w:r>
      <w:r>
        <w:t xml:space="preserve"> </w:t>
      </w:r>
      <w:r>
        <w:t xml:space="preserve">Slifer 2021, PMID 33881350.</w:t>
      </w:r>
    </w:p>
  </w:footnote>
  <w:footnote w:id="1161">
    <w:p>
      <w:pPr>
        <w:pStyle w:val="FootnoteText"/>
      </w:pPr>
      <w:r>
        <w:rPr>
          <w:rStyle w:val="FootnoteReference"/>
        </w:rPr>
        <w:footnoteRef/>
      </w:r>
      <w:r>
        <w:t xml:space="preserve"> </w:t>
      </w:r>
      <w:r>
        <w:t xml:space="preserve">Hoilat 2022, PMID 34339872.</w:t>
      </w:r>
    </w:p>
  </w:footnote>
  <w:footnote w:id="1162">
    <w:p>
      <w:pPr>
        <w:pStyle w:val="FootnoteText"/>
      </w:pPr>
      <w:r>
        <w:rPr>
          <w:rStyle w:val="FootnoteReference"/>
        </w:rPr>
        <w:footnoteRef/>
      </w:r>
      <w:r>
        <w:t xml:space="preserve"> </w:t>
      </w:r>
      <w:r>
        <w:t xml:space="preserve">Leffler 2012, PMID 22825365 ; Kelly 2013, PMID 23163616.</w:t>
      </w:r>
    </w:p>
  </w:footnote>
  <w:footnote w:id="1163">
    <w:p>
      <w:pPr>
        <w:pStyle w:val="FootnoteText"/>
      </w:pPr>
      <w:r>
        <w:rPr>
          <w:rStyle w:val="FootnoteReference"/>
        </w:rPr>
        <w:footnoteRef/>
      </w:r>
      <w:r>
        <w:t xml:space="preserve"> </w:t>
      </w:r>
      <w:r>
        <w:t xml:space="preserve">Kelly 2013, PMID 23163616.</w:t>
      </w:r>
    </w:p>
  </w:footnote>
  <w:footnote w:id="1164">
    <w:p>
      <w:pPr>
        <w:pStyle w:val="FootnoteText"/>
      </w:pPr>
      <w:r>
        <w:rPr>
          <w:rStyle w:val="FootnoteReference"/>
        </w:rPr>
        <w:footnoteRef/>
      </w:r>
      <w:r>
        <w:t xml:space="preserve"> </w:t>
      </w:r>
      <w:r>
        <w:t xml:space="preserve">Leffler 2015, PMID 25683116.</w:t>
      </w:r>
    </w:p>
  </w:footnote>
  <w:footnote w:id="1165">
    <w:p>
      <w:pPr>
        <w:pStyle w:val="FootnoteText"/>
      </w:pPr>
      <w:r>
        <w:rPr>
          <w:rStyle w:val="FootnoteReference"/>
        </w:rPr>
        <w:footnoteRef/>
      </w:r>
      <w:r>
        <w:t xml:space="preserve"> </w:t>
      </w:r>
      <w:r>
        <w:t xml:space="preserve">Hoilat 2022, PMID 34339872.</w:t>
      </w:r>
    </w:p>
  </w:footnote>
  <w:footnote w:id="1167">
    <w:p>
      <w:pPr>
        <w:pStyle w:val="FootnoteText"/>
      </w:pPr>
      <w:r>
        <w:rPr>
          <w:rStyle w:val="FootnoteReference"/>
        </w:rPr>
        <w:footnoteRef/>
      </w:r>
      <w:r>
        <w:t xml:space="preserve"> </w:t>
      </w:r>
      <w:r>
        <w:t xml:space="preserve">NCT03569007.</w:t>
      </w:r>
    </w:p>
  </w:footnote>
  <w:footnote w:id="1168">
    <w:p>
      <w:pPr>
        <w:pStyle w:val="FootnoteText"/>
      </w:pPr>
      <w:r>
        <w:rPr>
          <w:rStyle w:val="FootnoteReference"/>
        </w:rPr>
        <w:footnoteRef/>
      </w:r>
      <w:r>
        <w:t xml:space="preserve"> </w:t>
      </w:r>
      <w:r>
        <w:t xml:space="preserve">D’heedene 2024, PMID 38648685.</w:t>
      </w:r>
    </w:p>
  </w:footnote>
  <w:footnote w:id="1169">
    <w:p>
      <w:pPr>
        <w:pStyle w:val="FootnoteText"/>
      </w:pPr>
      <w:r>
        <w:rPr>
          <w:rStyle w:val="FootnoteReference"/>
        </w:rPr>
        <w:footnoteRef/>
      </w:r>
      <w:r>
        <w:t xml:space="preserve"> </w:t>
      </w:r>
      <w:r>
        <w:t xml:space="preserve">Girbal-González 2025, PMID 41010485.</w:t>
      </w:r>
    </w:p>
  </w:footnote>
  <w:footnote w:id="1171">
    <w:p>
      <w:pPr>
        <w:pStyle w:val="FootnoteText"/>
      </w:pPr>
      <w:r>
        <w:rPr>
          <w:rStyle w:val="FootnoteReference"/>
        </w:rPr>
        <w:footnoteRef/>
      </w:r>
      <w:r>
        <w:t xml:space="preserve"> </w:t>
      </w:r>
      <w:r>
        <w:t xml:space="preserve">Yonker 2022, PMID 35211683.</w:t>
      </w:r>
    </w:p>
  </w:footnote>
  <w:footnote w:id="1172">
    <w:p>
      <w:pPr>
        <w:pStyle w:val="FootnoteText"/>
      </w:pPr>
      <w:r>
        <w:rPr>
          <w:rStyle w:val="FootnoteReference"/>
        </w:rPr>
        <w:footnoteRef/>
      </w:r>
      <w:r>
        <w:t xml:space="preserve"> </w:t>
      </w:r>
      <w:r>
        <w:t xml:space="preserve">Yonker 2025, PMID 40737433.</w:t>
      </w:r>
    </w:p>
  </w:footnote>
  <w:footnote w:id="1173">
    <w:p>
      <w:pPr>
        <w:pStyle w:val="FootnoteText"/>
      </w:pPr>
      <w:r>
        <w:rPr>
          <w:rStyle w:val="FootnoteReference"/>
        </w:rPr>
        <w:footnoteRef/>
      </w:r>
      <w:r>
        <w:t xml:space="preserve"> </w:t>
      </w:r>
      <w:r>
        <w:t xml:space="preserve">NCT05022303.</w:t>
      </w:r>
    </w:p>
  </w:footnote>
  <w:footnote w:id="1174">
    <w:p>
      <w:pPr>
        <w:pStyle w:val="FootnoteText"/>
      </w:pPr>
      <w:r>
        <w:rPr>
          <w:rStyle w:val="FootnoteReference"/>
        </w:rPr>
        <w:footnoteRef/>
      </w:r>
      <w:r>
        <w:t xml:space="preserve"> </w:t>
      </w:r>
      <w:r>
        <w:t xml:space="preserve">NCT05747534.</w:t>
      </w:r>
    </w:p>
  </w:footnote>
  <w:footnote w:id="1177">
    <w:p>
      <w:pPr>
        <w:pStyle w:val="FootnoteText"/>
      </w:pPr>
      <w:r>
        <w:rPr>
          <w:rStyle w:val="FootnoteReference"/>
        </w:rPr>
        <w:footnoteRef/>
      </w:r>
      <w:r>
        <w:t xml:space="preserve"> </w:t>
      </w:r>
      <w:r>
        <w:t xml:space="preserve">Tajik 2020, PMID 32332732.</w:t>
      </w:r>
    </w:p>
  </w:footnote>
  <w:footnote w:id="1178">
    <w:p>
      <w:pPr>
        <w:pStyle w:val="FootnoteText"/>
      </w:pPr>
      <w:r>
        <w:rPr>
          <w:rStyle w:val="FootnoteReference"/>
        </w:rPr>
        <w:footnoteRef/>
      </w:r>
      <w:r>
        <w:t xml:space="preserve"> </w:t>
      </w:r>
      <w:r>
        <w:t xml:space="preserve">Slifer 2021, PMID 33881350.</w:t>
      </w:r>
    </w:p>
  </w:footnote>
  <w:footnote w:id="1179">
    <w:p>
      <w:pPr>
        <w:pStyle w:val="FootnoteText"/>
      </w:pPr>
      <w:r>
        <w:rPr>
          <w:rStyle w:val="FootnoteReference"/>
        </w:rPr>
        <w:footnoteRef/>
      </w:r>
      <w:r>
        <w:t xml:space="preserve"> </w:t>
      </w:r>
      <w:r>
        <w:t xml:space="preserve">Karahan 2024, PMID 38441784 ; Caliskan 2021, PMID 34791921.</w:t>
      </w:r>
    </w:p>
  </w:footnote>
  <w:footnote w:id="1181">
    <w:p>
      <w:pPr>
        <w:pStyle w:val="FootnoteText"/>
      </w:pPr>
      <w:r>
        <w:rPr>
          <w:rStyle w:val="FootnoteReference"/>
        </w:rPr>
        <w:footnoteRef/>
      </w:r>
      <w:r>
        <w:t xml:space="preserve"> </w:t>
      </w:r>
      <w:r>
        <w:t xml:space="preserve">Leffler 2012, PMID 22825365.</w:t>
      </w:r>
    </w:p>
  </w:footnote>
  <w:footnote w:id="1182">
    <w:p>
      <w:pPr>
        <w:pStyle w:val="FootnoteText"/>
      </w:pPr>
      <w:r>
        <w:rPr>
          <w:rStyle w:val="FootnoteReference"/>
        </w:rPr>
        <w:footnoteRef/>
      </w:r>
      <w:r>
        <w:t xml:space="preserve"> </w:t>
      </w:r>
      <w:r>
        <w:t xml:space="preserve">Leffler 2015, PMID 25683116.</w:t>
      </w:r>
    </w:p>
  </w:footnote>
  <w:footnote w:id="1183">
    <w:p>
      <w:pPr>
        <w:pStyle w:val="FootnoteText"/>
      </w:pPr>
      <w:r>
        <w:rPr>
          <w:rStyle w:val="FootnoteReference"/>
        </w:rPr>
        <w:footnoteRef/>
      </w:r>
      <w:r>
        <w:t xml:space="preserve"> </w:t>
      </w:r>
      <w:r>
        <w:t xml:space="preserve">Hoilat 2022, PMID 34339872.</w:t>
      </w:r>
    </w:p>
  </w:footnote>
  <w:footnote w:id="1188">
    <w:p>
      <w:pPr>
        <w:pStyle w:val="FootnoteText"/>
      </w:pPr>
      <w:r>
        <w:rPr>
          <w:rStyle w:val="FootnoteReference"/>
        </w:rPr>
        <w:footnoteRef/>
      </w:r>
      <w:r>
        <w:t xml:space="preserve"> </w:t>
      </w:r>
      <w:r>
        <w:t xml:space="preserve">NCT05747534.</w:t>
      </w:r>
    </w:p>
  </w:footnote>
  <w:footnote w:id="1189">
    <w:p>
      <w:pPr>
        <w:pStyle w:val="FootnoteText"/>
      </w:pPr>
      <w:r>
        <w:rPr>
          <w:rStyle w:val="FootnoteReference"/>
        </w:rPr>
        <w:footnoteRef/>
      </w:r>
      <w:r>
        <w:t xml:space="preserve"> </w:t>
      </w:r>
      <w:r>
        <w:t xml:space="preserve">D’heedene 2024, PMID 38648685.</w:t>
      </w:r>
    </w:p>
  </w:footnote>
  <w:footnote w:id="1191">
    <w:p>
      <w:pPr>
        <w:pStyle w:val="FootnoteText"/>
      </w:pPr>
      <w:r>
        <w:rPr>
          <w:rStyle w:val="FootnoteReference"/>
        </w:rPr>
        <w:footnoteRef/>
      </w:r>
      <w:r>
        <w:t xml:space="preserve"> </w:t>
      </w:r>
      <w:r>
        <w:t xml:space="preserve">Leffler 2015, PMID 25683116.</w:t>
      </w:r>
    </w:p>
  </w:footnote>
  <w:footnote w:id="1194">
    <w:p>
      <w:pPr>
        <w:pStyle w:val="FootnoteText"/>
      </w:pPr>
      <w:r>
        <w:rPr>
          <w:rStyle w:val="FootnoteReference"/>
        </w:rPr>
        <w:footnoteRef/>
      </w:r>
      <w:r>
        <w:t xml:space="preserve"> </w:t>
      </w:r>
      <w:r>
        <w:t xml:space="preserve">Morozov 1997, PMID 9637345.</w:t>
      </w:r>
    </w:p>
  </w:footnote>
  <w:footnote w:id="1195">
    <w:p>
      <w:pPr>
        <w:pStyle w:val="FootnoteText"/>
      </w:pPr>
      <w:r>
        <w:rPr>
          <w:rStyle w:val="FootnoteReference"/>
        </w:rPr>
        <w:footnoteRef/>
      </w:r>
      <w:r>
        <w:t xml:space="preserve"> </w:t>
      </w:r>
      <w:r>
        <w:t xml:space="preserve">Linkova 2023, PMID 37686182.</w:t>
      </w:r>
    </w:p>
  </w:footnote>
  <w:footnote w:id="1196">
    <w:p>
      <w:pPr>
        <w:pStyle w:val="FootnoteText"/>
      </w:pPr>
      <w:r>
        <w:rPr>
          <w:rStyle w:val="FootnoteReference"/>
        </w:rPr>
        <w:footnoteRef/>
      </w:r>
      <w:r>
        <w:t xml:space="preserve"> </w:t>
      </w:r>
      <w:r>
        <w:t xml:space="preserve">Anisimov 2000, PMID 11707921.</w:t>
      </w:r>
    </w:p>
  </w:footnote>
  <w:footnote w:id="1198">
    <w:p>
      <w:pPr>
        <w:pStyle w:val="FootnoteText"/>
      </w:pPr>
      <w:r>
        <w:rPr>
          <w:rStyle w:val="FootnoteReference"/>
        </w:rPr>
        <w:footnoteRef/>
      </w:r>
      <w:r>
        <w:t xml:space="preserve"> </w:t>
      </w:r>
      <w:r>
        <w:t xml:space="preserve">Morozov 1997, PMID 9637345.</w:t>
      </w:r>
    </w:p>
  </w:footnote>
  <w:footnote w:id="1199">
    <w:p>
      <w:pPr>
        <w:pStyle w:val="FootnoteText"/>
      </w:pPr>
      <w:r>
        <w:rPr>
          <w:rStyle w:val="FootnoteReference"/>
        </w:rPr>
        <w:footnoteRef/>
      </w:r>
      <w:r>
        <w:t xml:space="preserve"> </w:t>
      </w:r>
      <w:r>
        <w:t xml:space="preserve">Khavinson 2002, PMID 12374906.</w:t>
      </w:r>
    </w:p>
  </w:footnote>
  <w:footnote w:id="1200">
    <w:p>
      <w:pPr>
        <w:pStyle w:val="FootnoteText"/>
      </w:pPr>
      <w:r>
        <w:rPr>
          <w:rStyle w:val="FootnoteReference"/>
        </w:rPr>
        <w:footnoteRef/>
      </w:r>
      <w:r>
        <w:t xml:space="preserve"> </w:t>
      </w:r>
      <w:r>
        <w:t xml:space="preserve">Linkova 2023, PMID 37686182.</w:t>
      </w:r>
    </w:p>
  </w:footnote>
  <w:footnote w:id="1202">
    <w:p>
      <w:pPr>
        <w:pStyle w:val="FootnoteText"/>
      </w:pPr>
      <w:r>
        <w:rPr>
          <w:rStyle w:val="FootnoteReference"/>
        </w:rPr>
        <w:footnoteRef/>
      </w:r>
      <w:r>
        <w:t xml:space="preserve"> </w:t>
      </w:r>
      <w:r>
        <w:t xml:space="preserve">Khavinson 2003, PMID 14523363.</w:t>
      </w:r>
    </w:p>
  </w:footnote>
  <w:footnote w:id="1204">
    <w:p>
      <w:pPr>
        <w:pStyle w:val="FootnoteText"/>
      </w:pPr>
      <w:r>
        <w:rPr>
          <w:rStyle w:val="FootnoteReference"/>
        </w:rPr>
        <w:footnoteRef/>
      </w:r>
      <w:r>
        <w:t xml:space="preserve"> </w:t>
      </w:r>
      <w:r>
        <w:t xml:space="preserve">Kuznik 2022, PMID 36169363.</w:t>
      </w:r>
    </w:p>
  </w:footnote>
  <w:footnote w:id="1205">
    <w:p>
      <w:pPr>
        <w:pStyle w:val="FootnoteText"/>
      </w:pPr>
      <w:r>
        <w:rPr>
          <w:rStyle w:val="FootnoteReference"/>
        </w:rPr>
        <w:footnoteRef/>
      </w:r>
      <w:r>
        <w:t xml:space="preserve"> </w:t>
      </w:r>
      <w:r>
        <w:t xml:space="preserve">Khavinson 2021, PMID 33575961.</w:t>
      </w:r>
    </w:p>
  </w:footnote>
  <w:footnote w:id="1207">
    <w:p>
      <w:pPr>
        <w:pStyle w:val="FootnoteText"/>
      </w:pPr>
      <w:r>
        <w:rPr>
          <w:rStyle w:val="FootnoteReference"/>
        </w:rPr>
        <w:footnoteRef/>
      </w:r>
      <w:r>
        <w:t xml:space="preserve"> </w:t>
      </w:r>
      <w:r>
        <w:t xml:space="preserve">Smirnov 2011, PMID 21957588.</w:t>
      </w:r>
    </w:p>
  </w:footnote>
  <w:footnote w:id="1211">
    <w:p>
      <w:pPr>
        <w:pStyle w:val="FootnoteText"/>
      </w:pPr>
      <w:r>
        <w:rPr>
          <w:rStyle w:val="FootnoteReference"/>
        </w:rPr>
        <w:footnoteRef/>
      </w:r>
      <w:r>
        <w:t xml:space="preserve"> </w:t>
      </w:r>
      <w:r>
        <w:t xml:space="preserve">Anisimov 2000, PMID 11707921.</w:t>
      </w:r>
    </w:p>
  </w:footnote>
  <w:footnote w:id="1212">
    <w:p>
      <w:pPr>
        <w:pStyle w:val="FootnoteText"/>
      </w:pPr>
      <w:r>
        <w:rPr>
          <w:rStyle w:val="FootnoteReference"/>
        </w:rPr>
        <w:footnoteRef/>
      </w:r>
      <w:r>
        <w:t xml:space="preserve"> </w:t>
      </w:r>
      <w:r>
        <w:t xml:space="preserve">Khavinson 2020, PMID 33237528.</w:t>
      </w:r>
    </w:p>
  </w:footnote>
  <w:footnote w:id="1220">
    <w:p>
      <w:pPr>
        <w:pStyle w:val="FootnoteText"/>
      </w:pPr>
      <w:r>
        <w:rPr>
          <w:rStyle w:val="FootnoteReference"/>
        </w:rPr>
        <w:footnoteRef/>
      </w:r>
      <w:r>
        <w:t xml:space="preserve"> </w:t>
      </w:r>
      <w:r>
        <w:t xml:space="preserve">Khavinson 2003, PMID 14523363.</w:t>
      </w:r>
    </w:p>
  </w:footnote>
  <w:footnote w:id="1224">
    <w:p>
      <w:pPr>
        <w:pStyle w:val="FootnoteText"/>
      </w:pPr>
      <w:r>
        <w:rPr>
          <w:rStyle w:val="FootnoteReference"/>
        </w:rPr>
        <w:footnoteRef/>
      </w:r>
      <w:r>
        <w:t xml:space="preserve"> </w:t>
      </w:r>
      <w:r>
        <w:t xml:space="preserve">Kojima 1999, PMID 10604470.</w:t>
      </w:r>
    </w:p>
  </w:footnote>
  <w:footnote w:id="1226">
    <w:p>
      <w:pPr>
        <w:pStyle w:val="FootnoteText"/>
      </w:pPr>
      <w:r>
        <w:rPr>
          <w:rStyle w:val="FootnoteReference"/>
        </w:rPr>
        <w:footnoteRef/>
      </w:r>
      <w:r>
        <w:t xml:space="preserve"> </w:t>
      </w:r>
      <w:r>
        <w:t xml:space="preserve">Liu 2008, PMID 18347346.</w:t>
      </w:r>
    </w:p>
  </w:footnote>
  <w:footnote w:id="1227">
    <w:p>
      <w:pPr>
        <w:pStyle w:val="FootnoteText"/>
      </w:pPr>
      <w:r>
        <w:rPr>
          <w:rStyle w:val="FootnoteReference"/>
        </w:rPr>
        <w:footnoteRef/>
      </w:r>
      <w:r>
        <w:t xml:space="preserve"> </w:t>
      </w:r>
      <w:r>
        <w:t xml:space="preserve">Liu 2007, PMID 17227934.</w:t>
      </w:r>
    </w:p>
  </w:footnote>
  <w:footnote w:id="1229">
    <w:p>
      <w:pPr>
        <w:pStyle w:val="FootnoteText"/>
      </w:pPr>
      <w:r>
        <w:rPr>
          <w:rStyle w:val="FootnoteReference"/>
        </w:rPr>
        <w:footnoteRef/>
      </w:r>
      <w:r>
        <w:t xml:space="preserve"> </w:t>
      </w:r>
      <w:r>
        <w:t xml:space="preserve">Renehan 2004, PMID 15110491.</w:t>
      </w:r>
    </w:p>
  </w:footnote>
  <w:footnote w:id="1230">
    <w:p>
      <w:pPr>
        <w:pStyle w:val="FootnoteText"/>
      </w:pPr>
      <w:r>
        <w:rPr>
          <w:rStyle w:val="FootnoteReference"/>
        </w:rPr>
        <w:footnoteRef/>
      </w:r>
      <w:r>
        <w:t xml:space="preserve"> </w:t>
      </w:r>
      <w:r>
        <w:t xml:space="preserve">Murphy 2020, PMID 32169310 ; Murphy 2020, PMID 31884074.</w:t>
      </w:r>
    </w:p>
  </w:footnote>
  <w:footnote w:id="1231">
    <w:p>
      <w:pPr>
        <w:pStyle w:val="FootnoteText"/>
      </w:pPr>
      <w:r>
        <w:rPr>
          <w:rStyle w:val="FootnoteReference"/>
        </w:rPr>
        <w:footnoteRef/>
      </w:r>
      <w:r>
        <w:t xml:space="preserve"> </w:t>
      </w:r>
      <w:r>
        <w:t xml:space="preserve">Dal 2018, PMID 29590449.</w:t>
      </w:r>
    </w:p>
  </w:footnote>
  <w:footnote w:id="1232">
    <w:p>
      <w:pPr>
        <w:pStyle w:val="FootnoteText"/>
      </w:pPr>
      <w:r>
        <w:rPr>
          <w:rStyle w:val="FootnoteReference"/>
        </w:rPr>
        <w:footnoteRef/>
      </w:r>
      <w:r>
        <w:t xml:space="preserve"> </w:t>
      </w:r>
      <w:r>
        <w:t xml:space="preserve">Guevara-Aguirre 2011, PMID 21325617.</w:t>
      </w:r>
    </w:p>
  </w:footnote>
  <w:footnote w:id="1233">
    <w:p>
      <w:pPr>
        <w:pStyle w:val="FootnoteText"/>
      </w:pPr>
      <w:r>
        <w:rPr>
          <w:rStyle w:val="FootnoteReference"/>
        </w:rPr>
        <w:footnoteRef/>
      </w:r>
      <w:r>
        <w:t xml:space="preserve"> </w:t>
      </w:r>
      <w:r>
        <w:t xml:space="preserve">Swerdlow 2017, PMID 28187225.</w:t>
      </w:r>
    </w:p>
  </w:footnote>
  <w:footnote w:id="1234">
    <w:p>
      <w:pPr>
        <w:pStyle w:val="FootnoteText"/>
      </w:pPr>
      <w:r>
        <w:rPr>
          <w:rStyle w:val="FootnoteReference"/>
        </w:rPr>
        <w:footnoteRef/>
      </w:r>
      <w:r>
        <w:t xml:space="preserve"> </w:t>
      </w:r>
      <w:r>
        <w:t xml:space="preserve">Child 2015, PMID 25810462.</w:t>
      </w:r>
    </w:p>
  </w:footnote>
  <w:footnote w:id="1238">
    <w:p>
      <w:pPr>
        <w:pStyle w:val="FootnoteText"/>
      </w:pPr>
      <w:r>
        <w:rPr>
          <w:rStyle w:val="FootnoteReference"/>
        </w:rPr>
        <w:footnoteRef/>
      </w:r>
      <w:r>
        <w:t xml:space="preserve"> </w:t>
      </w:r>
      <w:r>
        <w:t xml:space="preserve">Prakash 1999, PMID 18031173.</w:t>
      </w:r>
    </w:p>
  </w:footnote>
  <w:footnote w:id="1240">
    <w:p>
      <w:pPr>
        <w:pStyle w:val="FootnoteText"/>
      </w:pPr>
      <w:r>
        <w:rPr>
          <w:rStyle w:val="FootnoteReference"/>
        </w:rPr>
        <w:footnoteRef/>
      </w:r>
      <w:r>
        <w:t xml:space="preserve"> </w:t>
      </w:r>
      <w:r>
        <w:t xml:space="preserve">Esposito 2003, PMID 14499707.</w:t>
      </w:r>
    </w:p>
  </w:footnote>
  <w:footnote w:id="1242">
    <w:p>
      <w:pPr>
        <w:pStyle w:val="FootnoteText"/>
      </w:pPr>
      <w:r>
        <w:rPr>
          <w:rStyle w:val="FootnoteReference"/>
        </w:rPr>
        <w:footnoteRef/>
      </w:r>
      <w:r>
        <w:t xml:space="preserve"> </w:t>
      </w:r>
      <w:r>
        <w:t xml:space="preserve">Thorner 1996, PMID 8772599.</w:t>
      </w:r>
    </w:p>
  </w:footnote>
  <w:footnote w:id="1243">
    <w:p>
      <w:pPr>
        <w:pStyle w:val="FootnoteText"/>
      </w:pPr>
      <w:r>
        <w:rPr>
          <w:rStyle w:val="FootnoteReference"/>
        </w:rPr>
        <w:footnoteRef/>
      </w:r>
      <w:r>
        <w:t xml:space="preserve"> </w:t>
      </w:r>
      <w:r>
        <w:t xml:space="preserve">Ross 1987, PMID 2879138.</w:t>
      </w:r>
    </w:p>
  </w:footnote>
  <w:footnote w:id="1244">
    <w:p>
      <w:pPr>
        <w:pStyle w:val="FootnoteText"/>
      </w:pPr>
      <w:r>
        <w:rPr>
          <w:rStyle w:val="FootnoteReference"/>
        </w:rPr>
        <w:footnoteRef/>
      </w:r>
      <w:r>
        <w:t xml:space="preserve"> </w:t>
      </w:r>
      <w:r>
        <w:t xml:space="preserve">Neyzi 1993, PMID 8329826.</w:t>
      </w:r>
    </w:p>
  </w:footnote>
  <w:footnote w:id="1245">
    <w:p>
      <w:pPr>
        <w:pStyle w:val="FootnoteText"/>
      </w:pPr>
      <w:r>
        <w:rPr>
          <w:rStyle w:val="FootnoteReference"/>
        </w:rPr>
        <w:footnoteRef/>
      </w:r>
      <w:r>
        <w:t xml:space="preserve"> </w:t>
      </w:r>
      <w:r>
        <w:t xml:space="preserve">Prakash 1999, PMID 18031173.</w:t>
      </w:r>
    </w:p>
  </w:footnote>
  <w:footnote w:id="1246">
    <w:p>
      <w:pPr>
        <w:pStyle w:val="FootnoteText"/>
      </w:pPr>
      <w:r>
        <w:rPr>
          <w:rStyle w:val="FootnoteReference"/>
        </w:rPr>
        <w:footnoteRef/>
      </w:r>
      <w:r>
        <w:t xml:space="preserve"> </w:t>
      </w:r>
      <w:r>
        <w:t xml:space="preserve">Kirk 1994, PMID 7955460.</w:t>
      </w:r>
    </w:p>
  </w:footnote>
  <w:footnote w:id="1248">
    <w:p>
      <w:pPr>
        <w:pStyle w:val="FootnoteText"/>
      </w:pPr>
      <w:r>
        <w:rPr>
          <w:rStyle w:val="FootnoteReference"/>
        </w:rPr>
        <w:footnoteRef/>
      </w:r>
      <w:r>
        <w:t xml:space="preserve"> </w:t>
      </w:r>
      <w:r>
        <w:t xml:space="preserve">Khorram 1997, PMID 9141536.</w:t>
      </w:r>
    </w:p>
  </w:footnote>
  <w:footnote w:id="1249">
    <w:p>
      <w:pPr>
        <w:pStyle w:val="FootnoteText"/>
      </w:pPr>
      <w:r>
        <w:rPr>
          <w:rStyle w:val="FootnoteReference"/>
        </w:rPr>
        <w:footnoteRef/>
      </w:r>
      <w:r>
        <w:t xml:space="preserve"> </w:t>
      </w:r>
      <w:r>
        <w:t xml:space="preserve">Khorram 1997, PMID 9360512.</w:t>
      </w:r>
    </w:p>
  </w:footnote>
  <w:footnote w:id="1250">
    <w:p>
      <w:pPr>
        <w:pStyle w:val="FootnoteText"/>
      </w:pPr>
      <w:r>
        <w:rPr>
          <w:rStyle w:val="FootnoteReference"/>
        </w:rPr>
        <w:footnoteRef/>
      </w:r>
      <w:r>
        <w:t xml:space="preserve"> </w:t>
      </w:r>
      <w:r>
        <w:t xml:space="preserve">Vittone 1997, PMID 9005976.</w:t>
      </w:r>
    </w:p>
  </w:footnote>
  <w:footnote w:id="1251">
    <w:p>
      <w:pPr>
        <w:pStyle w:val="FootnoteText"/>
      </w:pPr>
      <w:r>
        <w:rPr>
          <w:rStyle w:val="FootnoteReference"/>
        </w:rPr>
        <w:footnoteRef/>
      </w:r>
      <w:r>
        <w:t xml:space="preserve"> </w:t>
      </w:r>
      <w:r>
        <w:t xml:space="preserve">NCT00807365, NCT01410799.</w:t>
      </w:r>
    </w:p>
  </w:footnote>
  <w:footnote w:id="1253">
    <w:p>
      <w:pPr>
        <w:pStyle w:val="FootnoteText"/>
      </w:pPr>
      <w:r>
        <w:rPr>
          <w:rStyle w:val="FootnoteReference"/>
        </w:rPr>
        <w:footnoteRef/>
      </w:r>
      <w:r>
        <w:t xml:space="preserve"> </w:t>
      </w:r>
      <w:r>
        <w:t xml:space="preserve">Prakash 1999, PMID 18031173.</w:t>
      </w:r>
    </w:p>
  </w:footnote>
  <w:footnote w:id="1254">
    <w:p>
      <w:pPr>
        <w:pStyle w:val="FootnoteText"/>
      </w:pPr>
      <w:r>
        <w:rPr>
          <w:rStyle w:val="FootnoteReference"/>
        </w:rPr>
        <w:footnoteRef/>
      </w:r>
      <w:r>
        <w:t xml:space="preserve"> </w:t>
      </w:r>
      <w:r>
        <w:t xml:space="preserve">Garcia 2013, PMID 23559086.</w:t>
      </w:r>
    </w:p>
  </w:footnote>
  <w:footnote w:id="1256">
    <w:p>
      <w:pPr>
        <w:pStyle w:val="FootnoteText"/>
      </w:pPr>
      <w:r>
        <w:rPr>
          <w:rStyle w:val="FootnoteReference"/>
        </w:rPr>
        <w:footnoteRef/>
      </w:r>
      <w:r>
        <w:t xml:space="preserve"> </w:t>
      </w:r>
      <w:r>
        <w:t xml:space="preserve">Sigalos 2017, PMID 28830317.</w:t>
      </w:r>
    </w:p>
  </w:footnote>
  <w:footnote w:id="1259">
    <w:p>
      <w:pPr>
        <w:pStyle w:val="FootnoteText"/>
      </w:pPr>
      <w:r>
        <w:rPr>
          <w:rStyle w:val="FootnoteReference"/>
        </w:rPr>
        <w:footnoteRef/>
      </w:r>
      <w:r>
        <w:t xml:space="preserve"> </w:t>
      </w:r>
      <w:r>
        <w:t xml:space="preserve">Esposito 2003, PMID 14499707.</w:t>
      </w:r>
    </w:p>
  </w:footnote>
  <w:footnote w:id="1260">
    <w:p>
      <w:pPr>
        <w:pStyle w:val="FootnoteText"/>
      </w:pPr>
      <w:r>
        <w:rPr>
          <w:rStyle w:val="FootnoteReference"/>
        </w:rPr>
        <w:footnoteRef/>
      </w:r>
      <w:r>
        <w:t xml:space="preserve"> </w:t>
      </w:r>
      <w:r>
        <w:t xml:space="preserve">Chang 2021, PMID 33842627.</w:t>
      </w:r>
    </w:p>
  </w:footnote>
  <w:footnote w:id="1262">
    <w:p>
      <w:pPr>
        <w:pStyle w:val="FootnoteText"/>
      </w:pPr>
      <w:r>
        <w:rPr>
          <w:rStyle w:val="FootnoteReference"/>
        </w:rPr>
        <w:footnoteRef/>
      </w:r>
      <w:r>
        <w:t xml:space="preserve"> </w:t>
      </w:r>
      <w:r>
        <w:t xml:space="preserve">Prakash 1999, PMID 18031173.</w:t>
      </w:r>
    </w:p>
  </w:footnote>
  <w:footnote w:id="1263">
    <w:p>
      <w:pPr>
        <w:pStyle w:val="FootnoteText"/>
      </w:pPr>
      <w:r>
        <w:rPr>
          <w:rStyle w:val="FootnoteReference"/>
        </w:rPr>
        <w:footnoteRef/>
      </w:r>
      <w:r>
        <w:t xml:space="preserve"> </w:t>
      </w:r>
      <w:r>
        <w:t xml:space="preserve">Ross 1987, PMID 2879138.</w:t>
      </w:r>
    </w:p>
  </w:footnote>
  <w:footnote w:id="1264">
    <w:p>
      <w:pPr>
        <w:pStyle w:val="FootnoteText"/>
      </w:pPr>
      <w:r>
        <w:rPr>
          <w:rStyle w:val="FootnoteReference"/>
        </w:rPr>
        <w:footnoteRef/>
      </w:r>
      <w:r>
        <w:t xml:space="preserve"> </w:t>
      </w:r>
      <w:r>
        <w:t xml:space="preserve">Kirk 1994, PMID 7955460 ; Khorram 1997, PMID 9141536.</w:t>
      </w:r>
    </w:p>
  </w:footnote>
  <w:footnote w:id="1265">
    <w:p>
      <w:pPr>
        <w:pStyle w:val="FootnoteText"/>
      </w:pPr>
      <w:r>
        <w:rPr>
          <w:rStyle w:val="FootnoteReference"/>
        </w:rPr>
        <w:footnoteRef/>
      </w:r>
      <w:r>
        <w:t xml:space="preserve"> </w:t>
      </w:r>
      <w:r>
        <w:t xml:space="preserve">Perez 2026, PMID 42465868.</w:t>
      </w:r>
    </w:p>
  </w:footnote>
  <w:footnote w:id="1266">
    <w:p>
      <w:pPr>
        <w:pStyle w:val="FootnoteText"/>
      </w:pPr>
      <w:r>
        <w:rPr>
          <w:rStyle w:val="FootnoteReference"/>
        </w:rPr>
        <w:footnoteRef/>
      </w:r>
      <w:r>
        <w:t xml:space="preserve"> </w:t>
      </w:r>
      <w:r>
        <w:t xml:space="preserve">Venhuis 2016, PMID 26456392.</w:t>
      </w:r>
    </w:p>
  </w:footnote>
  <w:footnote w:id="1268">
    <w:p>
      <w:pPr>
        <w:pStyle w:val="FootnoteText"/>
      </w:pPr>
      <w:r>
        <w:rPr>
          <w:rStyle w:val="FootnoteReference"/>
        </w:rPr>
        <w:footnoteRef/>
      </w:r>
      <w:r>
        <w:t xml:space="preserve"> </w:t>
      </w:r>
      <w:r>
        <w:t xml:space="preserve">Garcia 2013, PMID 23559086.</w:t>
      </w:r>
    </w:p>
  </w:footnote>
  <w:footnote w:id="1269">
    <w:p>
      <w:pPr>
        <w:pStyle w:val="FootnoteText"/>
      </w:pPr>
      <w:r>
        <w:rPr>
          <w:rStyle w:val="FootnoteReference"/>
        </w:rPr>
        <w:footnoteRef/>
      </w:r>
      <w:r>
        <w:t xml:space="preserve"> </w:t>
      </w:r>
      <w:r>
        <w:t xml:space="preserve">Willis 2026, PMID 42752426.</w:t>
      </w:r>
    </w:p>
  </w:footnote>
  <w:footnote w:id="1270">
    <w:p>
      <w:pPr>
        <w:pStyle w:val="FootnoteText"/>
      </w:pPr>
      <w:r>
        <w:rPr>
          <w:rStyle w:val="FootnoteReference"/>
        </w:rPr>
        <w:footnoteRef/>
      </w:r>
      <w:r>
        <w:t xml:space="preserve"> </w:t>
      </w:r>
      <w:r>
        <w:t xml:space="preserve">Memdouh 2021, PMID 34665524.</w:t>
      </w:r>
    </w:p>
  </w:footnote>
  <w:footnote w:id="1275">
    <w:p>
      <w:pPr>
        <w:pStyle w:val="FootnoteText"/>
      </w:pPr>
      <w:r>
        <w:rPr>
          <w:rStyle w:val="FootnoteReference"/>
        </w:rPr>
        <w:footnoteRef/>
      </w:r>
      <w:r>
        <w:t xml:space="preserve"> </w:t>
      </w:r>
      <w:r>
        <w:t xml:space="preserve">Falutz 2010, PMID 20101189.</w:t>
      </w:r>
    </w:p>
  </w:footnote>
  <w:footnote w:id="1276">
    <w:p>
      <w:pPr>
        <w:pStyle w:val="FootnoteText"/>
      </w:pPr>
      <w:r>
        <w:rPr>
          <w:rStyle w:val="FootnoteReference"/>
        </w:rPr>
        <w:footnoteRef/>
      </w:r>
      <w:r>
        <w:t xml:space="preserve"> </w:t>
      </w:r>
      <w:r>
        <w:t xml:space="preserve">autorisation de la FDA rapportée par Traynor 2010, PMID 21115997.</w:t>
      </w:r>
    </w:p>
  </w:footnote>
  <w:footnote w:id="1279">
    <w:p>
      <w:pPr>
        <w:pStyle w:val="FootnoteText"/>
      </w:pPr>
      <w:r>
        <w:rPr>
          <w:rStyle w:val="FootnoteReference"/>
        </w:rPr>
        <w:footnoteRef/>
      </w:r>
      <w:r>
        <w:t xml:space="preserve"> </w:t>
      </w:r>
      <w:r>
        <w:t xml:space="preserve">Falutz 2007, PMID 18057338.</w:t>
      </w:r>
    </w:p>
  </w:footnote>
  <w:footnote w:id="1280">
    <w:p>
      <w:pPr>
        <w:pStyle w:val="FootnoteText"/>
      </w:pPr>
      <w:r>
        <w:rPr>
          <w:rStyle w:val="FootnoteReference"/>
        </w:rPr>
        <w:footnoteRef/>
      </w:r>
      <w:r>
        <w:t xml:space="preserve"> </w:t>
      </w:r>
      <w:r>
        <w:t xml:space="preserve">Falutz 2008, PMID 18690162.</w:t>
      </w:r>
    </w:p>
  </w:footnote>
  <w:footnote w:id="1281">
    <w:p>
      <w:pPr>
        <w:pStyle w:val="FootnoteText"/>
      </w:pPr>
      <w:r>
        <w:rPr>
          <w:rStyle w:val="FootnoteReference"/>
        </w:rPr>
        <w:footnoteRef/>
      </w:r>
      <w:r>
        <w:t xml:space="preserve"> </w:t>
      </w:r>
      <w:r>
        <w:t xml:space="preserve">Falutz 2010, PMID 20101189.</w:t>
      </w:r>
    </w:p>
  </w:footnote>
  <w:footnote w:id="1282">
    <w:p>
      <w:pPr>
        <w:pStyle w:val="FootnoteText"/>
      </w:pPr>
      <w:r>
        <w:rPr>
          <w:rStyle w:val="FootnoteReference"/>
        </w:rPr>
        <w:footnoteRef/>
      </w:r>
      <w:r>
        <w:t xml:space="preserve"> </w:t>
      </w:r>
      <w:r>
        <w:t xml:space="preserve">Falutz 2010, PMID 20554713.</w:t>
      </w:r>
    </w:p>
  </w:footnote>
  <w:footnote w:id="1283">
    <w:p>
      <w:pPr>
        <w:pStyle w:val="FootnoteText"/>
      </w:pPr>
      <w:r>
        <w:rPr>
          <w:rStyle w:val="FootnoteReference"/>
        </w:rPr>
        <w:footnoteRef/>
      </w:r>
      <w:r>
        <w:t xml:space="preserve"> </w:t>
      </w:r>
      <w:r>
        <w:t xml:space="preserve">Stanley 2012, PMID 22495074.</w:t>
      </w:r>
    </w:p>
  </w:footnote>
  <w:footnote w:id="1285">
    <w:p>
      <w:pPr>
        <w:pStyle w:val="FootnoteText"/>
      </w:pPr>
      <w:r>
        <w:rPr>
          <w:rStyle w:val="FootnoteReference"/>
        </w:rPr>
        <w:footnoteRef/>
      </w:r>
      <w:r>
        <w:t xml:space="preserve"> </w:t>
      </w:r>
      <w:r>
        <w:t xml:space="preserve">Stanley 2014, PMID 25038357.</w:t>
      </w:r>
    </w:p>
  </w:footnote>
  <w:footnote w:id="1286">
    <w:p>
      <w:pPr>
        <w:pStyle w:val="FootnoteText"/>
      </w:pPr>
      <w:r>
        <w:rPr>
          <w:rStyle w:val="FootnoteReference"/>
        </w:rPr>
        <w:footnoteRef/>
      </w:r>
      <w:r>
        <w:t xml:space="preserve"> </w:t>
      </w:r>
      <w:r>
        <w:t xml:space="preserve">Stanley 2019, PMID 31611038.</w:t>
      </w:r>
    </w:p>
  </w:footnote>
  <w:footnote w:id="1288">
    <w:p>
      <w:pPr>
        <w:pStyle w:val="FootnoteText"/>
      </w:pPr>
      <w:r>
        <w:rPr>
          <w:rStyle w:val="FootnoteReference"/>
        </w:rPr>
        <w:footnoteRef/>
      </w:r>
      <w:r>
        <w:t xml:space="preserve"> </w:t>
      </w:r>
      <w:r>
        <w:t xml:space="preserve">Makimura 2012, PMID 23015655.</w:t>
      </w:r>
    </w:p>
  </w:footnote>
  <w:footnote w:id="1289">
    <w:p>
      <w:pPr>
        <w:pStyle w:val="FootnoteText"/>
      </w:pPr>
      <w:r>
        <w:rPr>
          <w:rStyle w:val="FootnoteReference"/>
        </w:rPr>
        <w:footnoteRef/>
      </w:r>
      <w:r>
        <w:t xml:space="preserve"> </w:t>
      </w:r>
      <w:r>
        <w:t xml:space="preserve">Clemmons 2017, PMID 28617838.</w:t>
      </w:r>
    </w:p>
  </w:footnote>
  <w:footnote w:id="1290">
    <w:p>
      <w:pPr>
        <w:pStyle w:val="FootnoteText"/>
      </w:pPr>
      <w:r>
        <w:rPr>
          <w:rStyle w:val="FootnoteReference"/>
        </w:rPr>
        <w:footnoteRef/>
      </w:r>
      <w:r>
        <w:t xml:space="preserve"> </w:t>
      </w:r>
      <w:r>
        <w:t xml:space="preserve">Baker 2012, PMID 22869065.</w:t>
      </w:r>
    </w:p>
  </w:footnote>
  <w:footnote w:id="1291">
    <w:p>
      <w:pPr>
        <w:pStyle w:val="FootnoteText"/>
      </w:pPr>
      <w:r>
        <w:rPr>
          <w:rStyle w:val="FootnoteReference"/>
        </w:rPr>
        <w:footnoteRef/>
      </w:r>
      <w:r>
        <w:t xml:space="preserve"> </w:t>
      </w:r>
      <w:r>
        <w:t xml:space="preserve">Ellis 2025, PMID 39813152.</w:t>
      </w:r>
    </w:p>
  </w:footnote>
  <w:footnote w:id="1293">
    <w:p>
      <w:pPr>
        <w:pStyle w:val="FootnoteText"/>
      </w:pPr>
      <w:r>
        <w:rPr>
          <w:rStyle w:val="FootnoteReference"/>
        </w:rPr>
        <w:footnoteRef/>
      </w:r>
      <w:r>
        <w:t xml:space="preserve"> </w:t>
      </w:r>
      <w:r>
        <w:t xml:space="preserve">Ditta 2026, PMID 42538058.</w:t>
      </w:r>
    </w:p>
  </w:footnote>
  <w:footnote w:id="1294">
    <w:p>
      <w:pPr>
        <w:pStyle w:val="FootnoteText"/>
      </w:pPr>
      <w:r>
        <w:rPr>
          <w:rStyle w:val="FootnoteReference"/>
        </w:rPr>
        <w:footnoteRef/>
      </w:r>
      <w:r>
        <w:t xml:space="preserve"> </w:t>
      </w:r>
      <w:r>
        <w:t xml:space="preserve">Badran 2026, PMID 41545261.</w:t>
      </w:r>
    </w:p>
  </w:footnote>
  <w:footnote w:id="1297">
    <w:p>
      <w:pPr>
        <w:pStyle w:val="FootnoteText"/>
      </w:pPr>
      <w:r>
        <w:rPr>
          <w:rStyle w:val="FootnoteReference"/>
        </w:rPr>
        <w:footnoteRef/>
      </w:r>
      <w:r>
        <w:t xml:space="preserve"> </w:t>
      </w:r>
      <w:r>
        <w:t xml:space="preserve">Tuffaha 2016, PMID 27192539.</w:t>
      </w:r>
    </w:p>
  </w:footnote>
  <w:footnote w:id="1298">
    <w:p>
      <w:pPr>
        <w:pStyle w:val="FootnoteText"/>
      </w:pPr>
      <w:r>
        <w:rPr>
          <w:rStyle w:val="FootnoteReference"/>
        </w:rPr>
        <w:footnoteRef/>
      </w:r>
      <w:r>
        <w:t xml:space="preserve"> </w:t>
      </w:r>
      <w:r>
        <w:t xml:space="preserve">NCT03150511.</w:t>
      </w:r>
    </w:p>
  </w:footnote>
  <w:footnote w:id="1299">
    <w:p>
      <w:pPr>
        <w:pStyle w:val="FootnoteText"/>
      </w:pPr>
      <w:r>
        <w:rPr>
          <w:rStyle w:val="FootnoteReference"/>
        </w:rPr>
        <w:footnoteRef/>
      </w:r>
      <w:r>
        <w:t xml:space="preserve"> </w:t>
      </w:r>
      <w:r>
        <w:t xml:space="preserve">Fourman 2020, PMID 32701508.</w:t>
      </w:r>
    </w:p>
  </w:footnote>
  <w:footnote w:id="1301">
    <w:p>
      <w:pPr>
        <w:pStyle w:val="FootnoteText"/>
      </w:pPr>
      <w:r>
        <w:rPr>
          <w:rStyle w:val="FootnoteReference"/>
        </w:rPr>
        <w:footnoteRef/>
      </w:r>
      <w:r>
        <w:t xml:space="preserve"> </w:t>
      </w:r>
      <w:r>
        <w:t xml:space="preserve">Stanley 2019, PMID 31611038.</w:t>
      </w:r>
    </w:p>
  </w:footnote>
  <w:footnote w:id="1302">
    <w:p>
      <w:pPr>
        <w:pStyle w:val="FootnoteText"/>
      </w:pPr>
      <w:r>
        <w:rPr>
          <w:rStyle w:val="FootnoteReference"/>
        </w:rPr>
        <w:footnoteRef/>
      </w:r>
      <w:r>
        <w:t xml:space="preserve"> </w:t>
      </w:r>
      <w:r>
        <w:t xml:space="preserve">Badran 2026, PMID 41545261.</w:t>
      </w:r>
    </w:p>
  </w:footnote>
  <w:footnote w:id="1303">
    <w:p>
      <w:pPr>
        <w:pStyle w:val="FootnoteText"/>
      </w:pPr>
      <w:r>
        <w:rPr>
          <w:rStyle w:val="FootnoteReference"/>
        </w:rPr>
        <w:footnoteRef/>
      </w:r>
      <w:r>
        <w:t xml:space="preserve"> </w:t>
      </w:r>
      <w:r>
        <w:t xml:space="preserve">Stanley 2014, PMID 25038357.</w:t>
      </w:r>
    </w:p>
  </w:footnote>
  <w:footnote w:id="1304">
    <w:p>
      <w:pPr>
        <w:pStyle w:val="FootnoteText"/>
      </w:pPr>
      <w:r>
        <w:rPr>
          <w:rStyle w:val="FootnoteReference"/>
        </w:rPr>
        <w:footnoteRef/>
      </w:r>
      <w:r>
        <w:t xml:space="preserve"> </w:t>
      </w:r>
      <w:r>
        <w:t xml:space="preserve">Stanley 2012, PMID 22495074.</w:t>
      </w:r>
    </w:p>
  </w:footnote>
  <w:footnote w:id="1305">
    <w:p>
      <w:pPr>
        <w:pStyle w:val="FootnoteText"/>
      </w:pPr>
      <w:r>
        <w:rPr>
          <w:rStyle w:val="FootnoteReference"/>
        </w:rPr>
        <w:footnoteRef/>
      </w:r>
      <w:r>
        <w:t xml:space="preserve"> </w:t>
      </w:r>
      <w:r>
        <w:t xml:space="preserve">Falutz 2007, PMID 18057338.</w:t>
      </w:r>
    </w:p>
  </w:footnote>
  <w:footnote w:id="1306">
    <w:p>
      <w:pPr>
        <w:pStyle w:val="FootnoteText"/>
      </w:pPr>
      <w:r>
        <w:rPr>
          <w:rStyle w:val="FootnoteReference"/>
        </w:rPr>
        <w:footnoteRef/>
      </w:r>
      <w:r>
        <w:t xml:space="preserve"> </w:t>
      </w:r>
      <w:r>
        <w:t xml:space="preserve">Falutz 2008, PMID 18690162.</w:t>
      </w:r>
    </w:p>
  </w:footnote>
  <w:footnote w:id="1307">
    <w:p>
      <w:pPr>
        <w:pStyle w:val="FootnoteText"/>
      </w:pPr>
      <w:r>
        <w:rPr>
          <w:rStyle w:val="FootnoteReference"/>
        </w:rPr>
        <w:footnoteRef/>
      </w:r>
      <w:r>
        <w:t xml:space="preserve"> </w:t>
      </w:r>
      <w:r>
        <w:t xml:space="preserve">NCT01579695.</w:t>
      </w:r>
    </w:p>
  </w:footnote>
  <w:footnote w:id="1308">
    <w:p>
      <w:pPr>
        <w:pStyle w:val="FootnoteText"/>
      </w:pPr>
      <w:r>
        <w:rPr>
          <w:rStyle w:val="FootnoteReference"/>
        </w:rPr>
        <w:footnoteRef/>
      </w:r>
      <w:r>
        <w:t xml:space="preserve"> </w:t>
      </w:r>
      <w:r>
        <w:t xml:space="preserve">NCT01591902.</w:t>
      </w:r>
    </w:p>
  </w:footnote>
  <w:footnote w:id="1310">
    <w:p>
      <w:pPr>
        <w:pStyle w:val="FootnoteText"/>
      </w:pPr>
      <w:r>
        <w:rPr>
          <w:rStyle w:val="FootnoteReference"/>
        </w:rPr>
        <w:footnoteRef/>
      </w:r>
      <w:r>
        <w:t xml:space="preserve"> </w:t>
      </w:r>
      <w:r>
        <w:t xml:space="preserve">Memdouh 2021, PMID 34665524.</w:t>
      </w:r>
    </w:p>
  </w:footnote>
  <w:footnote w:id="1315">
    <w:p>
      <w:pPr>
        <w:pStyle w:val="FootnoteText"/>
      </w:pPr>
      <w:r>
        <w:rPr>
          <w:rStyle w:val="FootnoteReference"/>
        </w:rPr>
        <w:footnoteRef/>
      </w:r>
      <w:r>
        <w:t xml:space="preserve"> </w:t>
      </w:r>
      <w:r>
        <w:t xml:space="preserve">Jetté 2005, PMID 15817669.</w:t>
      </w:r>
    </w:p>
  </w:footnote>
  <w:footnote w:id="1317">
    <w:p>
      <w:pPr>
        <w:pStyle w:val="FootnoteText"/>
      </w:pPr>
      <w:r>
        <w:rPr>
          <w:rStyle w:val="FootnoteReference"/>
        </w:rPr>
        <w:footnoteRef/>
      </w:r>
      <w:r>
        <w:t xml:space="preserve"> </w:t>
      </w:r>
      <w:r>
        <w:t xml:space="preserve">Jetté 2005, PMID 15817669.</w:t>
      </w:r>
    </w:p>
  </w:footnote>
  <w:footnote w:id="1319">
    <w:p>
      <w:pPr>
        <w:pStyle w:val="FootnoteText"/>
      </w:pPr>
      <w:r>
        <w:rPr>
          <w:rStyle w:val="FootnoteReference"/>
        </w:rPr>
        <w:footnoteRef/>
      </w:r>
      <w:r>
        <w:t xml:space="preserve"> </w:t>
      </w:r>
      <w:r>
        <w:t xml:space="preserve">Teichman 2006, PMID 16352683.</w:t>
      </w:r>
    </w:p>
  </w:footnote>
  <w:footnote w:id="1320">
    <w:p>
      <w:pPr>
        <w:pStyle w:val="FootnoteText"/>
      </w:pPr>
      <w:r>
        <w:rPr>
          <w:rStyle w:val="FootnoteReference"/>
        </w:rPr>
        <w:footnoteRef/>
      </w:r>
      <w:r>
        <w:t xml:space="preserve"> </w:t>
      </w:r>
      <w:r>
        <w:t xml:space="preserve">Ionescu 2006, PMID 17018654.</w:t>
      </w:r>
    </w:p>
  </w:footnote>
  <w:footnote w:id="1321">
    <w:p>
      <w:pPr>
        <w:pStyle w:val="FootnoteText"/>
      </w:pPr>
      <w:r>
        <w:rPr>
          <w:rStyle w:val="FootnoteReference"/>
        </w:rPr>
        <w:footnoteRef/>
      </w:r>
      <w:r>
        <w:t xml:space="preserve"> </w:t>
      </w:r>
      <w:r>
        <w:t xml:space="preserve">Sackmann-Sala 2009, PMID 19386527.</w:t>
      </w:r>
    </w:p>
  </w:footnote>
  <w:footnote w:id="1322">
    <w:p>
      <w:pPr>
        <w:pStyle w:val="FootnoteText"/>
      </w:pPr>
      <w:r>
        <w:rPr>
          <w:rStyle w:val="FootnoteReference"/>
        </w:rPr>
        <w:footnoteRef/>
      </w:r>
      <w:r>
        <w:t xml:space="preserve"> </w:t>
      </w:r>
      <w:r>
        <w:t xml:space="preserve">NCT00267527.</w:t>
      </w:r>
    </w:p>
  </w:footnote>
  <w:footnote w:id="1325">
    <w:p>
      <w:pPr>
        <w:pStyle w:val="FootnoteText"/>
      </w:pPr>
      <w:r>
        <w:rPr>
          <w:rStyle w:val="FootnoteReference"/>
        </w:rPr>
        <w:footnoteRef/>
      </w:r>
      <w:r>
        <w:t xml:space="preserve"> </w:t>
      </w:r>
      <w:r>
        <w:t xml:space="preserve">Jetté 2005, PMID 15817669.</w:t>
      </w:r>
    </w:p>
  </w:footnote>
  <w:footnote w:id="1326">
    <w:p>
      <w:pPr>
        <w:pStyle w:val="FootnoteText"/>
      </w:pPr>
      <w:r>
        <w:rPr>
          <w:rStyle w:val="FootnoteReference"/>
        </w:rPr>
        <w:footnoteRef/>
      </w:r>
      <w:r>
        <w:t xml:space="preserve"> </w:t>
      </w:r>
      <w:r>
        <w:t xml:space="preserve">Alba 2006, PMID 16822960.</w:t>
      </w:r>
    </w:p>
  </w:footnote>
  <w:footnote w:id="1328">
    <w:p>
      <w:pPr>
        <w:pStyle w:val="FootnoteText"/>
      </w:pPr>
      <w:r>
        <w:rPr>
          <w:rStyle w:val="FootnoteReference"/>
        </w:rPr>
        <w:footnoteRef/>
      </w:r>
      <w:r>
        <w:t xml:space="preserve"> </w:t>
      </w:r>
      <w:r>
        <w:t xml:space="preserve">Teichman 2006, PMID 16352683.</w:t>
      </w:r>
    </w:p>
  </w:footnote>
  <w:footnote w:id="1329">
    <w:p>
      <w:pPr>
        <w:pStyle w:val="FootnoteText"/>
      </w:pPr>
      <w:r>
        <w:rPr>
          <w:rStyle w:val="FootnoteReference"/>
        </w:rPr>
        <w:footnoteRef/>
      </w:r>
      <w:r>
        <w:t xml:space="preserve"> </w:t>
      </w:r>
      <w:r>
        <w:t xml:space="preserve">Henninge 2010, PMID 21204297.</w:t>
      </w:r>
    </w:p>
  </w:footnote>
  <w:footnote w:id="1330">
    <w:p>
      <w:pPr>
        <w:pStyle w:val="FootnoteText"/>
      </w:pPr>
      <w:r>
        <w:rPr>
          <w:rStyle w:val="FootnoteReference"/>
        </w:rPr>
        <w:footnoteRef/>
      </w:r>
      <w:r>
        <w:t xml:space="preserve"> </w:t>
      </w:r>
      <w:r>
        <w:t xml:space="preserve">Gajda 2019, PMID 30136411.</w:t>
      </w:r>
    </w:p>
  </w:footnote>
  <w:footnote w:id="1331">
    <w:p>
      <w:pPr>
        <w:pStyle w:val="FootnoteText"/>
      </w:pPr>
      <w:r>
        <w:rPr>
          <w:rStyle w:val="FootnoteReference"/>
        </w:rPr>
        <w:footnoteRef/>
      </w:r>
      <w:r>
        <w:t xml:space="preserve"> </w:t>
      </w:r>
      <w:r>
        <w:t xml:space="preserve">Van Hout 2016, PMID 26771670.</w:t>
      </w:r>
    </w:p>
  </w:footnote>
  <w:footnote w:id="1333">
    <w:p>
      <w:pPr>
        <w:pStyle w:val="FootnoteText"/>
      </w:pPr>
      <w:r>
        <w:rPr>
          <w:rStyle w:val="FootnoteReference"/>
        </w:rPr>
        <w:footnoteRef/>
      </w:r>
      <w:r>
        <w:t xml:space="preserve"> </w:t>
      </w:r>
      <w:r>
        <w:t xml:space="preserve">Willis 2026, PMID 42752426.</w:t>
      </w:r>
    </w:p>
  </w:footnote>
  <w:footnote w:id="1334">
    <w:p>
      <w:pPr>
        <w:pStyle w:val="FootnoteText"/>
      </w:pPr>
      <w:r>
        <w:rPr>
          <w:rStyle w:val="FootnoteReference"/>
        </w:rPr>
        <w:footnoteRef/>
      </w:r>
      <w:r>
        <w:t xml:space="preserve"> </w:t>
      </w:r>
      <w:r>
        <w:t xml:space="preserve">Memdouh 2021, PMID 34665524.</w:t>
      </w:r>
    </w:p>
  </w:footnote>
  <w:footnote w:id="1335">
    <w:p>
      <w:pPr>
        <w:pStyle w:val="FootnoteText"/>
      </w:pPr>
      <w:r>
        <w:rPr>
          <w:rStyle w:val="FootnoteReference"/>
        </w:rPr>
        <w:footnoteRef/>
      </w:r>
      <w:r>
        <w:t xml:space="preserve"> </w:t>
      </w:r>
      <w:r>
        <w:t xml:space="preserve">Timms 2019, PMID 30938069.</w:t>
      </w:r>
    </w:p>
  </w:footnote>
  <w:footnote w:id="1340">
    <w:p>
      <w:pPr>
        <w:pStyle w:val="FootnoteText"/>
      </w:pPr>
      <w:r>
        <w:rPr>
          <w:rStyle w:val="FootnoteReference"/>
        </w:rPr>
        <w:footnoteRef/>
      </w:r>
      <w:r>
        <w:t xml:space="preserve"> </w:t>
      </w:r>
      <w:r>
        <w:t xml:space="preserve">Raun 1998, PMID 9849822.</w:t>
      </w:r>
    </w:p>
  </w:footnote>
  <w:footnote w:id="1342">
    <w:p>
      <w:pPr>
        <w:pStyle w:val="FootnoteText"/>
      </w:pPr>
      <w:r>
        <w:rPr>
          <w:rStyle w:val="FootnoteReference"/>
        </w:rPr>
        <w:footnoteRef/>
      </w:r>
      <w:r>
        <w:t xml:space="preserve"> </w:t>
      </w:r>
      <w:r>
        <w:t xml:space="preserve">Kojima 1999, PMID 10604470.</w:t>
      </w:r>
    </w:p>
  </w:footnote>
  <w:footnote w:id="1343">
    <w:p>
      <w:pPr>
        <w:pStyle w:val="FootnoteText"/>
      </w:pPr>
      <w:r>
        <w:rPr>
          <w:rStyle w:val="FootnoteReference"/>
        </w:rPr>
        <w:footnoteRef/>
      </w:r>
      <w:r>
        <w:t xml:space="preserve"> </w:t>
      </w:r>
      <w:r>
        <w:t xml:space="preserve">Raun 1998, PMID 9849822.</w:t>
      </w:r>
    </w:p>
  </w:footnote>
  <w:footnote w:id="1345">
    <w:p>
      <w:pPr>
        <w:pStyle w:val="FootnoteText"/>
      </w:pPr>
      <w:r>
        <w:rPr>
          <w:rStyle w:val="FootnoteReference"/>
        </w:rPr>
        <w:footnoteRef/>
      </w:r>
      <w:r>
        <w:t xml:space="preserve"> </w:t>
      </w:r>
      <w:r>
        <w:t xml:space="preserve">NCT07717866.</w:t>
      </w:r>
    </w:p>
  </w:footnote>
  <w:footnote w:id="1346">
    <w:p>
      <w:pPr>
        <w:pStyle w:val="FootnoteText"/>
      </w:pPr>
      <w:r>
        <w:rPr>
          <w:rStyle w:val="FootnoteReference"/>
        </w:rPr>
        <w:footnoteRef/>
      </w:r>
      <w:r>
        <w:t xml:space="preserve"> </w:t>
      </w:r>
      <w:r>
        <w:t xml:space="preserve">Gobburu 1999, PMID 10496658.</w:t>
      </w:r>
    </w:p>
  </w:footnote>
  <w:footnote w:id="1347">
    <w:p>
      <w:pPr>
        <w:pStyle w:val="FootnoteText"/>
      </w:pPr>
      <w:r>
        <w:rPr>
          <w:rStyle w:val="FootnoteReference"/>
        </w:rPr>
        <w:footnoteRef/>
      </w:r>
      <w:r>
        <w:t xml:space="preserve"> </w:t>
      </w:r>
      <w:r>
        <w:t xml:space="preserve">Beck 2014, PMID 25331030.</w:t>
      </w:r>
    </w:p>
  </w:footnote>
  <w:footnote w:id="1348">
    <w:p>
      <w:pPr>
        <w:pStyle w:val="FootnoteText"/>
      </w:pPr>
      <w:r>
        <w:rPr>
          <w:rStyle w:val="FootnoteReference"/>
        </w:rPr>
        <w:footnoteRef/>
      </w:r>
      <w:r>
        <w:t xml:space="preserve"> </w:t>
      </w:r>
      <w:r>
        <w:t xml:space="preserve">NCT01280344.</w:t>
      </w:r>
    </w:p>
  </w:footnote>
  <w:footnote w:id="1350">
    <w:p>
      <w:pPr>
        <w:pStyle w:val="FootnoteText"/>
      </w:pPr>
      <w:r>
        <w:rPr>
          <w:rStyle w:val="FootnoteReference"/>
        </w:rPr>
        <w:footnoteRef/>
      </w:r>
      <w:r>
        <w:t xml:space="preserve"> </w:t>
      </w:r>
      <w:r>
        <w:t xml:space="preserve">Venkova 2009, PMID 19289567.</w:t>
      </w:r>
    </w:p>
  </w:footnote>
  <w:footnote w:id="1351">
    <w:p>
      <w:pPr>
        <w:pStyle w:val="FootnoteText"/>
      </w:pPr>
      <w:r>
        <w:rPr>
          <w:rStyle w:val="FootnoteReference"/>
        </w:rPr>
        <w:footnoteRef/>
      </w:r>
      <w:r>
        <w:t xml:space="preserve"> </w:t>
      </w:r>
      <w:r>
        <w:t xml:space="preserve">Johansen 1999, PMID 10373343.</w:t>
      </w:r>
    </w:p>
  </w:footnote>
  <w:footnote w:id="1352">
    <w:p>
      <w:pPr>
        <w:pStyle w:val="FootnoteText"/>
      </w:pPr>
      <w:r>
        <w:rPr>
          <w:rStyle w:val="FootnoteReference"/>
        </w:rPr>
        <w:footnoteRef/>
      </w:r>
      <w:r>
        <w:t xml:space="preserve"> </w:t>
      </w:r>
      <w:r>
        <w:t xml:space="preserve">Raun 1998, PMID 9849822.</w:t>
      </w:r>
    </w:p>
  </w:footnote>
  <w:footnote w:id="1354">
    <w:p>
      <w:pPr>
        <w:pStyle w:val="FootnoteText"/>
      </w:pPr>
      <w:r>
        <w:rPr>
          <w:rStyle w:val="FootnoteReference"/>
        </w:rPr>
        <w:footnoteRef/>
      </w:r>
      <w:r>
        <w:t xml:space="preserve"> </w:t>
      </w:r>
      <w:r>
        <w:t xml:space="preserve">Beck 2014, PMID 25331030.</w:t>
      </w:r>
    </w:p>
  </w:footnote>
  <w:footnote w:id="1355">
    <w:p>
      <w:pPr>
        <w:pStyle w:val="FootnoteText"/>
      </w:pPr>
      <w:r>
        <w:rPr>
          <w:rStyle w:val="FootnoteReference"/>
        </w:rPr>
        <w:footnoteRef/>
      </w:r>
      <w:r>
        <w:t xml:space="preserve"> </w:t>
      </w:r>
      <w:r>
        <w:t xml:space="preserve">Krug 2018, PMID 29864719 ; Gajda 2019, PMID 30136411.</w:t>
      </w:r>
    </w:p>
  </w:footnote>
  <w:footnote w:id="1357">
    <w:p>
      <w:pPr>
        <w:pStyle w:val="FootnoteText"/>
      </w:pPr>
      <w:r>
        <w:rPr>
          <w:rStyle w:val="FootnoteReference"/>
        </w:rPr>
        <w:footnoteRef/>
      </w:r>
      <w:r>
        <w:t xml:space="preserve"> </w:t>
      </w:r>
      <w:r>
        <w:t xml:space="preserve">Willis 2026, PMID 42752426.</w:t>
      </w:r>
    </w:p>
  </w:footnote>
  <w:footnote w:id="1358">
    <w:p>
      <w:pPr>
        <w:pStyle w:val="FootnoteText"/>
      </w:pPr>
      <w:r>
        <w:rPr>
          <w:rStyle w:val="FootnoteReference"/>
        </w:rPr>
        <w:footnoteRef/>
      </w:r>
      <w:r>
        <w:t xml:space="preserve"> </w:t>
      </w:r>
      <w:r>
        <w:t xml:space="preserve">Semenistaya 2015, PMID 25869809.</w:t>
      </w:r>
    </w:p>
  </w:footnote>
  <w:footnote w:id="1363">
    <w:p>
      <w:pPr>
        <w:pStyle w:val="FootnoteText"/>
      </w:pPr>
      <w:r>
        <w:rPr>
          <w:rStyle w:val="FootnoteReference"/>
        </w:rPr>
        <w:footnoteRef/>
      </w:r>
      <w:r>
        <w:t xml:space="preserve"> </w:t>
      </w:r>
      <w:r>
        <w:t xml:space="preserve">Doi 2004, PMID 15646370.</w:t>
      </w:r>
    </w:p>
  </w:footnote>
  <w:footnote w:id="1364">
    <w:p>
      <w:pPr>
        <w:pStyle w:val="FootnoteText"/>
      </w:pPr>
      <w:r>
        <w:rPr>
          <w:rStyle w:val="FootnoteReference"/>
        </w:rPr>
        <w:footnoteRef/>
      </w:r>
      <w:r>
        <w:t xml:space="preserve"> </w:t>
      </w:r>
      <w:r>
        <w:t xml:space="preserve">profil anonyme de la substance dans Drugs R D 2004, PMID 15230633.</w:t>
      </w:r>
    </w:p>
  </w:footnote>
  <w:footnote w:id="1366">
    <w:p>
      <w:pPr>
        <w:pStyle w:val="FootnoteText"/>
      </w:pPr>
      <w:r>
        <w:rPr>
          <w:rStyle w:val="FootnoteReference"/>
        </w:rPr>
        <w:footnoteRef/>
      </w:r>
      <w:r>
        <w:t xml:space="preserve"> </w:t>
      </w:r>
      <w:r>
        <w:t xml:space="preserve">Kojima 1999, PMID 10604470.</w:t>
      </w:r>
    </w:p>
  </w:footnote>
  <w:footnote w:id="1367">
    <w:p>
      <w:pPr>
        <w:pStyle w:val="FootnoteText"/>
      </w:pPr>
      <w:r>
        <w:rPr>
          <w:rStyle w:val="FootnoteReference"/>
        </w:rPr>
        <w:footnoteRef/>
      </w:r>
      <w:r>
        <w:t xml:space="preserve"> </w:t>
      </w:r>
      <w:r>
        <w:t xml:space="preserve">Doi 2004, PMID 15646370.</w:t>
      </w:r>
    </w:p>
  </w:footnote>
  <w:footnote w:id="1369">
    <w:p>
      <w:pPr>
        <w:pStyle w:val="FootnoteText"/>
      </w:pPr>
      <w:r>
        <w:rPr>
          <w:rStyle w:val="FootnoteReference"/>
        </w:rPr>
        <w:footnoteRef/>
      </w:r>
      <w:r>
        <w:t xml:space="preserve"> </w:t>
      </w:r>
      <w:r>
        <w:t xml:space="preserve">Chihara 2007, PMID 17609397.</w:t>
      </w:r>
    </w:p>
  </w:footnote>
  <w:footnote w:id="1370">
    <w:p>
      <w:pPr>
        <w:pStyle w:val="FootnoteText"/>
      </w:pPr>
      <w:r>
        <w:rPr>
          <w:rStyle w:val="FootnoteReference"/>
        </w:rPr>
        <w:footnoteRef/>
      </w:r>
      <w:r>
        <w:t xml:space="preserve"> </w:t>
      </w:r>
      <w:r>
        <w:t xml:space="preserve">Kinoshita 2013, PMID 23079545.</w:t>
      </w:r>
    </w:p>
  </w:footnote>
  <w:footnote w:id="1371">
    <w:p>
      <w:pPr>
        <w:pStyle w:val="FootnoteText"/>
      </w:pPr>
      <w:r>
        <w:rPr>
          <w:rStyle w:val="FootnoteReference"/>
        </w:rPr>
        <w:footnoteRef/>
      </w:r>
      <w:r>
        <w:t xml:space="preserve"> </w:t>
      </w:r>
      <w:r>
        <w:t xml:space="preserve">Arimura 2016, PMID 27020037.</w:t>
      </w:r>
    </w:p>
  </w:footnote>
  <w:footnote w:id="1372">
    <w:p>
      <w:pPr>
        <w:pStyle w:val="FootnoteText"/>
      </w:pPr>
      <w:r>
        <w:rPr>
          <w:rStyle w:val="FootnoteReference"/>
        </w:rPr>
        <w:footnoteRef/>
      </w:r>
      <w:r>
        <w:t xml:space="preserve"> </w:t>
      </w:r>
      <w:r>
        <w:t xml:space="preserve">Hayakawa 2018, PMID 30324179.</w:t>
      </w:r>
    </w:p>
  </w:footnote>
  <w:footnote w:id="1374">
    <w:p>
      <w:pPr>
        <w:pStyle w:val="FootnoteText"/>
      </w:pPr>
      <w:r>
        <w:rPr>
          <w:rStyle w:val="FootnoteReference"/>
        </w:rPr>
        <w:footnoteRef/>
      </w:r>
      <w:r>
        <w:t xml:space="preserve"> </w:t>
      </w:r>
      <w:r>
        <w:t xml:space="preserve">Mericq 1998, PMID 9661608.</w:t>
      </w:r>
    </w:p>
  </w:footnote>
  <w:footnote w:id="1375">
    <w:p>
      <w:pPr>
        <w:pStyle w:val="FootnoteText"/>
      </w:pPr>
      <w:r>
        <w:rPr>
          <w:rStyle w:val="FootnoteReference"/>
        </w:rPr>
        <w:footnoteRef/>
      </w:r>
      <w:r>
        <w:t xml:space="preserve"> </w:t>
      </w:r>
      <w:r>
        <w:t xml:space="preserve">Pihoker 1997, PMID 9390009.</w:t>
      </w:r>
    </w:p>
  </w:footnote>
  <w:footnote w:id="1376">
    <w:p>
      <w:pPr>
        <w:pStyle w:val="FootnoteText"/>
      </w:pPr>
      <w:r>
        <w:rPr>
          <w:rStyle w:val="FootnoteReference"/>
        </w:rPr>
        <w:footnoteRef/>
      </w:r>
      <w:r>
        <w:t xml:space="preserve"> </w:t>
      </w:r>
      <w:r>
        <w:t xml:space="preserve">Mericq 2003, PMID 14513874.</w:t>
      </w:r>
    </w:p>
  </w:footnote>
  <w:footnote w:id="1377">
    <w:p>
      <w:pPr>
        <w:pStyle w:val="FootnoteText"/>
      </w:pPr>
      <w:r>
        <w:rPr>
          <w:rStyle w:val="FootnoteReference"/>
        </w:rPr>
        <w:footnoteRef/>
      </w:r>
      <w:r>
        <w:t xml:space="preserve"> </w:t>
      </w:r>
      <w:r>
        <w:t xml:space="preserve">profil anonyme de la substance dans Drugs R D 2004, PMID 15230633.</w:t>
      </w:r>
    </w:p>
  </w:footnote>
  <w:footnote w:id="1379">
    <w:p>
      <w:pPr>
        <w:pStyle w:val="FootnoteText"/>
      </w:pPr>
      <w:r>
        <w:rPr>
          <w:rStyle w:val="FootnoteReference"/>
        </w:rPr>
        <w:footnoteRef/>
      </w:r>
      <w:r>
        <w:t xml:space="preserve"> </w:t>
      </w:r>
      <w:r>
        <w:t xml:space="preserve">Laferrère 2006, PMID 16861611.</w:t>
      </w:r>
    </w:p>
  </w:footnote>
  <w:footnote w:id="1380">
    <w:p>
      <w:pPr>
        <w:pStyle w:val="FootnoteText"/>
      </w:pPr>
      <w:r>
        <w:rPr>
          <w:rStyle w:val="FootnoteReference"/>
        </w:rPr>
        <w:footnoteRef/>
      </w:r>
      <w:r>
        <w:t xml:space="preserve"> </w:t>
      </w:r>
      <w:r>
        <w:t xml:space="preserve">Van den Berghe 1999, PMID 10199772.</w:t>
      </w:r>
    </w:p>
  </w:footnote>
  <w:footnote w:id="1383">
    <w:p>
      <w:pPr>
        <w:pStyle w:val="FootnoteText"/>
      </w:pPr>
      <w:r>
        <w:rPr>
          <w:rStyle w:val="FootnoteReference"/>
        </w:rPr>
        <w:footnoteRef/>
      </w:r>
      <w:r>
        <w:t xml:space="preserve"> </w:t>
      </w:r>
      <w:r>
        <w:t xml:space="preserve">Doi 2004, PMID 15646370.</w:t>
      </w:r>
    </w:p>
  </w:footnote>
  <w:footnote w:id="1384">
    <w:p>
      <w:pPr>
        <w:pStyle w:val="FootnoteText"/>
      </w:pPr>
      <w:r>
        <w:rPr>
          <w:rStyle w:val="FootnoteReference"/>
        </w:rPr>
        <w:footnoteRef/>
      </w:r>
      <w:r>
        <w:t xml:space="preserve"> </w:t>
      </w:r>
      <w:r>
        <w:t xml:space="preserve">Raun 1998, PMID 9849822.</w:t>
      </w:r>
    </w:p>
  </w:footnote>
  <w:footnote w:id="1386">
    <w:p>
      <w:pPr>
        <w:pStyle w:val="FootnoteText"/>
      </w:pPr>
      <w:r>
        <w:rPr>
          <w:rStyle w:val="FootnoteReference"/>
        </w:rPr>
        <w:footnoteRef/>
      </w:r>
      <w:r>
        <w:t xml:space="preserve"> </w:t>
      </w:r>
      <w:r>
        <w:t xml:space="preserve">Mericq 2003, PMID 14513874 ; Laferrère 2006, PMID 16861611.</w:t>
      </w:r>
    </w:p>
  </w:footnote>
  <w:footnote w:id="1387">
    <w:p>
      <w:pPr>
        <w:pStyle w:val="FootnoteText"/>
      </w:pPr>
      <w:r>
        <w:rPr>
          <w:rStyle w:val="FootnoteReference"/>
        </w:rPr>
        <w:footnoteRef/>
      </w:r>
      <w:r>
        <w:t xml:space="preserve"> </w:t>
      </w:r>
      <w:r>
        <w:t xml:space="preserve">Arimura 2016, PMID 27020037.</w:t>
      </w:r>
    </w:p>
  </w:footnote>
  <w:footnote w:id="1388">
    <w:p>
      <w:pPr>
        <w:pStyle w:val="FootnoteText"/>
      </w:pPr>
      <w:r>
        <w:rPr>
          <w:rStyle w:val="FootnoteReference"/>
        </w:rPr>
        <w:footnoteRef/>
      </w:r>
      <w:r>
        <w:t xml:space="preserve"> </w:t>
      </w:r>
      <w:r>
        <w:t xml:space="preserve">Sigalos 2018, PMID 28400207.</w:t>
      </w:r>
    </w:p>
  </w:footnote>
  <w:footnote w:id="1389">
    <w:p>
      <w:pPr>
        <w:pStyle w:val="FootnoteText"/>
      </w:pPr>
      <w:r>
        <w:rPr>
          <w:rStyle w:val="FootnoteReference"/>
        </w:rPr>
        <w:footnoteRef/>
      </w:r>
      <w:r>
        <w:t xml:space="preserve"> </w:t>
      </w:r>
      <w:r>
        <w:t xml:space="preserve">Krug 2018, PMID 29864719 ; Gajda 2019, PMID 30136411.</w:t>
      </w:r>
    </w:p>
  </w:footnote>
  <w:footnote w:id="1391">
    <w:p>
      <w:pPr>
        <w:pStyle w:val="FootnoteText"/>
      </w:pPr>
      <w:r>
        <w:rPr>
          <w:rStyle w:val="FootnoteReference"/>
        </w:rPr>
        <w:footnoteRef/>
      </w:r>
      <w:r>
        <w:t xml:space="preserve"> </w:t>
      </w:r>
      <w:r>
        <w:t xml:space="preserve">Semenistaya 2015, PMID 25869809.</w:t>
      </w:r>
    </w:p>
  </w:footnote>
  <w:footnote w:id="1396">
    <w:p>
      <w:pPr>
        <w:pStyle w:val="FootnoteText"/>
      </w:pPr>
      <w:r>
        <w:rPr>
          <w:rStyle w:val="FootnoteReference"/>
        </w:rPr>
        <w:footnoteRef/>
      </w:r>
      <w:r>
        <w:t xml:space="preserve"> </w:t>
      </w:r>
      <w:r>
        <w:t xml:space="preserve">Bowers 1984, PMID 6714155.</w:t>
      </w:r>
    </w:p>
  </w:footnote>
  <w:footnote w:id="1398">
    <w:p>
      <w:pPr>
        <w:pStyle w:val="FootnoteText"/>
      </w:pPr>
      <w:r>
        <w:rPr>
          <w:rStyle w:val="FootnoteReference"/>
        </w:rPr>
        <w:footnoteRef/>
      </w:r>
      <w:r>
        <w:t xml:space="preserve"> </w:t>
      </w:r>
      <w:r>
        <w:t xml:space="preserve">Bowers 1984, PMID 6714155.</w:t>
      </w:r>
    </w:p>
  </w:footnote>
  <w:footnote w:id="1399">
    <w:p>
      <w:pPr>
        <w:pStyle w:val="FootnoteText"/>
      </w:pPr>
      <w:r>
        <w:rPr>
          <w:rStyle w:val="FootnoteReference"/>
        </w:rPr>
        <w:footnoteRef/>
      </w:r>
      <w:r>
        <w:t xml:space="preserve"> </w:t>
      </w:r>
      <w:r>
        <w:t xml:space="preserve">Kojima 1999, PMID 10604470.</w:t>
      </w:r>
    </w:p>
  </w:footnote>
  <w:footnote w:id="1401">
    <w:p>
      <w:pPr>
        <w:pStyle w:val="FootnoteText"/>
      </w:pPr>
      <w:r>
        <w:rPr>
          <w:rStyle w:val="FootnoteReference"/>
        </w:rPr>
        <w:footnoteRef/>
      </w:r>
      <w:r>
        <w:t xml:space="preserve"> </w:t>
      </w:r>
      <w:r>
        <w:t xml:space="preserve">Popovic 2000, PMID 11030292.</w:t>
      </w:r>
    </w:p>
  </w:footnote>
  <w:footnote w:id="1402">
    <w:p>
      <w:pPr>
        <w:pStyle w:val="FootnoteText"/>
      </w:pPr>
      <w:r>
        <w:rPr>
          <w:rStyle w:val="FootnoteReference"/>
        </w:rPr>
        <w:footnoteRef/>
      </w:r>
      <w:r>
        <w:t xml:space="preserve"> </w:t>
      </w:r>
      <w:r>
        <w:t xml:space="preserve">Petersenn 2002, PMID 11980622.</w:t>
      </w:r>
    </w:p>
  </w:footnote>
  <w:footnote w:id="1403">
    <w:p>
      <w:pPr>
        <w:pStyle w:val="FootnoteText"/>
      </w:pPr>
      <w:r>
        <w:rPr>
          <w:rStyle w:val="FootnoteReference"/>
        </w:rPr>
        <w:footnoteRef/>
      </w:r>
      <w:r>
        <w:t xml:space="preserve"> </w:t>
      </w:r>
      <w:r>
        <w:t xml:space="preserve">Leal-Cerro 1995, PMID 7788011.</w:t>
      </w:r>
    </w:p>
  </w:footnote>
  <w:footnote w:id="1404">
    <w:p>
      <w:pPr>
        <w:pStyle w:val="FootnoteText"/>
      </w:pPr>
      <w:r>
        <w:rPr>
          <w:rStyle w:val="FootnoteReference"/>
        </w:rPr>
        <w:footnoteRef/>
      </w:r>
      <w:r>
        <w:t xml:space="preserve"> </w:t>
      </w:r>
      <w:r>
        <w:t xml:space="preserve">Alaioubi 2010, PMID 19946832.</w:t>
      </w:r>
    </w:p>
  </w:footnote>
  <w:footnote w:id="1406">
    <w:p>
      <w:pPr>
        <w:pStyle w:val="FootnoteText"/>
      </w:pPr>
      <w:r>
        <w:rPr>
          <w:rStyle w:val="FootnoteReference"/>
        </w:rPr>
        <w:footnoteRef/>
      </w:r>
      <w:r>
        <w:t xml:space="preserve"> </w:t>
      </w:r>
      <w:r>
        <w:t xml:space="preserve">Cabrales 2013, PMID 23099431.</w:t>
      </w:r>
    </w:p>
  </w:footnote>
  <w:footnote w:id="1407">
    <w:p>
      <w:pPr>
        <w:pStyle w:val="FootnoteText"/>
      </w:pPr>
      <w:r>
        <w:rPr>
          <w:rStyle w:val="FootnoteReference"/>
        </w:rPr>
        <w:footnoteRef/>
      </w:r>
      <w:r>
        <w:t xml:space="preserve"> </w:t>
      </w:r>
      <w:r>
        <w:t xml:space="preserve">Frieboes 1995, PMID 7617137.</w:t>
      </w:r>
    </w:p>
  </w:footnote>
  <w:footnote w:id="1408">
    <w:p>
      <w:pPr>
        <w:pStyle w:val="FootnoteText"/>
      </w:pPr>
      <w:r>
        <w:rPr>
          <w:rStyle w:val="FootnoteReference"/>
        </w:rPr>
        <w:footnoteRef/>
      </w:r>
      <w:r>
        <w:t xml:space="preserve"> </w:t>
      </w:r>
      <w:r>
        <w:t xml:space="preserve">Micic 1995, PMID 7734029.</w:t>
      </w:r>
    </w:p>
  </w:footnote>
  <w:footnote w:id="1409">
    <w:p>
      <w:pPr>
        <w:pStyle w:val="FootnoteText"/>
      </w:pPr>
      <w:r>
        <w:rPr>
          <w:rStyle w:val="FootnoteReference"/>
        </w:rPr>
        <w:footnoteRef/>
      </w:r>
      <w:r>
        <w:t xml:space="preserve"> </w:t>
      </w:r>
      <w:r>
        <w:t xml:space="preserve">Bellone 1995, PMID 7581965.</w:t>
      </w:r>
    </w:p>
  </w:footnote>
  <w:footnote w:id="1412">
    <w:p>
      <w:pPr>
        <w:pStyle w:val="FootnoteText"/>
      </w:pPr>
      <w:r>
        <w:rPr>
          <w:rStyle w:val="FootnoteReference"/>
        </w:rPr>
        <w:footnoteRef/>
      </w:r>
      <w:r>
        <w:t xml:space="preserve"> </w:t>
      </w:r>
      <w:r>
        <w:t xml:space="preserve">Berlanga-Acosta 2024, PMID 38873418.</w:t>
      </w:r>
    </w:p>
  </w:footnote>
  <w:footnote w:id="1413">
    <w:p>
      <w:pPr>
        <w:pStyle w:val="FootnoteText"/>
      </w:pPr>
      <w:r>
        <w:rPr>
          <w:rStyle w:val="FootnoteReference"/>
        </w:rPr>
        <w:footnoteRef/>
      </w:r>
      <w:r>
        <w:t xml:space="preserve"> </w:t>
      </w:r>
      <w:r>
        <w:t xml:space="preserve">Cibrián 2006, PMID 16417467.</w:t>
      </w:r>
    </w:p>
  </w:footnote>
  <w:footnote w:id="1414">
    <w:p>
      <w:pPr>
        <w:pStyle w:val="FootnoteText"/>
      </w:pPr>
      <w:r>
        <w:rPr>
          <w:rStyle w:val="FootnoteReference"/>
        </w:rPr>
        <w:footnoteRef/>
      </w:r>
      <w:r>
        <w:t xml:space="preserve"> </w:t>
      </w:r>
      <w:r>
        <w:t xml:space="preserve">del Barco 2011, PMID 21697595.</w:t>
      </w:r>
    </w:p>
  </w:footnote>
  <w:footnote w:id="1416">
    <w:p>
      <w:pPr>
        <w:pStyle w:val="FootnoteText"/>
      </w:pPr>
      <w:r>
        <w:rPr>
          <w:rStyle w:val="FootnoteReference"/>
        </w:rPr>
        <w:footnoteRef/>
      </w:r>
      <w:r>
        <w:t xml:space="preserve"> </w:t>
      </w:r>
      <w:r>
        <w:t xml:space="preserve">Petersenn 2002, PMID 11980622.</w:t>
      </w:r>
    </w:p>
  </w:footnote>
  <w:footnote w:id="1417">
    <w:p>
      <w:pPr>
        <w:pStyle w:val="FootnoteText"/>
      </w:pPr>
      <w:r>
        <w:rPr>
          <w:rStyle w:val="FootnoteReference"/>
        </w:rPr>
        <w:footnoteRef/>
      </w:r>
      <w:r>
        <w:t xml:space="preserve"> </w:t>
      </w:r>
      <w:r>
        <w:t xml:space="preserve">Frieboes 1995, PMID 7617137.</w:t>
      </w:r>
    </w:p>
  </w:footnote>
  <w:footnote w:id="1418">
    <w:p>
      <w:pPr>
        <w:pStyle w:val="FootnoteText"/>
      </w:pPr>
      <w:r>
        <w:rPr>
          <w:rStyle w:val="FootnoteReference"/>
        </w:rPr>
        <w:footnoteRef/>
      </w:r>
      <w:r>
        <w:t xml:space="preserve"> </w:t>
      </w:r>
      <w:r>
        <w:t xml:space="preserve">Perez 2026, PMID 42465868.</w:t>
      </w:r>
    </w:p>
  </w:footnote>
  <w:footnote w:id="1419">
    <w:p>
      <w:pPr>
        <w:pStyle w:val="FootnoteText"/>
      </w:pPr>
      <w:r>
        <w:rPr>
          <w:rStyle w:val="FootnoteReference"/>
        </w:rPr>
        <w:footnoteRef/>
      </w:r>
      <w:r>
        <w:t xml:space="preserve"> </w:t>
      </w:r>
      <w:r>
        <w:t xml:space="preserve">Krug 2018, PMID 29864719.</w:t>
      </w:r>
    </w:p>
  </w:footnote>
  <w:footnote w:id="1421">
    <w:p>
      <w:pPr>
        <w:pStyle w:val="FootnoteText"/>
      </w:pPr>
      <w:r>
        <w:rPr>
          <w:rStyle w:val="FootnoteReference"/>
        </w:rPr>
        <w:footnoteRef/>
      </w:r>
      <w:r>
        <w:t xml:space="preserve"> </w:t>
      </w:r>
      <w:r>
        <w:t xml:space="preserve">Semenistaya 2015, PMID 25869809.</w:t>
      </w:r>
    </w:p>
  </w:footnote>
  <w:footnote w:id="1426">
    <w:p>
      <w:pPr>
        <w:pStyle w:val="FootnoteText"/>
      </w:pPr>
      <w:r>
        <w:rPr>
          <w:rStyle w:val="FootnoteReference"/>
        </w:rPr>
        <w:footnoteRef/>
      </w:r>
      <w:r>
        <w:t xml:space="preserve"> </w:t>
      </w:r>
      <w:r>
        <w:t xml:space="preserve">Imbimbo 1994, PMID 7957536.</w:t>
      </w:r>
    </w:p>
  </w:footnote>
  <w:footnote w:id="1427">
    <w:p>
      <w:pPr>
        <w:pStyle w:val="FootnoteText"/>
      </w:pPr>
      <w:r>
        <w:rPr>
          <w:rStyle w:val="FootnoteReference"/>
        </w:rPr>
        <w:footnoteRef/>
      </w:r>
      <w:r>
        <w:t xml:space="preserve"> </w:t>
      </w:r>
      <w:r>
        <w:t xml:space="preserve">Mao 2014, PMID 25278975.</w:t>
      </w:r>
    </w:p>
  </w:footnote>
  <w:footnote w:id="1429">
    <w:p>
      <w:pPr>
        <w:pStyle w:val="FootnoteText"/>
      </w:pPr>
      <w:r>
        <w:rPr>
          <w:rStyle w:val="FootnoteReference"/>
        </w:rPr>
        <w:footnoteRef/>
      </w:r>
      <w:r>
        <w:t xml:space="preserve"> </w:t>
      </w:r>
      <w:r>
        <w:t xml:space="preserve">Loche 1995, PMID 7673411.</w:t>
      </w:r>
    </w:p>
  </w:footnote>
  <w:footnote w:id="1431">
    <w:p>
      <w:pPr>
        <w:pStyle w:val="FootnoteText"/>
      </w:pPr>
      <w:r>
        <w:rPr>
          <w:rStyle w:val="FootnoteReference"/>
        </w:rPr>
        <w:footnoteRef/>
      </w:r>
      <w:r>
        <w:t xml:space="preserve"> </w:t>
      </w:r>
      <w:r>
        <w:t xml:space="preserve">Imbimbo 1994, PMID 7957536.</w:t>
      </w:r>
    </w:p>
  </w:footnote>
  <w:footnote w:id="1432">
    <w:p>
      <w:pPr>
        <w:pStyle w:val="FootnoteText"/>
      </w:pPr>
      <w:r>
        <w:rPr>
          <w:rStyle w:val="FootnoteReference"/>
        </w:rPr>
        <w:footnoteRef/>
      </w:r>
      <w:r>
        <w:t xml:space="preserve"> </w:t>
      </w:r>
      <w:r>
        <w:t xml:space="preserve">Massoud 1996, PMID 8954038.</w:t>
      </w:r>
    </w:p>
  </w:footnote>
  <w:footnote w:id="1433">
    <w:p>
      <w:pPr>
        <w:pStyle w:val="FootnoteText"/>
      </w:pPr>
      <w:r>
        <w:rPr>
          <w:rStyle w:val="FootnoteReference"/>
        </w:rPr>
        <w:footnoteRef/>
      </w:r>
      <w:r>
        <w:t xml:space="preserve"> </w:t>
      </w:r>
      <w:r>
        <w:t xml:space="preserve">Korbonits 1999, PMID 10404825.</w:t>
      </w:r>
    </w:p>
  </w:footnote>
  <w:footnote w:id="1435">
    <w:p>
      <w:pPr>
        <w:pStyle w:val="FootnoteText"/>
      </w:pPr>
      <w:r>
        <w:rPr>
          <w:rStyle w:val="FootnoteReference"/>
        </w:rPr>
        <w:footnoteRef/>
      </w:r>
      <w:r>
        <w:t xml:space="preserve"> </w:t>
      </w:r>
      <w:r>
        <w:t xml:space="preserve">Rahim 1998, PMID 9589671.</w:t>
      </w:r>
    </w:p>
  </w:footnote>
  <w:footnote w:id="1436">
    <w:p>
      <w:pPr>
        <w:pStyle w:val="FootnoteText"/>
      </w:pPr>
      <w:r>
        <w:rPr>
          <w:rStyle w:val="FootnoteReference"/>
        </w:rPr>
        <w:footnoteRef/>
      </w:r>
      <w:r>
        <w:t xml:space="preserve"> </w:t>
      </w:r>
      <w:r>
        <w:t xml:space="preserve">Rahim 1999, PMID 10341859.</w:t>
      </w:r>
    </w:p>
  </w:footnote>
  <w:footnote w:id="1437">
    <w:p>
      <w:pPr>
        <w:pStyle w:val="FootnoteText"/>
      </w:pPr>
      <w:r>
        <w:rPr>
          <w:rStyle w:val="FootnoteReference"/>
        </w:rPr>
        <w:footnoteRef/>
      </w:r>
      <w:r>
        <w:t xml:space="preserve"> </w:t>
      </w:r>
      <w:r>
        <w:t xml:space="preserve">Laron 1995, PMID 8548949.</w:t>
      </w:r>
    </w:p>
  </w:footnote>
  <w:footnote w:id="1438">
    <w:p>
      <w:pPr>
        <w:pStyle w:val="FootnoteText"/>
      </w:pPr>
      <w:r>
        <w:rPr>
          <w:rStyle w:val="FootnoteReference"/>
        </w:rPr>
        <w:footnoteRef/>
      </w:r>
      <w:r>
        <w:t xml:space="preserve"> </w:t>
      </w:r>
      <w:r>
        <w:t xml:space="preserve">Klinger 1996, PMID 8766941.</w:t>
      </w:r>
    </w:p>
  </w:footnote>
  <w:footnote w:id="1440">
    <w:p>
      <w:pPr>
        <w:pStyle w:val="FootnoteText"/>
      </w:pPr>
      <w:r>
        <w:rPr>
          <w:rStyle w:val="FootnoteReference"/>
        </w:rPr>
        <w:footnoteRef/>
      </w:r>
      <w:r>
        <w:t xml:space="preserve"> </w:t>
      </w:r>
      <w:r>
        <w:t xml:space="preserve">Bisi 1999, PMID 10528131.</w:t>
      </w:r>
    </w:p>
  </w:footnote>
  <w:footnote w:id="1441">
    <w:p>
      <w:pPr>
        <w:pStyle w:val="FootnoteText"/>
      </w:pPr>
      <w:r>
        <w:rPr>
          <w:rStyle w:val="FootnoteReference"/>
        </w:rPr>
        <w:footnoteRef/>
      </w:r>
      <w:r>
        <w:t xml:space="preserve"> </w:t>
      </w:r>
      <w:r>
        <w:t xml:space="preserve">Broglio 2001, PMID 11322491.</w:t>
      </w:r>
    </w:p>
  </w:footnote>
  <w:footnote w:id="1442">
    <w:p>
      <w:pPr>
        <w:pStyle w:val="FootnoteText"/>
      </w:pPr>
      <w:r>
        <w:rPr>
          <w:rStyle w:val="FootnoteReference"/>
        </w:rPr>
        <w:footnoteRef/>
      </w:r>
      <w:r>
        <w:t xml:space="preserve"> </w:t>
      </w:r>
      <w:r>
        <w:t xml:space="preserve">Broglio 2002, PMID 12144941.</w:t>
      </w:r>
    </w:p>
  </w:footnote>
  <w:footnote w:id="1445">
    <w:p>
      <w:pPr>
        <w:pStyle w:val="FootnoteText"/>
      </w:pPr>
      <w:r>
        <w:rPr>
          <w:rStyle w:val="FootnoteReference"/>
        </w:rPr>
        <w:footnoteRef/>
      </w:r>
      <w:r>
        <w:t xml:space="preserve"> </w:t>
      </w:r>
      <w:r>
        <w:t xml:space="preserve">Tivesten 2000, PMID 10614623.</w:t>
      </w:r>
    </w:p>
  </w:footnote>
  <w:footnote w:id="1446">
    <w:p>
      <w:pPr>
        <w:pStyle w:val="FootnoteText"/>
      </w:pPr>
      <w:r>
        <w:rPr>
          <w:rStyle w:val="FootnoteReference"/>
        </w:rPr>
        <w:footnoteRef/>
      </w:r>
      <w:r>
        <w:t xml:space="preserve"> </w:t>
      </w:r>
      <w:r>
        <w:t xml:space="preserve">McDonald 2018, PMID 29756411.</w:t>
      </w:r>
    </w:p>
  </w:footnote>
  <w:footnote w:id="1447">
    <w:p>
      <w:pPr>
        <w:pStyle w:val="FootnoteText"/>
      </w:pPr>
      <w:r>
        <w:rPr>
          <w:rStyle w:val="FootnoteReference"/>
        </w:rPr>
        <w:footnoteRef/>
      </w:r>
      <w:r>
        <w:t xml:space="preserve"> </w:t>
      </w:r>
      <w:r>
        <w:t xml:space="preserve">Mao 2014, PMID 25278975.</w:t>
      </w:r>
    </w:p>
  </w:footnote>
  <w:footnote w:id="1449">
    <w:p>
      <w:pPr>
        <w:pStyle w:val="FootnoteText"/>
      </w:pPr>
      <w:r>
        <w:rPr>
          <w:rStyle w:val="FootnoteReference"/>
        </w:rPr>
        <w:footnoteRef/>
      </w:r>
      <w:r>
        <w:t xml:space="preserve"> </w:t>
      </w:r>
      <w:r>
        <w:t xml:space="preserve">Massoud 1996, PMID 8954038 ; Korbonits 1999, PMID 10404825.</w:t>
      </w:r>
    </w:p>
  </w:footnote>
  <w:footnote w:id="1450">
    <w:p>
      <w:pPr>
        <w:pStyle w:val="FootnoteText"/>
      </w:pPr>
      <w:r>
        <w:rPr>
          <w:rStyle w:val="FootnoteReference"/>
        </w:rPr>
        <w:footnoteRef/>
      </w:r>
      <w:r>
        <w:t xml:space="preserve"> </w:t>
      </w:r>
      <w:r>
        <w:t xml:space="preserve">Korbonits 1999, PMID 10404825.</w:t>
      </w:r>
    </w:p>
  </w:footnote>
  <w:footnote w:id="1451">
    <w:p>
      <w:pPr>
        <w:pStyle w:val="FootnoteText"/>
      </w:pPr>
      <w:r>
        <w:rPr>
          <w:rStyle w:val="FootnoteReference"/>
        </w:rPr>
        <w:footnoteRef/>
      </w:r>
      <w:r>
        <w:t xml:space="preserve"> </w:t>
      </w:r>
      <w:r>
        <w:t xml:space="preserve">Rahim 1998, PMID 9589671 ; Klinger 1996, PMID 8766941.</w:t>
      </w:r>
    </w:p>
  </w:footnote>
  <w:footnote w:id="1452">
    <w:p>
      <w:pPr>
        <w:pStyle w:val="FootnoteText"/>
      </w:pPr>
      <w:r>
        <w:rPr>
          <w:rStyle w:val="FootnoteReference"/>
        </w:rPr>
        <w:footnoteRef/>
      </w:r>
      <w:r>
        <w:t xml:space="preserve"> </w:t>
      </w:r>
      <w:r>
        <w:t xml:space="preserve">Laron 1995, PMID 8548949.</w:t>
      </w:r>
    </w:p>
  </w:footnote>
  <w:footnote w:id="1454">
    <w:p>
      <w:pPr>
        <w:pStyle w:val="FootnoteText"/>
      </w:pPr>
      <w:r>
        <w:rPr>
          <w:rStyle w:val="FootnoteReference"/>
        </w:rPr>
        <w:footnoteRef/>
      </w:r>
      <w:r>
        <w:t xml:space="preserve"> </w:t>
      </w:r>
      <w:r>
        <w:t xml:space="preserve">Semenistaya 2015, PMID 25869809.</w:t>
      </w:r>
    </w:p>
  </w:footnote>
  <w:footnote w:id="1459">
    <w:p>
      <w:pPr>
        <w:pStyle w:val="FootnoteText"/>
      </w:pPr>
      <w:r>
        <w:rPr>
          <w:rStyle w:val="FootnoteReference"/>
        </w:rPr>
        <w:footnoteRef/>
      </w:r>
      <w:r>
        <w:t xml:space="preserve"> </w:t>
      </w:r>
      <w:r>
        <w:t xml:space="preserve">Piccoli 2007, PMID 17284637.</w:t>
      </w:r>
    </w:p>
  </w:footnote>
  <w:footnote w:id="1462">
    <w:p>
      <w:pPr>
        <w:pStyle w:val="FootnoteText"/>
      </w:pPr>
      <w:r>
        <w:rPr>
          <w:rStyle w:val="FootnoteReference"/>
        </w:rPr>
        <w:footnoteRef/>
      </w:r>
      <w:r>
        <w:t xml:space="preserve"> </w:t>
      </w:r>
      <w:r>
        <w:t xml:space="preserve">Piccoli 2007, PMID 17284637.</w:t>
      </w:r>
    </w:p>
  </w:footnote>
  <w:footnote w:id="1463">
    <w:p>
      <w:pPr>
        <w:pStyle w:val="FootnoteText"/>
      </w:pPr>
      <w:r>
        <w:rPr>
          <w:rStyle w:val="FootnoteReference"/>
        </w:rPr>
        <w:footnoteRef/>
      </w:r>
      <w:r>
        <w:t xml:space="preserve"> </w:t>
      </w:r>
      <w:r>
        <w:t xml:space="preserve">Klaus 2020, PMID 32325373.</w:t>
      </w:r>
    </w:p>
  </w:footnote>
  <w:footnote w:id="1465">
    <w:p>
      <w:pPr>
        <w:pStyle w:val="FootnoteText"/>
      </w:pPr>
      <w:r>
        <w:rPr>
          <w:rStyle w:val="FootnoteReference"/>
        </w:rPr>
        <w:footnoteRef/>
      </w:r>
      <w:r>
        <w:t xml:space="preserve"> </w:t>
      </w:r>
      <w:r>
        <w:t xml:space="preserve">Garcia 2013, PMID 23559086.</w:t>
      </w:r>
    </w:p>
  </w:footnote>
  <w:footnote w:id="1466">
    <w:p>
      <w:pPr>
        <w:pStyle w:val="FootnoteText"/>
      </w:pPr>
      <w:r>
        <w:rPr>
          <w:rStyle w:val="FootnoteReference"/>
        </w:rPr>
        <w:footnoteRef/>
      </w:r>
      <w:r>
        <w:t xml:space="preserve"> </w:t>
      </w:r>
      <w:r>
        <w:t xml:space="preserve">Garcia 2018, PMID 29860473 ; NCT02558829.</w:t>
      </w:r>
    </w:p>
  </w:footnote>
  <w:footnote w:id="1467">
    <w:p>
      <w:pPr>
        <w:pStyle w:val="FootnoteText"/>
      </w:pPr>
      <w:r>
        <w:rPr>
          <w:rStyle w:val="FootnoteReference"/>
        </w:rPr>
        <w:footnoteRef/>
      </w:r>
      <w:r>
        <w:t xml:space="preserve"> </w:t>
      </w:r>
      <w:r>
        <w:t xml:space="preserve">Garcia 2021, PMID 33320108.</w:t>
      </w:r>
    </w:p>
  </w:footnote>
  <w:footnote w:id="1469">
    <w:p>
      <w:pPr>
        <w:pStyle w:val="FootnoteText"/>
      </w:pPr>
      <w:r>
        <w:rPr>
          <w:rStyle w:val="FootnoteReference"/>
        </w:rPr>
        <w:footnoteRef/>
      </w:r>
      <w:r>
        <w:t xml:space="preserve"> </w:t>
      </w:r>
      <w:r>
        <w:t xml:space="preserve">Yadav 2026, PMID 41793495.</w:t>
      </w:r>
    </w:p>
  </w:footnote>
  <w:footnote w:id="1471">
    <w:p>
      <w:pPr>
        <w:pStyle w:val="FootnoteText"/>
      </w:pPr>
      <w:r>
        <w:rPr>
          <w:rStyle w:val="FootnoteReference"/>
        </w:rPr>
        <w:footnoteRef/>
      </w:r>
      <w:r>
        <w:t xml:space="preserve"> </w:t>
      </w:r>
      <w:r>
        <w:t xml:space="preserve">Csákváry 2021, PMID 34438400.</w:t>
      </w:r>
    </w:p>
  </w:footnote>
  <w:footnote w:id="1472">
    <w:p>
      <w:pPr>
        <w:pStyle w:val="FootnoteText"/>
      </w:pPr>
      <w:r>
        <w:rPr>
          <w:rStyle w:val="FootnoteReference"/>
        </w:rPr>
        <w:footnoteRef/>
      </w:r>
      <w:r>
        <w:t xml:space="preserve"> </w:t>
      </w:r>
      <w:r>
        <w:t xml:space="preserve">NCT04786873.</w:t>
      </w:r>
    </w:p>
  </w:footnote>
  <w:footnote w:id="1473">
    <w:p>
      <w:pPr>
        <w:pStyle w:val="FootnoteText"/>
      </w:pPr>
      <w:r>
        <w:rPr>
          <w:rStyle w:val="FootnoteReference"/>
        </w:rPr>
        <w:footnoteRef/>
      </w:r>
      <w:r>
        <w:t xml:space="preserve"> </w:t>
      </w:r>
      <w:r>
        <w:t xml:space="preserve">Herodes 2023, PMID 36860137.</w:t>
      </w:r>
    </w:p>
  </w:footnote>
  <w:footnote w:id="1476">
    <w:p>
      <w:pPr>
        <w:pStyle w:val="FootnoteText"/>
      </w:pPr>
      <w:r>
        <w:rPr>
          <w:rStyle w:val="FootnoteReference"/>
        </w:rPr>
        <w:footnoteRef/>
      </w:r>
      <w:r>
        <w:t xml:space="preserve"> </w:t>
      </w:r>
      <w:r>
        <w:t xml:space="preserve">Buckinx 2021, PMID 34157194.</w:t>
      </w:r>
    </w:p>
  </w:footnote>
  <w:footnote w:id="1477">
    <w:p>
      <w:pPr>
        <w:pStyle w:val="FootnoteText"/>
      </w:pPr>
      <w:r>
        <w:rPr>
          <w:rStyle w:val="FootnoteReference"/>
        </w:rPr>
        <w:footnoteRef/>
      </w:r>
      <w:r>
        <w:t xml:space="preserve"> </w:t>
      </w:r>
      <w:r>
        <w:t xml:space="preserve">Wang 2025, PMID 40542284.</w:t>
      </w:r>
    </w:p>
  </w:footnote>
  <w:footnote w:id="1479">
    <w:p>
      <w:pPr>
        <w:pStyle w:val="FootnoteText"/>
      </w:pPr>
      <w:r>
        <w:rPr>
          <w:rStyle w:val="FootnoteReference"/>
        </w:rPr>
        <w:footnoteRef/>
      </w:r>
      <w:r>
        <w:t xml:space="preserve"> </w:t>
      </w:r>
      <w:r>
        <w:t xml:space="preserve">Garcia 2018, PMID 29860473.</w:t>
      </w:r>
    </w:p>
  </w:footnote>
  <w:footnote w:id="1480">
    <w:p>
      <w:pPr>
        <w:pStyle w:val="FootnoteText"/>
      </w:pPr>
      <w:r>
        <w:rPr>
          <w:rStyle w:val="FootnoteReference"/>
        </w:rPr>
        <w:footnoteRef/>
      </w:r>
      <w:r>
        <w:t xml:space="preserve"> </w:t>
      </w:r>
      <w:r>
        <w:t xml:space="preserve">Klaus 2020, PMID 32325373.</w:t>
      </w:r>
    </w:p>
  </w:footnote>
  <w:footnote w:id="1481">
    <w:p>
      <w:pPr>
        <w:pStyle w:val="FootnoteText"/>
      </w:pPr>
      <w:r>
        <w:rPr>
          <w:rStyle w:val="FootnoteReference"/>
        </w:rPr>
        <w:footnoteRef/>
      </w:r>
      <w:r>
        <w:t xml:space="preserve"> </w:t>
      </w:r>
      <w:r>
        <w:t xml:space="preserve">Lissy 2021, PMID 32961034.</w:t>
      </w:r>
    </w:p>
  </w:footnote>
  <w:footnote w:id="1482">
    <w:p>
      <w:pPr>
        <w:pStyle w:val="FootnoteText"/>
      </w:pPr>
      <w:r>
        <w:rPr>
          <w:rStyle w:val="FootnoteReference"/>
        </w:rPr>
        <w:footnoteRef/>
      </w:r>
      <w:r>
        <w:t xml:space="preserve"> </w:t>
      </w:r>
      <w:r>
        <w:t xml:space="preserve">Yadav 2026, PMID 41793495.</w:t>
      </w:r>
    </w:p>
  </w:footnote>
  <w:footnote w:id="1484">
    <w:p>
      <w:pPr>
        <w:pStyle w:val="FootnoteText"/>
      </w:pPr>
      <w:r>
        <w:rPr>
          <w:rStyle w:val="FootnoteReference"/>
        </w:rPr>
        <w:footnoteRef/>
      </w:r>
      <w:r>
        <w:t xml:space="preserve"> </w:t>
      </w:r>
      <w:r>
        <w:t xml:space="preserve">Lange 2021, PMID 33458843.</w:t>
      </w:r>
    </w:p>
  </w:footnote>
  <w:footnote w:id="1486">
    <w:p>
      <w:pPr>
        <w:pStyle w:val="FootnoteText"/>
      </w:pPr>
      <w:r>
        <w:rPr>
          <w:rStyle w:val="FootnoteReference"/>
        </w:rPr>
        <w:footnoteRef/>
      </w:r>
      <w:r>
        <w:t xml:space="preserve"> </w:t>
      </w:r>
      <w:r>
        <w:t xml:space="preserve">NCT04786873.</w:t>
      </w:r>
    </w:p>
  </w:footnote>
  <w:footnote w:id="1487">
    <w:p>
      <w:pPr>
        <w:pStyle w:val="FootnoteText"/>
      </w:pPr>
      <w:r>
        <w:rPr>
          <w:rStyle w:val="FootnoteReference"/>
        </w:rPr>
        <w:footnoteRef/>
      </w:r>
      <w:r>
        <w:t xml:space="preserve"> </w:t>
      </w:r>
      <w:r>
        <w:t xml:space="preserve">NCT03844217.</w:t>
      </w:r>
    </w:p>
  </w:footnote>
  <w:footnote w:id="1492">
    <w:p>
      <w:pPr>
        <w:pStyle w:val="FootnoteText"/>
      </w:pPr>
      <w:r>
        <w:rPr>
          <w:rStyle w:val="FootnoteReference"/>
        </w:rPr>
        <w:footnoteRef/>
      </w:r>
      <w:r>
        <w:t xml:space="preserve"> </w:t>
      </w:r>
      <w:r>
        <w:t xml:space="preserve">Saavedra 2026, PMID 42341624.</w:t>
      </w:r>
    </w:p>
  </w:footnote>
  <w:footnote w:id="1494">
    <w:p>
      <w:pPr>
        <w:pStyle w:val="FootnoteText"/>
      </w:pPr>
      <w:r>
        <w:rPr>
          <w:rStyle w:val="FootnoteReference"/>
        </w:rPr>
        <w:footnoteRef/>
      </w:r>
      <w:r>
        <w:t xml:space="preserve"> </w:t>
      </w:r>
      <w:r>
        <w:t xml:space="preserve">Chernausek 2007, PMID 17192294.</w:t>
      </w:r>
    </w:p>
  </w:footnote>
  <w:footnote w:id="1495">
    <w:p>
      <w:pPr>
        <w:pStyle w:val="FootnoteText"/>
      </w:pPr>
      <w:r>
        <w:rPr>
          <w:rStyle w:val="FootnoteReference"/>
        </w:rPr>
        <w:footnoteRef/>
      </w:r>
      <w:r>
        <w:t xml:space="preserve"> </w:t>
      </w:r>
      <w:r>
        <w:t xml:space="preserve">NCT00903110.</w:t>
      </w:r>
    </w:p>
  </w:footnote>
  <w:footnote w:id="1496">
    <w:p>
      <w:pPr>
        <w:pStyle w:val="FootnoteText"/>
      </w:pPr>
      <w:r>
        <w:rPr>
          <w:rStyle w:val="FootnoteReference"/>
        </w:rPr>
        <w:footnoteRef/>
      </w:r>
      <w:r>
        <w:t xml:space="preserve"> </w:t>
      </w:r>
      <w:r>
        <w:t xml:space="preserve">Bang 2021, PMID 33434161.</w:t>
      </w:r>
    </w:p>
  </w:footnote>
  <w:footnote w:id="1497">
    <w:p>
      <w:pPr>
        <w:pStyle w:val="FootnoteText"/>
      </w:pPr>
      <w:r>
        <w:rPr>
          <w:rStyle w:val="FootnoteReference"/>
        </w:rPr>
        <w:footnoteRef/>
      </w:r>
      <w:r>
        <w:t xml:space="preserve"> </w:t>
      </w:r>
      <w:r>
        <w:t xml:space="preserve">Ramon-Krauel 2026, PMID 40626687.</w:t>
      </w:r>
    </w:p>
  </w:footnote>
  <w:footnote w:id="1498">
    <w:p>
      <w:pPr>
        <w:pStyle w:val="FootnoteText"/>
      </w:pPr>
      <w:r>
        <w:rPr>
          <w:rStyle w:val="FootnoteReference"/>
        </w:rPr>
        <w:footnoteRef/>
      </w:r>
      <w:r>
        <w:t xml:space="preserve"> </w:t>
      </w:r>
      <w:r>
        <w:t xml:space="preserve">Bang 2023, PMID 37579214.</w:t>
      </w:r>
    </w:p>
  </w:footnote>
  <w:footnote w:id="1500">
    <w:p>
      <w:pPr>
        <w:pStyle w:val="FootnoteText"/>
      </w:pPr>
      <w:r>
        <w:rPr>
          <w:rStyle w:val="FootnoteReference"/>
        </w:rPr>
        <w:footnoteRef/>
      </w:r>
      <w:r>
        <w:t xml:space="preserve"> </w:t>
      </w:r>
      <w:r>
        <w:t xml:space="preserve">Sorenson 2008, PMID 19029516.</w:t>
      </w:r>
    </w:p>
  </w:footnote>
  <w:footnote w:id="1501">
    <w:p>
      <w:pPr>
        <w:pStyle w:val="FootnoteText"/>
      </w:pPr>
      <w:r>
        <w:rPr>
          <w:rStyle w:val="FootnoteReference"/>
        </w:rPr>
        <w:footnoteRef/>
      </w:r>
      <w:r>
        <w:t xml:space="preserve"> </w:t>
      </w:r>
      <w:r>
        <w:t xml:space="preserve">Rutter 2020, PMID 32108355.</w:t>
      </w:r>
    </w:p>
  </w:footnote>
  <w:footnote w:id="1502">
    <w:p>
      <w:pPr>
        <w:pStyle w:val="FootnoteText"/>
      </w:pPr>
      <w:r>
        <w:rPr>
          <w:rStyle w:val="FootnoteReference"/>
        </w:rPr>
        <w:footnoteRef/>
      </w:r>
      <w:r>
        <w:t xml:space="preserve"> </w:t>
      </w:r>
      <w:r>
        <w:t xml:space="preserve">Ribeiro 2025, PMID 41174329.</w:t>
      </w:r>
    </w:p>
  </w:footnote>
  <w:footnote w:id="1503">
    <w:p>
      <w:pPr>
        <w:pStyle w:val="FootnoteText"/>
      </w:pPr>
      <w:r>
        <w:rPr>
          <w:rStyle w:val="FootnoteReference"/>
        </w:rPr>
        <w:footnoteRef/>
      </w:r>
      <w:r>
        <w:t xml:space="preserve"> </w:t>
      </w:r>
      <w:r>
        <w:t xml:space="preserve">Ley 2019, PMID 30471715.</w:t>
      </w:r>
    </w:p>
  </w:footnote>
  <w:footnote w:id="1504">
    <w:p>
      <w:pPr>
        <w:pStyle w:val="FootnoteText"/>
      </w:pPr>
      <w:r>
        <w:rPr>
          <w:rStyle w:val="FootnoteReference"/>
        </w:rPr>
        <w:footnoteRef/>
      </w:r>
      <w:r>
        <w:t xml:space="preserve"> </w:t>
      </w:r>
      <w:r>
        <w:t xml:space="preserve">NCT03253263.</w:t>
      </w:r>
    </w:p>
  </w:footnote>
  <w:footnote w:id="1505">
    <w:p>
      <w:pPr>
        <w:pStyle w:val="FootnoteText"/>
      </w:pPr>
      <w:r>
        <w:rPr>
          <w:rStyle w:val="FootnoteReference"/>
        </w:rPr>
        <w:footnoteRef/>
      </w:r>
      <w:r>
        <w:t xml:space="preserve"> </w:t>
      </w:r>
      <w:r>
        <w:t xml:space="preserve">Haines 2021, PMID 34355814.</w:t>
      </w:r>
    </w:p>
  </w:footnote>
  <w:footnote w:id="1506">
    <w:p>
      <w:pPr>
        <w:pStyle w:val="FootnoteText"/>
      </w:pPr>
      <w:r>
        <w:rPr>
          <w:rStyle w:val="FootnoteReference"/>
        </w:rPr>
        <w:footnoteRef/>
      </w:r>
      <w:r>
        <w:t xml:space="preserve"> </w:t>
      </w:r>
      <w:r>
        <w:t xml:space="preserve">Mauras 2000, PMID 10999782.</w:t>
      </w:r>
    </w:p>
  </w:footnote>
  <w:footnote w:id="1507">
    <w:p>
      <w:pPr>
        <w:pStyle w:val="FootnoteText"/>
      </w:pPr>
      <w:r>
        <w:rPr>
          <w:rStyle w:val="FootnoteReference"/>
        </w:rPr>
        <w:footnoteRef/>
      </w:r>
      <w:r>
        <w:t xml:space="preserve"> </w:t>
      </w:r>
      <w:r>
        <w:t xml:space="preserve">Guha 2021, PMID 33249593.</w:t>
      </w:r>
    </w:p>
  </w:footnote>
  <w:footnote w:id="1510">
    <w:p>
      <w:pPr>
        <w:pStyle w:val="FootnoteText"/>
      </w:pPr>
      <w:r>
        <w:rPr>
          <w:rStyle w:val="FootnoteReference"/>
        </w:rPr>
        <w:footnoteRef/>
      </w:r>
      <w:r>
        <w:t xml:space="preserve"> </w:t>
      </w:r>
      <w:r>
        <w:t xml:space="preserve">Guevara-Aguirre 2011, PMID 21325617.</w:t>
      </w:r>
    </w:p>
  </w:footnote>
  <w:footnote w:id="1511">
    <w:p>
      <w:pPr>
        <w:pStyle w:val="FootnoteText"/>
      </w:pPr>
      <w:r>
        <w:rPr>
          <w:rStyle w:val="FootnoteReference"/>
        </w:rPr>
        <w:footnoteRef/>
      </w:r>
      <w:r>
        <w:t xml:space="preserve"> </w:t>
      </w:r>
      <w:r>
        <w:t xml:space="preserve">Guevara-Aguirre 2015, PMID 25316432.</w:t>
      </w:r>
    </w:p>
  </w:footnote>
  <w:footnote w:id="1513">
    <w:p>
      <w:pPr>
        <w:pStyle w:val="FootnoteText"/>
      </w:pPr>
      <w:r>
        <w:rPr>
          <w:rStyle w:val="FootnoteReference"/>
        </w:rPr>
        <w:footnoteRef/>
      </w:r>
      <w:r>
        <w:t xml:space="preserve"> </w:t>
      </w:r>
      <w:r>
        <w:t xml:space="preserve">Chernausek 2007, PMID 17192294 ; Bang 2023, PMID 37579214.</w:t>
      </w:r>
    </w:p>
  </w:footnote>
  <w:footnote w:id="1514">
    <w:p>
      <w:pPr>
        <w:pStyle w:val="FootnoteText"/>
      </w:pPr>
      <w:r>
        <w:rPr>
          <w:rStyle w:val="FootnoteReference"/>
        </w:rPr>
        <w:footnoteRef/>
      </w:r>
      <w:r>
        <w:t xml:space="preserve"> </w:t>
      </w:r>
      <w:r>
        <w:t xml:space="preserve">Chernausek 2007, PMID 17192294.</w:t>
      </w:r>
    </w:p>
  </w:footnote>
  <w:footnote w:id="1515">
    <w:p>
      <w:pPr>
        <w:pStyle w:val="FootnoteText"/>
      </w:pPr>
      <w:r>
        <w:rPr>
          <w:rStyle w:val="FootnoteReference"/>
        </w:rPr>
        <w:footnoteRef/>
      </w:r>
      <w:r>
        <w:t xml:space="preserve"> </w:t>
      </w:r>
      <w:r>
        <w:t xml:space="preserve">Ley 2019, PMID 30471715.</w:t>
      </w:r>
    </w:p>
  </w:footnote>
  <w:footnote w:id="1516">
    <w:p>
      <w:pPr>
        <w:pStyle w:val="FootnoteText"/>
      </w:pPr>
      <w:r>
        <w:rPr>
          <w:rStyle w:val="FootnoteReference"/>
        </w:rPr>
        <w:footnoteRef/>
      </w:r>
      <w:r>
        <w:t xml:space="preserve"> </w:t>
      </w:r>
      <w:r>
        <w:t xml:space="preserve">Renehan 2004, PMID 15110491.</w:t>
      </w:r>
    </w:p>
  </w:footnote>
  <w:footnote w:id="1517">
    <w:p>
      <w:pPr>
        <w:pStyle w:val="FootnoteText"/>
      </w:pPr>
      <w:r>
        <w:rPr>
          <w:rStyle w:val="FootnoteReference"/>
        </w:rPr>
        <w:footnoteRef/>
      </w:r>
      <w:r>
        <w:t xml:space="preserve"> </w:t>
      </w:r>
      <w:r>
        <w:t xml:space="preserve">Murphy 2020, PMID 32169310.</w:t>
      </w:r>
    </w:p>
  </w:footnote>
  <w:footnote w:id="1518">
    <w:p>
      <w:pPr>
        <w:pStyle w:val="FootnoteText"/>
      </w:pPr>
      <w:r>
        <w:rPr>
          <w:rStyle w:val="FootnoteReference"/>
        </w:rPr>
        <w:footnoteRef/>
      </w:r>
      <w:r>
        <w:t xml:space="preserve"> </w:t>
      </w:r>
      <w:r>
        <w:t xml:space="preserve">Murphy 2020, PMID 31884074.</w:t>
      </w:r>
    </w:p>
  </w:footnote>
  <w:footnote w:id="1519">
    <w:p>
      <w:pPr>
        <w:pStyle w:val="FootnoteText"/>
      </w:pPr>
      <w:r>
        <w:rPr>
          <w:rStyle w:val="FootnoteReference"/>
        </w:rPr>
        <w:footnoteRef/>
      </w:r>
      <w:r>
        <w:t xml:space="preserve"> </w:t>
      </w:r>
      <w:r>
        <w:t xml:space="preserve">Watts 2023, PMID 35726641.</w:t>
      </w:r>
    </w:p>
  </w:footnote>
  <w:footnote w:id="1520">
    <w:p>
      <w:pPr>
        <w:pStyle w:val="FootnoteText"/>
      </w:pPr>
      <w:r>
        <w:rPr>
          <w:rStyle w:val="FootnoteReference"/>
        </w:rPr>
        <w:footnoteRef/>
      </w:r>
      <w:r>
        <w:t xml:space="preserve"> </w:t>
      </w:r>
      <w:r>
        <w:t xml:space="preserve">Murphy 2020, PMID 32169310 ; Murphy 2020, PMID 31884074.</w:t>
      </w:r>
    </w:p>
  </w:footnote>
  <w:footnote w:id="1521">
    <w:p>
      <w:pPr>
        <w:pStyle w:val="FootnoteText"/>
      </w:pPr>
      <w:r>
        <w:rPr>
          <w:rStyle w:val="FootnoteReference"/>
        </w:rPr>
        <w:footnoteRef/>
      </w:r>
      <w:r>
        <w:t xml:space="preserve"> </w:t>
      </w:r>
      <w:r>
        <w:t xml:space="preserve">Guevara-Aguirre 2011, PMID 21325617.</w:t>
      </w:r>
    </w:p>
  </w:footnote>
  <w:footnote w:id="1522">
    <w:p>
      <w:pPr>
        <w:pStyle w:val="FootnoteText"/>
      </w:pPr>
      <w:r>
        <w:rPr>
          <w:rStyle w:val="FootnoteReference"/>
        </w:rPr>
        <w:footnoteRef/>
      </w:r>
      <w:r>
        <w:t xml:space="preserve"> </w:t>
      </w:r>
      <w:r>
        <w:t xml:space="preserve">NCT00903110.</w:t>
      </w:r>
    </w:p>
  </w:footnote>
  <w:footnote w:id="1524">
    <w:p>
      <w:pPr>
        <w:pStyle w:val="FootnoteText"/>
      </w:pPr>
      <w:r>
        <w:rPr>
          <w:rStyle w:val="FootnoteReference"/>
        </w:rPr>
        <w:footnoteRef/>
      </w:r>
      <w:r>
        <w:t xml:space="preserve"> </w:t>
      </w:r>
      <w:r>
        <w:t xml:space="preserve">Saavedra 2026, PMID 42341624.</w:t>
      </w:r>
    </w:p>
  </w:footnote>
  <w:footnote w:id="1525">
    <w:p>
      <w:pPr>
        <w:pStyle w:val="FootnoteText"/>
      </w:pPr>
      <w:r>
        <w:rPr>
          <w:rStyle w:val="FootnoteReference"/>
        </w:rPr>
        <w:footnoteRef/>
      </w:r>
      <w:r>
        <w:t xml:space="preserve"> </w:t>
      </w:r>
      <w:r>
        <w:t xml:space="preserve">Guha 2013, PMID 23934394.</w:t>
      </w:r>
    </w:p>
  </w:footnote>
  <w:footnote w:id="1527">
    <w:p>
      <w:pPr>
        <w:pStyle w:val="FootnoteText"/>
      </w:pPr>
      <w:r>
        <w:rPr>
          <w:rStyle w:val="FootnoteReference"/>
        </w:rPr>
        <w:footnoteRef/>
      </w:r>
      <w:r>
        <w:t xml:space="preserve"> </w:t>
      </w:r>
      <w:r>
        <w:t xml:space="preserve">NCT00903110.</w:t>
      </w:r>
    </w:p>
  </w:footnote>
  <w:footnote w:id="1531">
    <w:p>
      <w:pPr>
        <w:pStyle w:val="FootnoteText"/>
      </w:pPr>
      <w:r>
        <w:rPr>
          <w:rStyle w:val="FootnoteReference"/>
        </w:rPr>
        <w:footnoteRef/>
      </w:r>
      <w:r>
        <w:t xml:space="preserve"> </w:t>
      </w:r>
      <w:r>
        <w:t xml:space="preserve">Bastian 1993, PMID 7693845 ; Tomas 1993, PMID 7683875.</w:t>
      </w:r>
    </w:p>
  </w:footnote>
  <w:footnote w:id="1533">
    <w:p>
      <w:pPr>
        <w:pStyle w:val="FootnoteText"/>
      </w:pPr>
      <w:r>
        <w:rPr>
          <w:rStyle w:val="FootnoteReference"/>
        </w:rPr>
        <w:footnoteRef/>
      </w:r>
      <w:r>
        <w:t xml:space="preserve"> </w:t>
      </w:r>
      <w:r>
        <w:t xml:space="preserve">Devi 2001, PMID 11735239.</w:t>
      </w:r>
    </w:p>
  </w:footnote>
  <w:footnote w:id="1534">
    <w:p>
      <w:pPr>
        <w:pStyle w:val="FootnoteText"/>
      </w:pPr>
      <w:r>
        <w:rPr>
          <w:rStyle w:val="FootnoteReference"/>
        </w:rPr>
        <w:footnoteRef/>
      </w:r>
      <w:r>
        <w:t xml:space="preserve"> </w:t>
      </w:r>
      <w:r>
        <w:t xml:space="preserve">Bastian 1993, PMID 7693845.</w:t>
      </w:r>
    </w:p>
  </w:footnote>
  <w:footnote w:id="1535">
    <w:p>
      <w:pPr>
        <w:pStyle w:val="FootnoteText"/>
      </w:pPr>
      <w:r>
        <w:rPr>
          <w:rStyle w:val="FootnoteReference"/>
        </w:rPr>
        <w:footnoteRef/>
      </w:r>
      <w:r>
        <w:t xml:space="preserve"> </w:t>
      </w:r>
      <w:r>
        <w:t xml:space="preserve">Tomas 1993, PMID 7683875.</w:t>
      </w:r>
    </w:p>
  </w:footnote>
  <w:footnote w:id="1537">
    <w:p>
      <w:pPr>
        <w:pStyle w:val="FootnoteText"/>
      </w:pPr>
      <w:r>
        <w:rPr>
          <w:rStyle w:val="FootnoteReference"/>
        </w:rPr>
        <w:footnoteRef/>
      </w:r>
      <w:r>
        <w:t xml:space="preserve"> </w:t>
      </w:r>
      <w:r>
        <w:t xml:space="preserve">Kohler 2010, PMID 20675162.</w:t>
      </w:r>
    </w:p>
  </w:footnote>
  <w:footnote w:id="1538">
    <w:p>
      <w:pPr>
        <w:pStyle w:val="FootnoteText"/>
      </w:pPr>
      <w:r>
        <w:rPr>
          <w:rStyle w:val="FootnoteReference"/>
        </w:rPr>
        <w:footnoteRef/>
      </w:r>
      <w:r>
        <w:t xml:space="preserve"> </w:t>
      </w:r>
      <w:r>
        <w:t xml:space="preserve">Mongongu 2021, PMID 33587816.</w:t>
      </w:r>
    </w:p>
  </w:footnote>
  <w:footnote w:id="1539">
    <w:p>
      <w:pPr>
        <w:pStyle w:val="FootnoteText"/>
      </w:pPr>
      <w:r>
        <w:rPr>
          <w:rStyle w:val="FootnoteReference"/>
        </w:rPr>
        <w:footnoteRef/>
      </w:r>
      <w:r>
        <w:t xml:space="preserve"> </w:t>
      </w:r>
      <w:r>
        <w:t xml:space="preserve">Guha 2013, PMID 23934394.</w:t>
      </w:r>
    </w:p>
  </w:footnote>
  <w:footnote w:id="1541">
    <w:p>
      <w:pPr>
        <w:pStyle w:val="FootnoteText"/>
      </w:pPr>
      <w:r>
        <w:rPr>
          <w:rStyle w:val="FootnoteReference"/>
        </w:rPr>
        <w:footnoteRef/>
      </w:r>
      <w:r>
        <w:t xml:space="preserve"> </w:t>
      </w:r>
      <w:r>
        <w:t xml:space="preserve">Bastian 1993, PMID 7693845.</w:t>
      </w:r>
    </w:p>
  </w:footnote>
  <w:footnote w:id="1542">
    <w:p>
      <w:pPr>
        <w:pStyle w:val="FootnoteText"/>
      </w:pPr>
      <w:r>
        <w:rPr>
          <w:rStyle w:val="FootnoteReference"/>
        </w:rPr>
        <w:footnoteRef/>
      </w:r>
      <w:r>
        <w:t xml:space="preserve"> </w:t>
      </w:r>
      <w:r>
        <w:t xml:space="preserve">Tomas 1993, PMID 7683875.</w:t>
      </w:r>
    </w:p>
  </w:footnote>
  <w:footnote w:id="1543">
    <w:p>
      <w:pPr>
        <w:pStyle w:val="FootnoteText"/>
      </w:pPr>
      <w:r>
        <w:rPr>
          <w:rStyle w:val="FootnoteReference"/>
        </w:rPr>
        <w:footnoteRef/>
      </w:r>
      <w:r>
        <w:t xml:space="preserve"> </w:t>
      </w:r>
      <w:r>
        <w:t xml:space="preserve">Dunaiski 1997, PMID 9488001.</w:t>
      </w:r>
    </w:p>
  </w:footnote>
  <w:footnote w:id="1544">
    <w:p>
      <w:pPr>
        <w:pStyle w:val="FootnoteText"/>
      </w:pPr>
      <w:r>
        <w:rPr>
          <w:rStyle w:val="FootnoteReference"/>
        </w:rPr>
        <w:footnoteRef/>
      </w:r>
      <w:r>
        <w:t xml:space="preserve"> </w:t>
      </w:r>
      <w:r>
        <w:t xml:space="preserve">Conlon 1995, PMID 7561636.</w:t>
      </w:r>
    </w:p>
  </w:footnote>
  <w:footnote w:id="1545">
    <w:p>
      <w:pPr>
        <w:pStyle w:val="FootnoteText"/>
      </w:pPr>
      <w:r>
        <w:rPr>
          <w:rStyle w:val="FootnoteReference"/>
        </w:rPr>
        <w:footnoteRef/>
      </w:r>
      <w:r>
        <w:t xml:space="preserve"> </w:t>
      </w:r>
      <w:r>
        <w:t xml:space="preserve">White 2023, PMID 37114757.</w:t>
      </w:r>
    </w:p>
  </w:footnote>
  <w:footnote w:id="1546">
    <w:p>
      <w:pPr>
        <w:pStyle w:val="FootnoteText"/>
      </w:pPr>
      <w:r>
        <w:rPr>
          <w:rStyle w:val="FootnoteReference"/>
        </w:rPr>
        <w:footnoteRef/>
      </w:r>
      <w:r>
        <w:t xml:space="preserve"> </w:t>
      </w:r>
      <w:r>
        <w:t xml:space="preserve">White 2025, PMID 39679943.</w:t>
      </w:r>
    </w:p>
  </w:footnote>
  <w:footnote w:id="1547">
    <w:p>
      <w:pPr>
        <w:pStyle w:val="FootnoteText"/>
      </w:pPr>
      <w:r>
        <w:rPr>
          <w:rStyle w:val="FootnoteReference"/>
        </w:rPr>
        <w:footnoteRef/>
      </w:r>
      <w:r>
        <w:t xml:space="preserve"> </w:t>
      </w:r>
      <w:r>
        <w:t xml:space="preserve">Engel 2025, PMID 39610283.</w:t>
      </w:r>
    </w:p>
  </w:footnote>
  <w:footnote w:id="1549">
    <w:p>
      <w:pPr>
        <w:pStyle w:val="FootnoteText"/>
      </w:pPr>
      <w:r>
        <w:rPr>
          <w:rStyle w:val="FootnoteReference"/>
        </w:rPr>
        <w:footnoteRef/>
      </w:r>
      <w:r>
        <w:t xml:space="preserve"> </w:t>
      </w:r>
      <w:r>
        <w:t xml:space="preserve">Chernausek 2007, PMID 17192294.</w:t>
      </w:r>
    </w:p>
  </w:footnote>
  <w:footnote w:id="1550">
    <w:p>
      <w:pPr>
        <w:pStyle w:val="FootnoteText"/>
      </w:pPr>
      <w:r>
        <w:rPr>
          <w:rStyle w:val="FootnoteReference"/>
        </w:rPr>
        <w:footnoteRef/>
      </w:r>
      <w:r>
        <w:t xml:space="preserve"> </w:t>
      </w:r>
      <w:r>
        <w:t xml:space="preserve">Dunaiski 1997, PMID 9488001 ; White 2023, PMID 37114757.</w:t>
      </w:r>
    </w:p>
  </w:footnote>
  <w:footnote w:id="1551">
    <w:p>
      <w:pPr>
        <w:pStyle w:val="FootnoteText"/>
      </w:pPr>
      <w:r>
        <w:rPr>
          <w:rStyle w:val="FootnoteReference"/>
        </w:rPr>
        <w:footnoteRef/>
      </w:r>
      <w:r>
        <w:t xml:space="preserve"> </w:t>
      </w:r>
      <w:r>
        <w:t xml:space="preserve">Conlon 1995, PMID 7561636.</w:t>
      </w:r>
    </w:p>
  </w:footnote>
  <w:footnote w:id="1552">
    <w:p>
      <w:pPr>
        <w:pStyle w:val="FootnoteText"/>
      </w:pPr>
      <w:r>
        <w:rPr>
          <w:rStyle w:val="FootnoteReference"/>
        </w:rPr>
        <w:footnoteRef/>
      </w:r>
      <w:r>
        <w:t xml:space="preserve"> </w:t>
      </w:r>
      <w:r>
        <w:t xml:space="preserve">Renehan 2004, PMID 15110491 ; Murphy 2020, PMID 32169310 ; Watts 2023, PMID 35726641.</w:t>
      </w:r>
    </w:p>
  </w:footnote>
  <w:footnote w:id="1553">
    <w:p>
      <w:pPr>
        <w:pStyle w:val="FootnoteText"/>
      </w:pPr>
      <w:r>
        <w:rPr>
          <w:rStyle w:val="FootnoteReference"/>
        </w:rPr>
        <w:footnoteRef/>
      </w:r>
      <w:r>
        <w:t xml:space="preserve"> </w:t>
      </w:r>
      <w:r>
        <w:t xml:space="preserve">Guevara-Aguirre 2011, PMID 21325617.</w:t>
      </w:r>
    </w:p>
  </w:footnote>
  <w:footnote w:id="1554">
    <w:p>
      <w:pPr>
        <w:pStyle w:val="FootnoteText"/>
      </w:pPr>
      <w:r>
        <w:rPr>
          <w:rStyle w:val="FootnoteReference"/>
        </w:rPr>
        <w:footnoteRef/>
      </w:r>
      <w:r>
        <w:t xml:space="preserve"> </w:t>
      </w:r>
      <w:r>
        <w:t xml:space="preserve">Kohler 2010, PMID 20675162 ; Mongongu 2021, PMID 33587816.</w:t>
      </w:r>
    </w:p>
  </w:footnote>
  <w:footnote w:id="1556">
    <w:p>
      <w:pPr>
        <w:pStyle w:val="FootnoteText"/>
      </w:pPr>
      <w:r>
        <w:rPr>
          <w:rStyle w:val="FootnoteReference"/>
        </w:rPr>
        <w:footnoteRef/>
      </w:r>
      <w:r>
        <w:t xml:space="preserve"> </w:t>
      </w:r>
      <w:r>
        <w:t xml:space="preserve">Mongongu 2021, PMID 33587816.</w:t>
      </w:r>
    </w:p>
  </w:footnote>
  <w:footnote w:id="1561">
    <w:p>
      <w:pPr>
        <w:pStyle w:val="FootnoteText"/>
      </w:pPr>
      <w:r>
        <w:rPr>
          <w:rStyle w:val="FootnoteReference"/>
        </w:rPr>
        <w:footnoteRef/>
      </w:r>
      <w:r>
        <w:t xml:space="preserve"> </w:t>
      </w:r>
      <w:r>
        <w:t xml:space="preserve">Bright 2022, PMID 35354138.</w:t>
      </w:r>
    </w:p>
  </w:footnote>
  <w:footnote w:id="1563">
    <w:p>
      <w:pPr>
        <w:pStyle w:val="FootnoteText"/>
      </w:pPr>
      <w:r>
        <w:rPr>
          <w:rStyle w:val="FootnoteReference"/>
        </w:rPr>
        <w:footnoteRef/>
      </w:r>
      <w:r>
        <w:t xml:space="preserve"> </w:t>
      </w:r>
      <w:r>
        <w:t xml:space="preserve">Chapman 1996, PMID 8954023.</w:t>
      </w:r>
    </w:p>
  </w:footnote>
  <w:footnote w:id="1565">
    <w:p>
      <w:pPr>
        <w:pStyle w:val="FootnoteText"/>
      </w:pPr>
      <w:r>
        <w:rPr>
          <w:rStyle w:val="FootnoteReference"/>
        </w:rPr>
        <w:footnoteRef/>
      </w:r>
      <w:r>
        <w:t xml:space="preserve"> </w:t>
      </w:r>
      <w:r>
        <w:t xml:space="preserve">Nass 2008, PMID 18981485.</w:t>
      </w:r>
    </w:p>
  </w:footnote>
  <w:footnote w:id="1567">
    <w:p>
      <w:pPr>
        <w:pStyle w:val="FootnoteText"/>
      </w:pPr>
      <w:r>
        <w:rPr>
          <w:rStyle w:val="FootnoteReference"/>
        </w:rPr>
        <w:footnoteRef/>
      </w:r>
      <w:r>
        <w:t xml:space="preserve"> </w:t>
      </w:r>
      <w:r>
        <w:t xml:space="preserve">Bach 2004, PMID 15066065.</w:t>
      </w:r>
    </w:p>
  </w:footnote>
  <w:footnote w:id="1568">
    <w:p>
      <w:pPr>
        <w:pStyle w:val="FootnoteText"/>
      </w:pPr>
      <w:r>
        <w:rPr>
          <w:rStyle w:val="FootnoteReference"/>
        </w:rPr>
        <w:footnoteRef/>
      </w:r>
      <w:r>
        <w:t xml:space="preserve"> </w:t>
      </w:r>
      <w:r>
        <w:t xml:space="preserve">Adunsky 2011, PMID 21067829.</w:t>
      </w:r>
    </w:p>
  </w:footnote>
  <w:footnote w:id="1570">
    <w:p>
      <w:pPr>
        <w:pStyle w:val="FootnoteText"/>
      </w:pPr>
      <w:r>
        <w:rPr>
          <w:rStyle w:val="FootnoteReference"/>
        </w:rPr>
        <w:footnoteRef/>
      </w:r>
      <w:r>
        <w:t xml:space="preserve"> </w:t>
      </w:r>
      <w:r>
        <w:t xml:space="preserve">Sevigny 2008, PMID 19015485.</w:t>
      </w:r>
    </w:p>
  </w:footnote>
  <w:footnote w:id="1572">
    <w:p>
      <w:pPr>
        <w:pStyle w:val="FootnoteText"/>
      </w:pPr>
      <w:r>
        <w:rPr>
          <w:rStyle w:val="FootnoteReference"/>
        </w:rPr>
        <w:footnoteRef/>
      </w:r>
      <w:r>
        <w:t xml:space="preserve"> </w:t>
      </w:r>
      <w:r>
        <w:t xml:space="preserve">Svensson 1998, PMID 9467542.</w:t>
      </w:r>
    </w:p>
  </w:footnote>
  <w:footnote w:id="1573">
    <w:p>
      <w:pPr>
        <w:pStyle w:val="FootnoteText"/>
      </w:pPr>
      <w:r>
        <w:rPr>
          <w:rStyle w:val="FootnoteReference"/>
        </w:rPr>
        <w:footnoteRef/>
      </w:r>
      <w:r>
        <w:t xml:space="preserve"> </w:t>
      </w:r>
      <w:r>
        <w:t xml:space="preserve">Murphy 2001, PMID 11238495.</w:t>
      </w:r>
    </w:p>
  </w:footnote>
  <w:footnote w:id="1574">
    <w:p>
      <w:pPr>
        <w:pStyle w:val="FootnoteText"/>
      </w:pPr>
      <w:r>
        <w:rPr>
          <w:rStyle w:val="FootnoteReference"/>
        </w:rPr>
        <w:footnoteRef/>
      </w:r>
      <w:r>
        <w:t xml:space="preserve"> </w:t>
      </w:r>
      <w:r>
        <w:t xml:space="preserve">Copinschi 1997, PMID 9349662.</w:t>
      </w:r>
    </w:p>
  </w:footnote>
  <w:footnote w:id="1575">
    <w:p>
      <w:pPr>
        <w:pStyle w:val="FootnoteText"/>
      </w:pPr>
      <w:r>
        <w:rPr>
          <w:rStyle w:val="FootnoteReference"/>
        </w:rPr>
        <w:footnoteRef/>
      </w:r>
      <w:r>
        <w:t xml:space="preserve"> </w:t>
      </w:r>
      <w:r>
        <w:t xml:space="preserve">Campbell 2018, PMID 28340044.</w:t>
      </w:r>
    </w:p>
  </w:footnote>
  <w:footnote w:id="1576">
    <w:p>
      <w:pPr>
        <w:pStyle w:val="FootnoteText"/>
      </w:pPr>
      <w:r>
        <w:rPr>
          <w:rStyle w:val="FootnoteReference"/>
        </w:rPr>
        <w:footnoteRef/>
      </w:r>
      <w:r>
        <w:t xml:space="preserve"> </w:t>
      </w:r>
      <w:r>
        <w:t xml:space="preserve">Codner 2001, PMID 11452249.</w:t>
      </w:r>
    </w:p>
  </w:footnote>
  <w:footnote w:id="1577">
    <w:p>
      <w:pPr>
        <w:pStyle w:val="FootnoteText"/>
      </w:pPr>
      <w:r>
        <w:rPr>
          <w:rStyle w:val="FootnoteReference"/>
        </w:rPr>
        <w:footnoteRef/>
      </w:r>
      <w:r>
        <w:t xml:space="preserve"> </w:t>
      </w:r>
      <w:r>
        <w:t xml:space="preserve">Bright 2022, PMID 35354138.</w:t>
      </w:r>
    </w:p>
  </w:footnote>
  <w:footnote w:id="1580">
    <w:p>
      <w:pPr>
        <w:pStyle w:val="FootnoteText"/>
      </w:pPr>
      <w:r>
        <w:rPr>
          <w:rStyle w:val="FootnoteReference"/>
        </w:rPr>
        <w:footnoteRef/>
      </w:r>
      <w:r>
        <w:t xml:space="preserve"> </w:t>
      </w:r>
      <w:r>
        <w:t xml:space="preserve">Jeong 2018, PMID 29912176.</w:t>
      </w:r>
    </w:p>
  </w:footnote>
  <w:footnote w:id="1581">
    <w:p>
      <w:pPr>
        <w:pStyle w:val="FootnoteText"/>
      </w:pPr>
      <w:r>
        <w:rPr>
          <w:rStyle w:val="FootnoteReference"/>
        </w:rPr>
        <w:footnoteRef/>
      </w:r>
      <w:r>
        <w:t xml:space="preserve"> </w:t>
      </w:r>
      <w:r>
        <w:t xml:space="preserve">Liu 2021, PMID 34737341.</w:t>
      </w:r>
    </w:p>
  </w:footnote>
  <w:footnote w:id="1583">
    <w:p>
      <w:pPr>
        <w:pStyle w:val="FootnoteText"/>
      </w:pPr>
      <w:r>
        <w:rPr>
          <w:rStyle w:val="FootnoteReference"/>
        </w:rPr>
        <w:footnoteRef/>
      </w:r>
      <w:r>
        <w:t xml:space="preserve"> </w:t>
      </w:r>
      <w:r>
        <w:t xml:space="preserve">Adunsky 2011, PMID 21067829.</w:t>
      </w:r>
    </w:p>
  </w:footnote>
  <w:footnote w:id="1584">
    <w:p>
      <w:pPr>
        <w:pStyle w:val="FootnoteText"/>
      </w:pPr>
      <w:r>
        <w:rPr>
          <w:rStyle w:val="FootnoteReference"/>
        </w:rPr>
        <w:footnoteRef/>
      </w:r>
      <w:r>
        <w:t xml:space="preserve"> </w:t>
      </w:r>
      <w:r>
        <w:t xml:space="preserve">Nass 2008, PMID 18981485 ; Chapman 1996, PMID 8954023.</w:t>
      </w:r>
    </w:p>
  </w:footnote>
  <w:footnote w:id="1585">
    <w:p>
      <w:pPr>
        <w:pStyle w:val="FootnoteText"/>
      </w:pPr>
      <w:r>
        <w:rPr>
          <w:rStyle w:val="FootnoteReference"/>
        </w:rPr>
        <w:footnoteRef/>
      </w:r>
      <w:r>
        <w:t xml:space="preserve"> </w:t>
      </w:r>
      <w:r>
        <w:t xml:space="preserve">Svensson 1998, PMID 9467542.</w:t>
      </w:r>
    </w:p>
  </w:footnote>
  <w:footnote w:id="1586">
    <w:p>
      <w:pPr>
        <w:pStyle w:val="FootnoteText"/>
      </w:pPr>
      <w:r>
        <w:rPr>
          <w:rStyle w:val="FootnoteReference"/>
        </w:rPr>
        <w:footnoteRef/>
      </w:r>
      <w:r>
        <w:t xml:space="preserve"> </w:t>
      </w:r>
      <w:r>
        <w:t xml:space="preserve">Nass 2008, PMID 18981485.</w:t>
      </w:r>
    </w:p>
  </w:footnote>
  <w:footnote w:id="1587">
    <w:p>
      <w:pPr>
        <w:pStyle w:val="FootnoteText"/>
      </w:pPr>
      <w:r>
        <w:rPr>
          <w:rStyle w:val="FootnoteReference"/>
        </w:rPr>
        <w:footnoteRef/>
      </w:r>
      <w:r>
        <w:t xml:space="preserve"> </w:t>
      </w:r>
      <w:r>
        <w:t xml:space="preserve">Nass 2008, PMID 18981485.</w:t>
      </w:r>
    </w:p>
  </w:footnote>
  <w:footnote w:id="1588">
    <w:p>
      <w:pPr>
        <w:pStyle w:val="FootnoteText"/>
      </w:pPr>
      <w:r>
        <w:rPr>
          <w:rStyle w:val="FootnoteReference"/>
        </w:rPr>
        <w:footnoteRef/>
      </w:r>
      <w:r>
        <w:t xml:space="preserve"> </w:t>
      </w:r>
      <w:r>
        <w:t xml:space="preserve">Cobani 2025, PMID 40675653.</w:t>
      </w:r>
    </w:p>
  </w:footnote>
  <w:footnote w:id="1589">
    <w:p>
      <w:pPr>
        <w:pStyle w:val="FootnoteText"/>
      </w:pPr>
      <w:r>
        <w:rPr>
          <w:rStyle w:val="FootnoteReference"/>
        </w:rPr>
        <w:footnoteRef/>
      </w:r>
      <w:r>
        <w:t xml:space="preserve"> </w:t>
      </w:r>
      <w:r>
        <w:t xml:space="preserve">Chong 2024, PMID 39145153.</w:t>
      </w:r>
    </w:p>
  </w:footnote>
  <w:footnote w:id="1590">
    <w:p>
      <w:pPr>
        <w:pStyle w:val="FootnoteText"/>
      </w:pPr>
      <w:r>
        <w:rPr>
          <w:rStyle w:val="FootnoteReference"/>
        </w:rPr>
        <w:footnoteRef/>
      </w:r>
      <w:r>
        <w:t xml:space="preserve"> </w:t>
      </w:r>
      <w:r>
        <w:t xml:space="preserve">Sigalos 2018, PMID 28400207.</w:t>
      </w:r>
    </w:p>
  </w:footnote>
  <w:footnote w:id="1591">
    <w:p>
      <w:pPr>
        <w:pStyle w:val="FootnoteText"/>
      </w:pPr>
      <w:r>
        <w:rPr>
          <w:rStyle w:val="FootnoteReference"/>
        </w:rPr>
        <w:footnoteRef/>
      </w:r>
      <w:r>
        <w:t xml:space="preserve"> </w:t>
      </w:r>
      <w:r>
        <w:t xml:space="preserve">Van Wagoner 2017, PMID 29183075.</w:t>
      </w:r>
    </w:p>
  </w:footnote>
  <w:footnote w:id="1592">
    <w:p>
      <w:pPr>
        <w:pStyle w:val="FootnoteText"/>
      </w:pPr>
      <w:r>
        <w:rPr>
          <w:rStyle w:val="FootnoteReference"/>
        </w:rPr>
        <w:footnoteRef/>
      </w:r>
      <w:r>
        <w:t xml:space="preserve"> </w:t>
      </w:r>
      <w:r>
        <w:t xml:space="preserve">Barrios 2025, PMID 40551438.</w:t>
      </w:r>
    </w:p>
  </w:footnote>
  <w:footnote w:id="1594">
    <w:p>
      <w:pPr>
        <w:pStyle w:val="FootnoteText"/>
      </w:pPr>
      <w:r>
        <w:rPr>
          <w:rStyle w:val="FootnoteReference"/>
        </w:rPr>
        <w:footnoteRef/>
      </w:r>
      <w:r>
        <w:t xml:space="preserve"> </w:t>
      </w:r>
      <w:r>
        <w:t xml:space="preserve">Viljanto 2023, PMID 36354265.</w:t>
      </w:r>
    </w:p>
  </w:footnote>
  <w:footnote w:id="1596">
    <w:p>
      <w:pPr>
        <w:pStyle w:val="FootnoteText"/>
      </w:pPr>
      <w:r>
        <w:rPr>
          <w:rStyle w:val="FootnoteReference"/>
        </w:rPr>
        <w:footnoteRef/>
      </w:r>
      <w:r>
        <w:t xml:space="preserve"> </w:t>
      </w:r>
      <w:r>
        <w:t xml:space="preserve">NCT04614337.</w:t>
      </w:r>
    </w:p>
  </w:footnote>
  <w:footnote w:id="1597">
    <w:p>
      <w:pPr>
        <w:pStyle w:val="FootnoteText"/>
      </w:pPr>
      <w:r>
        <w:rPr>
          <w:rStyle w:val="FootnoteReference"/>
        </w:rPr>
        <w:footnoteRef/>
      </w:r>
      <w:r>
        <w:t xml:space="preserve"> </w:t>
      </w:r>
      <w:r>
        <w:t xml:space="preserve">NCT06948214.</w:t>
      </w:r>
    </w:p>
  </w:footnote>
  <w:footnote w:id="1598">
    <w:p>
      <w:pPr>
        <w:pStyle w:val="FootnoteText"/>
      </w:pPr>
      <w:r>
        <w:rPr>
          <w:rStyle w:val="FootnoteReference"/>
        </w:rPr>
        <w:footnoteRef/>
      </w:r>
      <w:r>
        <w:t xml:space="preserve"> </w:t>
      </w:r>
      <w:r>
        <w:t xml:space="preserve">NCT07129759.</w:t>
      </w:r>
    </w:p>
  </w:footnote>
  <w:footnote w:id="1599">
    <w:p>
      <w:pPr>
        <w:pStyle w:val="FootnoteText"/>
      </w:pPr>
      <w:r>
        <w:rPr>
          <w:rStyle w:val="FootnoteReference"/>
        </w:rPr>
        <w:footnoteRef/>
      </w:r>
      <w:r>
        <w:t xml:space="preserve"> </w:t>
      </w:r>
      <w:r>
        <w:t xml:space="preserve">NCT07754045.</w:t>
      </w:r>
    </w:p>
  </w:footnote>
  <w:footnote w:id="1610">
    <w:p>
      <w:pPr>
        <w:pStyle w:val="FootnoteText"/>
      </w:pPr>
      <w:r>
        <w:rPr>
          <w:rStyle w:val="FootnoteReference"/>
        </w:rPr>
        <w:footnoteRef/>
      </w:r>
      <w:r>
        <w:t xml:space="preserve"> </w:t>
      </w:r>
      <w:r>
        <w:t xml:space="preserve">Dolotov 2006, PMID 16635254.</w:t>
      </w:r>
    </w:p>
  </w:footnote>
  <w:footnote w:id="1611">
    <w:p>
      <w:pPr>
        <w:pStyle w:val="FootnoteText"/>
      </w:pPr>
      <w:r>
        <w:rPr>
          <w:rStyle w:val="FootnoteReference"/>
        </w:rPr>
        <w:footnoteRef/>
      </w:r>
      <w:r>
        <w:t xml:space="preserve"> </w:t>
      </w:r>
      <w:r>
        <w:t xml:space="preserve">Medvedeva 2014, PMID 24661604.</w:t>
      </w:r>
    </w:p>
  </w:footnote>
  <w:footnote w:id="1613">
    <w:p>
      <w:pPr>
        <w:pStyle w:val="FootnoteText"/>
      </w:pPr>
      <w:r>
        <w:rPr>
          <w:rStyle w:val="FootnoteReference"/>
        </w:rPr>
        <w:footnoteRef/>
      </w:r>
      <w:r>
        <w:t xml:space="preserve"> </w:t>
      </w:r>
      <w:r>
        <w:t xml:space="preserve">Gusev 1997, PMID 11517472.</w:t>
      </w:r>
    </w:p>
  </w:footnote>
  <w:footnote w:id="1614">
    <w:p>
      <w:pPr>
        <w:pStyle w:val="FootnoteText"/>
      </w:pPr>
      <w:r>
        <w:rPr>
          <w:rStyle w:val="FootnoteReference"/>
        </w:rPr>
        <w:footnoteRef/>
      </w:r>
      <w:r>
        <w:t xml:space="preserve"> </w:t>
      </w:r>
      <w:r>
        <w:t xml:space="preserve">Miasoedova 1999, PMID 10358912.</w:t>
      </w:r>
    </w:p>
  </w:footnote>
  <w:footnote w:id="1615">
    <w:p>
      <w:pPr>
        <w:pStyle w:val="FootnoteText"/>
      </w:pPr>
      <w:r>
        <w:rPr>
          <w:rStyle w:val="FootnoteReference"/>
        </w:rPr>
        <w:footnoteRef/>
      </w:r>
      <w:r>
        <w:t xml:space="preserve"> </w:t>
      </w:r>
      <w:r>
        <w:t xml:space="preserve">Gusev 2018, PMID 29798983.</w:t>
      </w:r>
    </w:p>
  </w:footnote>
  <w:footnote w:id="1617">
    <w:p>
      <w:pPr>
        <w:pStyle w:val="FootnoteText"/>
      </w:pPr>
      <w:r>
        <w:rPr>
          <w:rStyle w:val="FootnoteReference"/>
        </w:rPr>
        <w:footnoteRef/>
      </w:r>
      <w:r>
        <w:t xml:space="preserve"> </w:t>
      </w:r>
      <w:r>
        <w:t xml:space="preserve">Serdiuk 2007, PMID 18379501.</w:t>
      </w:r>
    </w:p>
  </w:footnote>
  <w:footnote w:id="1618">
    <w:p>
      <w:pPr>
        <w:pStyle w:val="FootnoteText"/>
      </w:pPr>
      <w:r>
        <w:rPr>
          <w:rStyle w:val="FootnoteReference"/>
        </w:rPr>
        <w:footnoteRef/>
      </w:r>
      <w:r>
        <w:t xml:space="preserve"> </w:t>
      </w:r>
      <w:r>
        <w:t xml:space="preserve">Polunin 2000, PMID 10741256.</w:t>
      </w:r>
    </w:p>
  </w:footnote>
  <w:footnote w:id="1619">
    <w:p>
      <w:pPr>
        <w:pStyle w:val="FootnoteText"/>
      </w:pPr>
      <w:r>
        <w:rPr>
          <w:rStyle w:val="FootnoteReference"/>
        </w:rPr>
        <w:footnoteRef/>
      </w:r>
      <w:r>
        <w:t xml:space="preserve"> </w:t>
      </w:r>
      <w:r>
        <w:t xml:space="preserve">Alekseeva 1999, PMID 10199046.</w:t>
      </w:r>
    </w:p>
  </w:footnote>
  <w:footnote w:id="1620">
    <w:p>
      <w:pPr>
        <w:pStyle w:val="FootnoteText"/>
      </w:pPr>
      <w:r>
        <w:rPr>
          <w:rStyle w:val="FootnoteReference"/>
        </w:rPr>
        <w:footnoteRef/>
      </w:r>
      <w:r>
        <w:t xml:space="preserve"> </w:t>
      </w:r>
      <w:r>
        <w:t xml:space="preserve">Ivanikov 2002, PMID 12459874.</w:t>
      </w:r>
    </w:p>
  </w:footnote>
  <w:footnote w:id="1622">
    <w:p>
      <w:pPr>
        <w:pStyle w:val="FootnoteText"/>
      </w:pPr>
      <w:r>
        <w:rPr>
          <w:rStyle w:val="FootnoteReference"/>
        </w:rPr>
        <w:footnoteRef/>
      </w:r>
      <w:r>
        <w:t xml:space="preserve"> </w:t>
      </w:r>
      <w:r>
        <w:t xml:space="preserve">Asmarin 1997, PMID 9173745.</w:t>
      </w:r>
    </w:p>
  </w:footnote>
  <w:footnote w:id="1625">
    <w:p>
      <w:pPr>
        <w:pStyle w:val="FootnoteText"/>
      </w:pPr>
      <w:r>
        <w:rPr>
          <w:rStyle w:val="FootnoteReference"/>
        </w:rPr>
        <w:footnoteRef/>
      </w:r>
      <w:r>
        <w:t xml:space="preserve"> </w:t>
      </w:r>
      <w:r>
        <w:t xml:space="preserve">Medvedeva 2014, PMID 24661604.</w:t>
      </w:r>
    </w:p>
  </w:footnote>
  <w:footnote w:id="1626">
    <w:p>
      <w:pPr>
        <w:pStyle w:val="FootnoteText"/>
      </w:pPr>
      <w:r>
        <w:rPr>
          <w:rStyle w:val="FootnoteReference"/>
        </w:rPr>
        <w:footnoteRef/>
      </w:r>
      <w:r>
        <w:t xml:space="preserve"> </w:t>
      </w:r>
      <w:r>
        <w:t xml:space="preserve">Levitskaya 2004, PMID 15341218.</w:t>
      </w:r>
    </w:p>
  </w:footnote>
  <w:footnote w:id="1627">
    <w:p>
      <w:pPr>
        <w:pStyle w:val="FootnoteText"/>
      </w:pPr>
      <w:r>
        <w:rPr>
          <w:rStyle w:val="FootnoteReference"/>
        </w:rPr>
        <w:footnoteRef/>
      </w:r>
      <w:r>
        <w:t xml:space="preserve"> </w:t>
      </w:r>
      <w:r>
        <w:t xml:space="preserve">Radchenko 2025, PMID 41479572.</w:t>
      </w:r>
    </w:p>
  </w:footnote>
  <w:footnote w:id="1628">
    <w:p>
      <w:pPr>
        <w:pStyle w:val="FootnoteText"/>
      </w:pPr>
      <w:r>
        <w:rPr>
          <w:rStyle w:val="FootnoteReference"/>
        </w:rPr>
        <w:footnoteRef/>
      </w:r>
      <w:r>
        <w:t xml:space="preserve"> </w:t>
      </w:r>
      <w:r>
        <w:t xml:space="preserve">Tomasello 2025, PMID 40496623.</w:t>
      </w:r>
    </w:p>
  </w:footnote>
  <w:footnote w:id="1630">
    <w:p>
      <w:pPr>
        <w:pStyle w:val="FootnoteText"/>
      </w:pPr>
      <w:r>
        <w:rPr>
          <w:rStyle w:val="FootnoteReference"/>
        </w:rPr>
        <w:footnoteRef/>
      </w:r>
      <w:r>
        <w:t xml:space="preserve"> </w:t>
      </w:r>
      <w:r>
        <w:t xml:space="preserve">Gusev 2005, PMID 15792140.</w:t>
      </w:r>
    </w:p>
  </w:footnote>
  <w:footnote w:id="1631">
    <w:p>
      <w:pPr>
        <w:pStyle w:val="FootnoteText"/>
      </w:pPr>
      <w:r>
        <w:rPr>
          <w:rStyle w:val="FootnoteReference"/>
        </w:rPr>
        <w:footnoteRef/>
      </w:r>
      <w:r>
        <w:t xml:space="preserve"> </w:t>
      </w:r>
      <w:r>
        <w:t xml:space="preserve">Alekseeva 1999, PMID 10199046.</w:t>
      </w:r>
    </w:p>
  </w:footnote>
  <w:footnote w:id="1632">
    <w:p>
      <w:pPr>
        <w:pStyle w:val="FootnoteText"/>
      </w:pPr>
      <w:r>
        <w:rPr>
          <w:rStyle w:val="FootnoteReference"/>
        </w:rPr>
        <w:footnoteRef/>
      </w:r>
      <w:r>
        <w:t xml:space="preserve"> </w:t>
      </w:r>
      <w:r>
        <w:t xml:space="preserve">Vanhee 2020, PMID 31667971.</w:t>
      </w:r>
    </w:p>
  </w:footnote>
  <w:footnote w:id="1639">
    <w:p>
      <w:pPr>
        <w:pStyle w:val="FootnoteText"/>
      </w:pPr>
      <w:r>
        <w:rPr>
          <w:rStyle w:val="FootnoteReference"/>
        </w:rPr>
        <w:footnoteRef/>
      </w:r>
      <w:r>
        <w:t xml:space="preserve"> </w:t>
      </w:r>
      <w:r>
        <w:t xml:space="preserve">Zozulya 2001, PMID 11550013.</w:t>
      </w:r>
    </w:p>
  </w:footnote>
  <w:footnote w:id="1640">
    <w:p>
      <w:pPr>
        <w:pStyle w:val="FootnoteText"/>
      </w:pPr>
      <w:r>
        <w:rPr>
          <w:rStyle w:val="FootnoteReference"/>
        </w:rPr>
        <w:footnoteRef/>
      </w:r>
      <w:r>
        <w:t xml:space="preserve"> </w:t>
      </w:r>
      <w:r>
        <w:t xml:space="preserve">Volkova 2016, PMID 26924987.</w:t>
      </w:r>
    </w:p>
  </w:footnote>
  <w:footnote w:id="1641">
    <w:p>
      <w:pPr>
        <w:pStyle w:val="FootnoteText"/>
      </w:pPr>
      <w:r>
        <w:rPr>
          <w:rStyle w:val="FootnoteReference"/>
        </w:rPr>
        <w:footnoteRef/>
      </w:r>
      <w:r>
        <w:t xml:space="preserve"> </w:t>
      </w:r>
      <w:r>
        <w:t xml:space="preserve">Ershov 2009, PMID 19882898.</w:t>
      </w:r>
    </w:p>
  </w:footnote>
  <w:footnote w:id="1643">
    <w:p>
      <w:pPr>
        <w:pStyle w:val="FootnoteText"/>
      </w:pPr>
      <w:r>
        <w:rPr>
          <w:rStyle w:val="FootnoteReference"/>
        </w:rPr>
        <w:footnoteRef/>
      </w:r>
      <w:r>
        <w:t xml:space="preserve"> </w:t>
      </w:r>
      <w:r>
        <w:t xml:space="preserve">Zozulia 2008, PMID 18454096.</w:t>
      </w:r>
    </w:p>
  </w:footnote>
  <w:footnote w:id="1644">
    <w:p>
      <w:pPr>
        <w:pStyle w:val="FootnoteText"/>
      </w:pPr>
      <w:r>
        <w:rPr>
          <w:rStyle w:val="FootnoteReference"/>
        </w:rPr>
        <w:footnoteRef/>
      </w:r>
      <w:r>
        <w:t xml:space="preserve"> </w:t>
      </w:r>
      <w:r>
        <w:t xml:space="preserve">Medvedev 2014, PMID 25176261.</w:t>
      </w:r>
    </w:p>
  </w:footnote>
  <w:footnote w:id="1645">
    <w:p>
      <w:pPr>
        <w:pStyle w:val="FootnoteText"/>
      </w:pPr>
      <w:r>
        <w:rPr>
          <w:rStyle w:val="FootnoteReference"/>
        </w:rPr>
        <w:footnoteRef/>
      </w:r>
      <w:r>
        <w:t xml:space="preserve"> </w:t>
      </w:r>
      <w:r>
        <w:t xml:space="preserve">Medvedev 2015, PMID 26356395.</w:t>
      </w:r>
    </w:p>
  </w:footnote>
  <w:footnote w:id="1647">
    <w:p>
      <w:pPr>
        <w:pStyle w:val="FootnoteText"/>
      </w:pPr>
      <w:r>
        <w:rPr>
          <w:rStyle w:val="FootnoteReference"/>
        </w:rPr>
        <w:footnoteRef/>
      </w:r>
      <w:r>
        <w:t xml:space="preserve"> </w:t>
      </w:r>
      <w:r>
        <w:t xml:space="preserve">Uchakina 2008, PMID 18577961.</w:t>
      </w:r>
    </w:p>
  </w:footnote>
  <w:footnote w:id="1648">
    <w:p>
      <w:pPr>
        <w:pStyle w:val="FootnoteText"/>
      </w:pPr>
      <w:r>
        <w:rPr>
          <w:rStyle w:val="FootnoteReference"/>
        </w:rPr>
        <w:footnoteRef/>
      </w:r>
      <w:r>
        <w:t xml:space="preserve"> </w:t>
      </w:r>
      <w:r>
        <w:t xml:space="preserve">Panikratova 2020, PMID 32342318.</w:t>
      </w:r>
    </w:p>
  </w:footnote>
  <w:footnote w:id="1651">
    <w:p>
      <w:pPr>
        <w:pStyle w:val="FootnoteText"/>
      </w:pPr>
      <w:r>
        <w:rPr>
          <w:rStyle w:val="FootnoteReference"/>
        </w:rPr>
        <w:footnoteRef/>
      </w:r>
      <w:r>
        <w:t xml:space="preserve"> </w:t>
      </w:r>
      <w:r>
        <w:t xml:space="preserve">Kolik 2019, PMID 31625062.</w:t>
      </w:r>
    </w:p>
  </w:footnote>
  <w:footnote w:id="1652">
    <w:p>
      <w:pPr>
        <w:pStyle w:val="FootnoteText"/>
      </w:pPr>
      <w:r>
        <w:rPr>
          <w:rStyle w:val="FootnoteReference"/>
        </w:rPr>
        <w:footnoteRef/>
      </w:r>
      <w:r>
        <w:t xml:space="preserve"> </w:t>
      </w:r>
      <w:r>
        <w:t xml:space="preserve">Volkova 2016, PMID 26924987.</w:t>
      </w:r>
    </w:p>
  </w:footnote>
  <w:footnote w:id="1653">
    <w:p>
      <w:pPr>
        <w:pStyle w:val="FootnoteText"/>
      </w:pPr>
      <w:r>
        <w:rPr>
          <w:rStyle w:val="FootnoteReference"/>
        </w:rPr>
        <w:footnoteRef/>
      </w:r>
      <w:r>
        <w:t xml:space="preserve"> </w:t>
      </w:r>
      <w:r>
        <w:t xml:space="preserve">Ershov 2009, PMID 19882898.</w:t>
      </w:r>
    </w:p>
  </w:footnote>
  <w:footnote w:id="1655">
    <w:p>
      <w:pPr>
        <w:pStyle w:val="FootnoteText"/>
      </w:pPr>
      <w:r>
        <w:rPr>
          <w:rStyle w:val="FootnoteReference"/>
        </w:rPr>
        <w:footnoteRef/>
      </w:r>
      <w:r>
        <w:t xml:space="preserve"> </w:t>
      </w:r>
      <w:r>
        <w:t xml:space="preserve">Vanhee 2020, PMID 31667971.</w:t>
      </w:r>
    </w:p>
  </w:footnote>
  <w:footnote w:id="1663">
    <w:p>
      <w:pPr>
        <w:pStyle w:val="FootnoteText"/>
      </w:pPr>
      <w:r>
        <w:rPr>
          <w:rStyle w:val="FootnoteReference"/>
        </w:rPr>
        <w:footnoteRef/>
      </w:r>
      <w:r>
        <w:t xml:space="preserve"> </w:t>
      </w:r>
      <w:r>
        <w:t xml:space="preserve">Hong 2009, PMID 19765131.</w:t>
      </w:r>
    </w:p>
  </w:footnote>
  <w:footnote w:id="1664">
    <w:p>
      <w:pPr>
        <w:pStyle w:val="FootnoteText"/>
      </w:pPr>
      <w:r>
        <w:rPr>
          <w:rStyle w:val="FootnoteReference"/>
        </w:rPr>
        <w:footnoteRef/>
      </w:r>
      <w:r>
        <w:t xml:space="preserve"> </w:t>
      </w:r>
      <w:r>
        <w:t xml:space="preserve">NCT00868283.</w:t>
      </w:r>
    </w:p>
  </w:footnote>
  <w:footnote w:id="1665">
    <w:p>
      <w:pPr>
        <w:pStyle w:val="FootnoteText"/>
      </w:pPr>
      <w:r>
        <w:rPr>
          <w:rStyle w:val="FootnoteReference"/>
        </w:rPr>
        <w:footnoteRef/>
      </w:r>
      <w:r>
        <w:t xml:space="preserve"> </w:t>
      </w:r>
      <w:r>
        <w:t xml:space="preserve">Heiss 2012, PMID 22282884.</w:t>
      </w:r>
    </w:p>
  </w:footnote>
  <w:footnote w:id="1666">
    <w:p>
      <w:pPr>
        <w:pStyle w:val="FootnoteText"/>
      </w:pPr>
      <w:r>
        <w:rPr>
          <w:rStyle w:val="FootnoteReference"/>
        </w:rPr>
        <w:footnoteRef/>
      </w:r>
      <w:r>
        <w:t xml:space="preserve"> </w:t>
      </w:r>
      <w:r>
        <w:t xml:space="preserve">Lang 2013, PMID 23009193.</w:t>
      </w:r>
    </w:p>
  </w:footnote>
  <w:footnote w:id="1667">
    <w:p>
      <w:pPr>
        <w:pStyle w:val="FootnoteText"/>
      </w:pPr>
      <w:r>
        <w:rPr>
          <w:rStyle w:val="FootnoteReference"/>
        </w:rPr>
        <w:footnoteRef/>
      </w:r>
      <w:r>
        <w:t xml:space="preserve"> </w:t>
      </w:r>
      <w:r>
        <w:t xml:space="preserve">Khasanova 2023, PMID 36973684.</w:t>
      </w:r>
    </w:p>
  </w:footnote>
  <w:footnote w:id="1668">
    <w:p>
      <w:pPr>
        <w:pStyle w:val="FootnoteText"/>
      </w:pPr>
      <w:r>
        <w:rPr>
          <w:rStyle w:val="FootnoteReference"/>
        </w:rPr>
        <w:footnoteRef/>
      </w:r>
      <w:r>
        <w:t xml:space="preserve"> </w:t>
      </w:r>
      <w:r>
        <w:t xml:space="preserve">Staszewski 2025, PMID 40325343.</w:t>
      </w:r>
    </w:p>
  </w:footnote>
  <w:footnote w:id="1670">
    <w:p>
      <w:pPr>
        <w:pStyle w:val="FootnoteText"/>
      </w:pPr>
      <w:r>
        <w:rPr>
          <w:rStyle w:val="FootnoteReference"/>
        </w:rPr>
        <w:footnoteRef/>
      </w:r>
      <w:r>
        <w:t xml:space="preserve"> </w:t>
      </w:r>
      <w:r>
        <w:t xml:space="preserve">Muresanu 2016, PMID 26564102.</w:t>
      </w:r>
    </w:p>
  </w:footnote>
  <w:footnote w:id="1671">
    <w:p>
      <w:pPr>
        <w:pStyle w:val="FootnoteText"/>
      </w:pPr>
      <w:r>
        <w:rPr>
          <w:rStyle w:val="FootnoteReference"/>
        </w:rPr>
        <w:footnoteRef/>
      </w:r>
      <w:r>
        <w:t xml:space="preserve"> </w:t>
      </w:r>
      <w:r>
        <w:t xml:space="preserve">Guekht 2017, PMID 28707130.</w:t>
      </w:r>
    </w:p>
  </w:footnote>
  <w:footnote w:id="1672">
    <w:p>
      <w:pPr>
        <w:pStyle w:val="FootnoteText"/>
      </w:pPr>
      <w:r>
        <w:rPr>
          <w:rStyle w:val="FootnoteReference"/>
        </w:rPr>
        <w:footnoteRef/>
      </w:r>
      <w:r>
        <w:t xml:space="preserve"> </w:t>
      </w:r>
      <w:r>
        <w:t xml:space="preserve">Stan 2017, PMID 29362596.</w:t>
      </w:r>
    </w:p>
  </w:footnote>
  <w:footnote w:id="1673">
    <w:p>
      <w:pPr>
        <w:pStyle w:val="FootnoteText"/>
      </w:pPr>
      <w:r>
        <w:rPr>
          <w:rStyle w:val="FootnoteReference"/>
        </w:rPr>
        <w:footnoteRef/>
      </w:r>
      <w:r>
        <w:t xml:space="preserve"> </w:t>
      </w:r>
      <w:r>
        <w:t xml:space="preserve">Chang 2016, PMID 26934986.</w:t>
      </w:r>
    </w:p>
  </w:footnote>
  <w:footnote w:id="1674">
    <w:p>
      <w:pPr>
        <w:pStyle w:val="FootnoteText"/>
      </w:pPr>
      <w:r>
        <w:rPr>
          <w:rStyle w:val="FootnoteReference"/>
        </w:rPr>
        <w:footnoteRef/>
      </w:r>
      <w:r>
        <w:t xml:space="preserve"> </w:t>
      </w:r>
      <w:r>
        <w:t xml:space="preserve">Homberg 2025, PMID 39957612.</w:t>
      </w:r>
    </w:p>
  </w:footnote>
  <w:footnote w:id="1675">
    <w:p>
      <w:pPr>
        <w:pStyle w:val="FootnoteText"/>
      </w:pPr>
      <w:r>
        <w:rPr>
          <w:rStyle w:val="FootnoteReference"/>
        </w:rPr>
        <w:footnoteRef/>
      </w:r>
      <w:r>
        <w:t xml:space="preserve"> </w:t>
      </w:r>
      <w:r>
        <w:t xml:space="preserve">Beghi 2021, PMID 34152062.</w:t>
      </w:r>
    </w:p>
  </w:footnote>
  <w:footnote w:id="1677">
    <w:p>
      <w:pPr>
        <w:pStyle w:val="FootnoteText"/>
      </w:pPr>
      <w:r>
        <w:rPr>
          <w:rStyle w:val="FootnoteReference"/>
        </w:rPr>
        <w:footnoteRef/>
      </w:r>
      <w:r>
        <w:t xml:space="preserve"> </w:t>
      </w:r>
      <w:r>
        <w:t xml:space="preserve">Ziganshina 2020, PMID 32662068.</w:t>
      </w:r>
    </w:p>
  </w:footnote>
  <w:footnote w:id="1678">
    <w:p>
      <w:pPr>
        <w:pStyle w:val="FootnoteText"/>
      </w:pPr>
      <w:r>
        <w:rPr>
          <w:rStyle w:val="FootnoteReference"/>
        </w:rPr>
        <w:footnoteRef/>
      </w:r>
      <w:r>
        <w:t xml:space="preserve"> </w:t>
      </w:r>
      <w:r>
        <w:t xml:space="preserve">Ziganshina 2023, PMID 37818733.</w:t>
      </w:r>
    </w:p>
  </w:footnote>
  <w:footnote w:id="1679">
    <w:p>
      <w:pPr>
        <w:pStyle w:val="FootnoteText"/>
      </w:pPr>
      <w:r>
        <w:rPr>
          <w:rStyle w:val="FootnoteReference"/>
        </w:rPr>
        <w:footnoteRef/>
      </w:r>
      <w:r>
        <w:t xml:space="preserve"> </w:t>
      </w:r>
      <w:r>
        <w:t xml:space="preserve">Bornstein 2018, PMID 29248999.</w:t>
      </w:r>
    </w:p>
  </w:footnote>
  <w:footnote w:id="1680">
    <w:p>
      <w:pPr>
        <w:pStyle w:val="FootnoteText"/>
      </w:pPr>
      <w:r>
        <w:rPr>
          <w:rStyle w:val="FootnoteReference"/>
        </w:rPr>
        <w:footnoteRef/>
      </w:r>
      <w:r>
        <w:t xml:space="preserve"> </w:t>
      </w:r>
      <w:r>
        <w:t xml:space="preserve">Strilciuc 2021, PMID 34959697.</w:t>
      </w:r>
    </w:p>
  </w:footnote>
  <w:footnote w:id="1682">
    <w:p>
      <w:pPr>
        <w:pStyle w:val="FootnoteText"/>
      </w:pPr>
      <w:r>
        <w:rPr>
          <w:rStyle w:val="FootnoteReference"/>
        </w:rPr>
        <w:footnoteRef/>
      </w:r>
      <w:r>
        <w:t xml:space="preserve"> </w:t>
      </w:r>
      <w:r>
        <w:t xml:space="preserve">Vosko 2025, PMID 40851188 ; NCT03480698.</w:t>
      </w:r>
    </w:p>
  </w:footnote>
  <w:footnote w:id="1684">
    <w:p>
      <w:pPr>
        <w:pStyle w:val="FootnoteText"/>
      </w:pPr>
      <w:r>
        <w:rPr>
          <w:rStyle w:val="FootnoteReference"/>
        </w:rPr>
        <w:footnoteRef/>
      </w:r>
      <w:r>
        <w:t xml:space="preserve"> </w:t>
      </w:r>
      <w:r>
        <w:t xml:space="preserve">Bajenaru 2010, PMID 20968198.</w:t>
      </w:r>
    </w:p>
  </w:footnote>
  <w:footnote w:id="1685">
    <w:p>
      <w:pPr>
        <w:pStyle w:val="FootnoteText"/>
      </w:pPr>
      <w:r>
        <w:rPr>
          <w:rStyle w:val="FootnoteReference"/>
        </w:rPr>
        <w:footnoteRef/>
      </w:r>
      <w:r>
        <w:t xml:space="preserve"> </w:t>
      </w:r>
      <w:r>
        <w:t xml:space="preserve">Woo 2020, PMID 33143640 ; NCT01787123.</w:t>
      </w:r>
    </w:p>
  </w:footnote>
  <w:footnote w:id="1686">
    <w:p>
      <w:pPr>
        <w:pStyle w:val="FootnoteText"/>
      </w:pPr>
      <w:r>
        <w:rPr>
          <w:rStyle w:val="FootnoteReference"/>
        </w:rPr>
        <w:footnoteRef/>
      </w:r>
      <w:r>
        <w:t xml:space="preserve"> </w:t>
      </w:r>
      <w:r>
        <w:t xml:space="preserve">Kobayashi 2025, PMID 41180520.</w:t>
      </w:r>
    </w:p>
  </w:footnote>
  <w:footnote w:id="1688">
    <w:p>
      <w:pPr>
        <w:pStyle w:val="FootnoteText"/>
      </w:pPr>
      <w:r>
        <w:rPr>
          <w:rStyle w:val="FootnoteReference"/>
        </w:rPr>
        <w:footnoteRef/>
      </w:r>
      <w:r>
        <w:t xml:space="preserve"> </w:t>
      </w:r>
      <w:r>
        <w:t xml:space="preserve">Ghaffarpasand 2019, PMID 30643411 ; Jarosz 2023, PMID 36979317.</w:t>
      </w:r>
    </w:p>
  </w:footnote>
  <w:footnote w:id="1690">
    <w:p>
      <w:pPr>
        <w:pStyle w:val="FootnoteText"/>
      </w:pPr>
      <w:r>
        <w:rPr>
          <w:rStyle w:val="FootnoteReference"/>
        </w:rPr>
        <w:footnoteRef/>
      </w:r>
      <w:r>
        <w:t xml:space="preserve"> </w:t>
      </w:r>
      <w:r>
        <w:t xml:space="preserve">Panisset 2002, PMID 12111446.</w:t>
      </w:r>
    </w:p>
  </w:footnote>
  <w:footnote w:id="1691">
    <w:p>
      <w:pPr>
        <w:pStyle w:val="FootnoteText"/>
      </w:pPr>
      <w:r>
        <w:rPr>
          <w:rStyle w:val="FootnoteReference"/>
        </w:rPr>
        <w:footnoteRef/>
      </w:r>
      <w:r>
        <w:t xml:space="preserve"> </w:t>
      </w:r>
      <w:r>
        <w:t xml:space="preserve">Alvarez 2011, PMID 21679156.</w:t>
      </w:r>
    </w:p>
  </w:footnote>
  <w:footnote w:id="1692">
    <w:p>
      <w:pPr>
        <w:pStyle w:val="FootnoteText"/>
      </w:pPr>
      <w:r>
        <w:rPr>
          <w:rStyle w:val="FootnoteReference"/>
        </w:rPr>
        <w:footnoteRef/>
      </w:r>
      <w:r>
        <w:t xml:space="preserve"> </w:t>
      </w:r>
      <w:r>
        <w:t xml:space="preserve">Gauthier 2015, PMID 25832905.</w:t>
      </w:r>
    </w:p>
  </w:footnote>
  <w:footnote w:id="1693">
    <w:p>
      <w:pPr>
        <w:pStyle w:val="FootnoteText"/>
      </w:pPr>
      <w:r>
        <w:rPr>
          <w:rStyle w:val="FootnoteReference"/>
        </w:rPr>
        <w:footnoteRef/>
      </w:r>
      <w:r>
        <w:t xml:space="preserve"> </w:t>
      </w:r>
      <w:r>
        <w:t xml:space="preserve">Guekht 2011, PMID 20656516.</w:t>
      </w:r>
    </w:p>
  </w:footnote>
  <w:footnote w:id="1694">
    <w:p>
      <w:pPr>
        <w:pStyle w:val="FootnoteText"/>
      </w:pPr>
      <w:r>
        <w:rPr>
          <w:rStyle w:val="FootnoteReference"/>
        </w:rPr>
        <w:footnoteRef/>
      </w:r>
      <w:r>
        <w:t xml:space="preserve"> </w:t>
      </w:r>
      <w:r>
        <w:t xml:space="preserve">Cui 2019, PMID 31710397.</w:t>
      </w:r>
    </w:p>
  </w:footnote>
  <w:footnote w:id="1696">
    <w:p>
      <w:pPr>
        <w:pStyle w:val="FootnoteText"/>
      </w:pPr>
      <w:r>
        <w:rPr>
          <w:rStyle w:val="FootnoteReference"/>
        </w:rPr>
        <w:footnoteRef/>
      </w:r>
      <w:r>
        <w:t xml:space="preserve"> </w:t>
      </w:r>
      <w:r>
        <w:t xml:space="preserve">Funke 1998, PMID 9700674.</w:t>
      </w:r>
    </w:p>
  </w:footnote>
  <w:footnote w:id="1699">
    <w:p>
      <w:pPr>
        <w:pStyle w:val="FootnoteText"/>
      </w:pPr>
      <w:r>
        <w:rPr>
          <w:rStyle w:val="FootnoteReference"/>
        </w:rPr>
        <w:footnoteRef/>
      </w:r>
      <w:r>
        <w:t xml:space="preserve"> </w:t>
      </w:r>
      <w:r>
        <w:t xml:space="preserve">Zhang 2016, PMID 26763925.</w:t>
      </w:r>
    </w:p>
  </w:footnote>
  <w:footnote w:id="1700">
    <w:p>
      <w:pPr>
        <w:pStyle w:val="FootnoteText"/>
      </w:pPr>
      <w:r>
        <w:rPr>
          <w:rStyle w:val="FootnoteReference"/>
        </w:rPr>
        <w:footnoteRef/>
      </w:r>
      <w:r>
        <w:t xml:space="preserve"> </w:t>
      </w:r>
      <w:r>
        <w:t xml:space="preserve">Zhang 2019, PMID 30499355.</w:t>
      </w:r>
    </w:p>
  </w:footnote>
  <w:footnote w:id="1701">
    <w:p>
      <w:pPr>
        <w:pStyle w:val="FootnoteText"/>
      </w:pPr>
      <w:r>
        <w:rPr>
          <w:rStyle w:val="FootnoteReference"/>
        </w:rPr>
        <w:footnoteRef/>
      </w:r>
      <w:r>
        <w:t xml:space="preserve"> </w:t>
      </w:r>
      <w:r>
        <w:t xml:space="preserve">Kastberger 2024, PMID 38062874.</w:t>
      </w:r>
    </w:p>
  </w:footnote>
  <w:footnote w:id="1703">
    <w:p>
      <w:pPr>
        <w:pStyle w:val="FootnoteText"/>
      </w:pPr>
      <w:r>
        <w:rPr>
          <w:rStyle w:val="FootnoteReference"/>
        </w:rPr>
        <w:footnoteRef/>
      </w:r>
      <w:r>
        <w:t xml:space="preserve"> </w:t>
      </w:r>
      <w:r>
        <w:t xml:space="preserve">Panisset 2002, PMID 12111446.</w:t>
      </w:r>
    </w:p>
  </w:footnote>
  <w:footnote w:id="1704">
    <w:p>
      <w:pPr>
        <w:pStyle w:val="FootnoteText"/>
      </w:pPr>
      <w:r>
        <w:rPr>
          <w:rStyle w:val="FootnoteReference"/>
        </w:rPr>
        <w:footnoteRef/>
      </w:r>
      <w:r>
        <w:t xml:space="preserve"> </w:t>
      </w:r>
      <w:r>
        <w:t xml:space="preserve">Strilciuc 2021, PMID 34959697.</w:t>
      </w:r>
    </w:p>
  </w:footnote>
  <w:footnote w:id="1705">
    <w:p>
      <w:pPr>
        <w:pStyle w:val="FootnoteText"/>
      </w:pPr>
      <w:r>
        <w:rPr>
          <w:rStyle w:val="FootnoteReference"/>
        </w:rPr>
        <w:footnoteRef/>
      </w:r>
      <w:r>
        <w:t xml:space="preserve"> </w:t>
      </w:r>
      <w:r>
        <w:t xml:space="preserve">Trimmel 2024, PMID 39055722.</w:t>
      </w:r>
    </w:p>
  </w:footnote>
  <w:footnote w:id="1708">
    <w:p>
      <w:pPr>
        <w:pStyle w:val="FootnoteText"/>
      </w:pPr>
      <w:r>
        <w:rPr>
          <w:rStyle w:val="FootnoteReference"/>
        </w:rPr>
        <w:footnoteRef/>
      </w:r>
      <w:r>
        <w:t xml:space="preserve"> </w:t>
      </w:r>
      <w:r>
        <w:t xml:space="preserve">NCT05755997.</w:t>
      </w:r>
    </w:p>
  </w:footnote>
  <w:footnote w:id="1709">
    <w:p>
      <w:pPr>
        <w:pStyle w:val="FootnoteText"/>
      </w:pPr>
      <w:r>
        <w:rPr>
          <w:rStyle w:val="FootnoteReference"/>
        </w:rPr>
        <w:footnoteRef/>
      </w:r>
      <w:r>
        <w:t xml:space="preserve"> </w:t>
      </w:r>
      <w:r>
        <w:t xml:space="preserve">NCT06897176.</w:t>
      </w:r>
    </w:p>
  </w:footnote>
  <w:footnote w:id="1710">
    <w:p>
      <w:pPr>
        <w:pStyle w:val="FootnoteText"/>
      </w:pPr>
      <w:r>
        <w:rPr>
          <w:rStyle w:val="FootnoteReference"/>
        </w:rPr>
        <w:footnoteRef/>
      </w:r>
      <w:r>
        <w:t xml:space="preserve"> </w:t>
      </w:r>
      <w:r>
        <w:t xml:space="preserve">NCT06339411.</w:t>
      </w:r>
    </w:p>
  </w:footnote>
  <w:footnote w:id="1715">
    <w:p>
      <w:pPr>
        <w:pStyle w:val="FootnoteText"/>
      </w:pPr>
      <w:r>
        <w:rPr>
          <w:rStyle w:val="FootnoteReference"/>
        </w:rPr>
        <w:footnoteRef/>
      </w:r>
      <w:r>
        <w:t xml:space="preserve"> </w:t>
      </w:r>
      <w:r>
        <w:t xml:space="preserve">McCoy 2013, PMID 23055539.</w:t>
      </w:r>
    </w:p>
  </w:footnote>
  <w:footnote w:id="1716">
    <w:p>
      <w:pPr>
        <w:pStyle w:val="FootnoteText"/>
      </w:pPr>
      <w:r>
        <w:rPr>
          <w:rStyle w:val="FootnoteReference"/>
        </w:rPr>
        <w:footnoteRef/>
      </w:r>
      <w:r>
        <w:t xml:space="preserve"> </w:t>
      </w:r>
      <w:r>
        <w:t xml:space="preserve">Benoist 2014, PMID 25187433.</w:t>
      </w:r>
    </w:p>
  </w:footnote>
  <w:footnote w:id="1718">
    <w:p>
      <w:pPr>
        <w:pStyle w:val="FootnoteText"/>
      </w:pPr>
      <w:r>
        <w:rPr>
          <w:rStyle w:val="FootnoteReference"/>
        </w:rPr>
        <w:footnoteRef/>
      </w:r>
      <w:r>
        <w:t xml:space="preserve"> </w:t>
      </w:r>
      <w:r>
        <w:t xml:space="preserve">NCT04488419.</w:t>
      </w:r>
    </w:p>
  </w:footnote>
  <w:footnote w:id="1719">
    <w:p>
      <w:pPr>
        <w:pStyle w:val="FootnoteText"/>
      </w:pPr>
      <w:r>
        <w:rPr>
          <w:rStyle w:val="FootnoteReference"/>
        </w:rPr>
        <w:footnoteRef/>
      </w:r>
      <w:r>
        <w:t xml:space="preserve"> </w:t>
      </w:r>
      <w:r>
        <w:t xml:space="preserve">Porsteinsson 2025, PMID 41393340.</w:t>
      </w:r>
    </w:p>
  </w:footnote>
  <w:footnote w:id="1720">
    <w:p>
      <w:pPr>
        <w:pStyle w:val="FootnoteText"/>
      </w:pPr>
      <w:r>
        <w:rPr>
          <w:rStyle w:val="FootnoteReference"/>
        </w:rPr>
        <w:footnoteRef/>
      </w:r>
      <w:r>
        <w:t xml:space="preserve"> </w:t>
      </w:r>
      <w:r>
        <w:t xml:space="preserve">NCT04831281.</w:t>
      </w:r>
    </w:p>
  </w:footnote>
  <w:footnote w:id="1723">
    <w:p>
      <w:pPr>
        <w:pStyle w:val="FootnoteText"/>
      </w:pPr>
      <w:r>
        <w:rPr>
          <w:rStyle w:val="FootnoteReference"/>
        </w:rPr>
        <w:footnoteRef/>
      </w:r>
      <w:r>
        <w:t xml:space="preserve"> </w:t>
      </w:r>
      <w:r>
        <w:t xml:space="preserve">McCoy 2013, PMID 23055539.</w:t>
      </w:r>
    </w:p>
  </w:footnote>
  <w:footnote w:id="1724">
    <w:p>
      <w:pPr>
        <w:pStyle w:val="FootnoteText"/>
      </w:pPr>
      <w:r>
        <w:rPr>
          <w:rStyle w:val="FootnoteReference"/>
        </w:rPr>
        <w:footnoteRef/>
      </w:r>
      <w:r>
        <w:t xml:space="preserve"> </w:t>
      </w:r>
      <w:r>
        <w:t xml:space="preserve">Sun 2021, PMID 34827486.</w:t>
      </w:r>
    </w:p>
  </w:footnote>
  <w:footnote w:id="1725">
    <w:p>
      <w:pPr>
        <w:pStyle w:val="FootnoteText"/>
      </w:pPr>
      <w:r>
        <w:rPr>
          <w:rStyle w:val="FootnoteReference"/>
        </w:rPr>
        <w:footnoteRef/>
      </w:r>
      <w:r>
        <w:t xml:space="preserve"> </w:t>
      </w:r>
      <w:r>
        <w:t xml:space="preserve">Wells 2024, PMID 38489193.</w:t>
      </w:r>
    </w:p>
  </w:footnote>
  <w:footnote w:id="1726">
    <w:p>
      <w:pPr>
        <w:pStyle w:val="FootnoteText"/>
      </w:pPr>
      <w:r>
        <w:rPr>
          <w:rStyle w:val="FootnoteReference"/>
        </w:rPr>
        <w:footnoteRef/>
      </w:r>
      <w:r>
        <w:t xml:space="preserve"> </w:t>
      </w:r>
      <w:r>
        <w:t xml:space="preserve">Uribe 2015, PMID 25674052.</w:t>
      </w:r>
    </w:p>
  </w:footnote>
  <w:footnote w:id="1727">
    <w:p>
      <w:pPr>
        <w:pStyle w:val="FootnoteText"/>
      </w:pPr>
      <w:r>
        <w:rPr>
          <w:rStyle w:val="FootnoteReference"/>
        </w:rPr>
        <w:footnoteRef/>
      </w:r>
      <w:r>
        <w:t xml:space="preserve"> </w:t>
      </w:r>
      <w:r>
        <w:t xml:space="preserve">Pan 2022, PMID 35410439.</w:t>
      </w:r>
    </w:p>
  </w:footnote>
  <w:footnote w:id="1728">
    <w:p>
      <w:pPr>
        <w:pStyle w:val="FootnoteText"/>
      </w:pPr>
      <w:r>
        <w:rPr>
          <w:rStyle w:val="FootnoteReference"/>
        </w:rPr>
        <w:footnoteRef/>
      </w:r>
      <w:r>
        <w:t xml:space="preserve"> </w:t>
      </w:r>
      <w:r>
        <w:t xml:space="preserve">Ho 2018, PMID 29733881.</w:t>
      </w:r>
    </w:p>
  </w:footnote>
  <w:footnote w:id="1730">
    <w:p>
      <w:pPr>
        <w:pStyle w:val="FootnoteText"/>
      </w:pPr>
      <w:r>
        <w:rPr>
          <w:rStyle w:val="FootnoteReference"/>
        </w:rPr>
        <w:footnoteRef/>
      </w:r>
      <w:r>
        <w:t xml:space="preserve"> </w:t>
      </w:r>
      <w:r>
        <w:t xml:space="preserve">Wright 2015, PMID 25649658.</w:t>
      </w:r>
    </w:p>
  </w:footnote>
  <w:footnote w:id="1737">
    <w:p>
      <w:pPr>
        <w:pStyle w:val="FootnoteText"/>
      </w:pPr>
      <w:r>
        <w:rPr>
          <w:rStyle w:val="FootnoteReference"/>
        </w:rPr>
        <w:footnoteRef/>
      </w:r>
      <w:r>
        <w:t xml:space="preserve"> </w:t>
      </w:r>
      <w:r>
        <w:t xml:space="preserve">Monnier 1977, PMID 862769.</w:t>
      </w:r>
    </w:p>
  </w:footnote>
  <w:footnote w:id="1738">
    <w:p>
      <w:pPr>
        <w:pStyle w:val="FootnoteText"/>
      </w:pPr>
      <w:r>
        <w:rPr>
          <w:rStyle w:val="FootnoteReference"/>
        </w:rPr>
        <w:footnoteRef/>
      </w:r>
      <w:r>
        <w:t xml:space="preserve"> </w:t>
      </w:r>
      <w:r>
        <w:t xml:space="preserve">Kovalzon 2006, PMID 16539679.</w:t>
      </w:r>
    </w:p>
  </w:footnote>
  <w:footnote w:id="1739">
    <w:p>
      <w:pPr>
        <w:pStyle w:val="FootnoteText"/>
      </w:pPr>
      <w:r>
        <w:rPr>
          <w:rStyle w:val="FootnoteReference"/>
        </w:rPr>
        <w:footnoteRef/>
      </w:r>
      <w:r>
        <w:t xml:space="preserve"> </w:t>
      </w:r>
      <w:r>
        <w:t xml:space="preserve">Zlokovic 1988, PMID 3420012.</w:t>
      </w:r>
    </w:p>
  </w:footnote>
  <w:footnote w:id="1741">
    <w:p>
      <w:pPr>
        <w:pStyle w:val="FootnoteText"/>
      </w:pPr>
      <w:r>
        <w:rPr>
          <w:rStyle w:val="FootnoteReference"/>
        </w:rPr>
        <w:footnoteRef/>
      </w:r>
      <w:r>
        <w:t xml:space="preserve"> </w:t>
      </w:r>
      <w:r>
        <w:t xml:space="preserve">Schneider-Helmert 1981, PMID 6895513.</w:t>
      </w:r>
    </w:p>
  </w:footnote>
  <w:footnote w:id="1742">
    <w:p>
      <w:pPr>
        <w:pStyle w:val="FootnoteText"/>
      </w:pPr>
      <w:r>
        <w:rPr>
          <w:rStyle w:val="FootnoteReference"/>
        </w:rPr>
        <w:footnoteRef/>
      </w:r>
      <w:r>
        <w:t xml:space="preserve"> </w:t>
      </w:r>
      <w:r>
        <w:t xml:space="preserve">Schneider-Helmert 1987, PMID 3622582.</w:t>
      </w:r>
    </w:p>
  </w:footnote>
  <w:footnote w:id="1743">
    <w:p>
      <w:pPr>
        <w:pStyle w:val="FootnoteText"/>
      </w:pPr>
      <w:r>
        <w:rPr>
          <w:rStyle w:val="FootnoteReference"/>
        </w:rPr>
        <w:footnoteRef/>
      </w:r>
      <w:r>
        <w:t xml:space="preserve"> </w:t>
      </w:r>
      <w:r>
        <w:t xml:space="preserve">Monti 1987, PMID 3583493.</w:t>
      </w:r>
    </w:p>
  </w:footnote>
  <w:footnote w:id="1744">
    <w:p>
      <w:pPr>
        <w:pStyle w:val="FootnoteText"/>
      </w:pPr>
      <w:r>
        <w:rPr>
          <w:rStyle w:val="FootnoteReference"/>
        </w:rPr>
        <w:footnoteRef/>
      </w:r>
      <w:r>
        <w:t xml:space="preserve"> </w:t>
      </w:r>
      <w:r>
        <w:t xml:space="preserve">Bes 1992, PMID 1299794.</w:t>
      </w:r>
    </w:p>
  </w:footnote>
  <w:footnote w:id="1746">
    <w:p>
      <w:pPr>
        <w:pStyle w:val="FootnoteText"/>
      </w:pPr>
      <w:r>
        <w:rPr>
          <w:rStyle w:val="FootnoteReference"/>
        </w:rPr>
        <w:footnoteRef/>
      </w:r>
      <w:r>
        <w:t xml:space="preserve"> </w:t>
      </w:r>
      <w:r>
        <w:t xml:space="preserve">Dick 1984, PMID 6548969.</w:t>
      </w:r>
    </w:p>
  </w:footnote>
  <w:footnote w:id="1747">
    <w:p>
      <w:pPr>
        <w:pStyle w:val="FootnoteText"/>
      </w:pPr>
      <w:r>
        <w:rPr>
          <w:rStyle w:val="FootnoteReference"/>
        </w:rPr>
        <w:footnoteRef/>
      </w:r>
      <w:r>
        <w:t xml:space="preserve"> </w:t>
      </w:r>
      <w:r>
        <w:t xml:space="preserve">Backmund 1998, PMID 9617990.</w:t>
      </w:r>
    </w:p>
  </w:footnote>
  <w:footnote w:id="1748">
    <w:p>
      <w:pPr>
        <w:pStyle w:val="FootnoteText"/>
      </w:pPr>
      <w:r>
        <w:rPr>
          <w:rStyle w:val="FootnoteReference"/>
        </w:rPr>
        <w:footnoteRef/>
      </w:r>
      <w:r>
        <w:t xml:space="preserve"> </w:t>
      </w:r>
      <w:r>
        <w:t xml:space="preserve">Larbig 1984, PMID 6548970.</w:t>
      </w:r>
    </w:p>
  </w:footnote>
  <w:footnote w:id="1749">
    <w:p>
      <w:pPr>
        <w:pStyle w:val="FootnoteText"/>
      </w:pPr>
      <w:r>
        <w:rPr>
          <w:rStyle w:val="FootnoteReference"/>
        </w:rPr>
        <w:footnoteRef/>
      </w:r>
      <w:r>
        <w:t xml:space="preserve"> </w:t>
      </w:r>
      <w:r>
        <w:t xml:space="preserve">Schneider-Helmert 1984, PMID 6548968.</w:t>
      </w:r>
    </w:p>
  </w:footnote>
  <w:footnote w:id="1750">
    <w:p>
      <w:pPr>
        <w:pStyle w:val="FootnoteText"/>
      </w:pPr>
      <w:r>
        <w:rPr>
          <w:rStyle w:val="FootnoteReference"/>
        </w:rPr>
        <w:footnoteRef/>
      </w:r>
      <w:r>
        <w:t xml:space="preserve"> </w:t>
      </w:r>
      <w:r>
        <w:t xml:space="preserve">Kresiun 2014, PMID 25739189.</w:t>
      </w:r>
    </w:p>
  </w:footnote>
  <w:footnote w:id="1752">
    <w:p>
      <w:pPr>
        <w:pStyle w:val="FootnoteText"/>
      </w:pPr>
      <w:r>
        <w:rPr>
          <w:rStyle w:val="FootnoteReference"/>
        </w:rPr>
        <w:footnoteRef/>
      </w:r>
      <w:r>
        <w:t xml:space="preserve"> </w:t>
      </w:r>
      <w:r>
        <w:t xml:space="preserve">Bjartell 1989, PMID 2554357.</w:t>
      </w:r>
    </w:p>
  </w:footnote>
  <w:footnote w:id="1753">
    <w:p>
      <w:pPr>
        <w:pStyle w:val="FootnoteText"/>
      </w:pPr>
      <w:r>
        <w:rPr>
          <w:rStyle w:val="FootnoteReference"/>
        </w:rPr>
        <w:footnoteRef/>
      </w:r>
      <w:r>
        <w:t xml:space="preserve"> </w:t>
      </w:r>
      <w:r>
        <w:t xml:space="preserve">Späth-Schwalbe 1995, PMID 7777652.</w:t>
      </w:r>
    </w:p>
  </w:footnote>
  <w:footnote w:id="1754">
    <w:p>
      <w:pPr>
        <w:pStyle w:val="FootnoteText"/>
      </w:pPr>
      <w:r>
        <w:rPr>
          <w:rStyle w:val="FootnoteReference"/>
        </w:rPr>
        <w:footnoteRef/>
      </w:r>
      <w:r>
        <w:t xml:space="preserve"> </w:t>
      </w:r>
      <w:r>
        <w:t xml:space="preserve">Giusti 1993, PMID 8475226.</w:t>
      </w:r>
    </w:p>
  </w:footnote>
  <w:footnote w:id="1755">
    <w:p>
      <w:pPr>
        <w:pStyle w:val="FootnoteText"/>
      </w:pPr>
      <w:r>
        <w:rPr>
          <w:rStyle w:val="FootnoteReference"/>
        </w:rPr>
        <w:footnoteRef/>
      </w:r>
      <w:r>
        <w:t xml:space="preserve"> </w:t>
      </w:r>
      <w:r>
        <w:t xml:space="preserve">Pomfrett 2009, PMID 19142086.</w:t>
      </w:r>
    </w:p>
  </w:footnote>
  <w:footnote w:id="1758">
    <w:p>
      <w:pPr>
        <w:pStyle w:val="FootnoteText"/>
      </w:pPr>
      <w:r>
        <w:rPr>
          <w:rStyle w:val="FootnoteReference"/>
        </w:rPr>
        <w:footnoteRef/>
      </w:r>
      <w:r>
        <w:t xml:space="preserve"> </w:t>
      </w:r>
      <w:r>
        <w:t xml:space="preserve">Kovalzon 2006, PMID 16539679.</w:t>
      </w:r>
    </w:p>
  </w:footnote>
  <w:footnote w:id="1759">
    <w:p>
      <w:pPr>
        <w:pStyle w:val="FootnoteText"/>
      </w:pPr>
      <w:r>
        <w:rPr>
          <w:rStyle w:val="FootnoteReference"/>
        </w:rPr>
        <w:footnoteRef/>
      </w:r>
      <w:r>
        <w:t xml:space="preserve"> </w:t>
      </w:r>
      <w:r>
        <w:t xml:space="preserve">Voĭtenkov 2009, PMID 20405733.</w:t>
      </w:r>
    </w:p>
  </w:footnote>
  <w:footnote w:id="1761">
    <w:p>
      <w:pPr>
        <w:pStyle w:val="FootnoteText"/>
      </w:pPr>
      <w:r>
        <w:rPr>
          <w:rStyle w:val="FootnoteReference"/>
        </w:rPr>
        <w:footnoteRef/>
      </w:r>
      <w:r>
        <w:t xml:space="preserve"> </w:t>
      </w:r>
      <w:r>
        <w:t xml:space="preserve">Dick 1984, PMID 6548969.</w:t>
      </w:r>
    </w:p>
  </w:footnote>
  <w:footnote w:id="1762">
    <w:p>
      <w:pPr>
        <w:pStyle w:val="FootnoteText"/>
      </w:pPr>
      <w:r>
        <w:rPr>
          <w:rStyle w:val="FootnoteReference"/>
        </w:rPr>
        <w:footnoteRef/>
      </w:r>
      <w:r>
        <w:t xml:space="preserve"> </w:t>
      </w:r>
      <w:r>
        <w:t xml:space="preserve">Pomfrett 2009, PMID 19142086.</w:t>
      </w:r>
    </w:p>
  </w:footnote>
  <w:footnote w:id="1769">
    <w:p>
      <w:pPr>
        <w:pStyle w:val="FootnoteText"/>
      </w:pPr>
      <w:r>
        <w:rPr>
          <w:rStyle w:val="FootnoteReference"/>
        </w:rPr>
        <w:footnoteRef/>
      </w:r>
      <w:r>
        <w:t xml:space="preserve"> </w:t>
      </w:r>
      <w:r>
        <w:t xml:space="preserve">Khavinson 2003, PMID 12937682.</w:t>
      </w:r>
    </w:p>
  </w:footnote>
  <w:footnote w:id="1770">
    <w:p>
      <w:pPr>
        <w:pStyle w:val="FootnoteText"/>
      </w:pPr>
      <w:r>
        <w:rPr>
          <w:rStyle w:val="FootnoteReference"/>
        </w:rPr>
        <w:footnoteRef/>
      </w:r>
      <w:r>
        <w:t xml:space="preserve"> </w:t>
      </w:r>
      <w:r>
        <w:t xml:space="preserve">Khavinson 2003, PMID 14647006.</w:t>
      </w:r>
    </w:p>
  </w:footnote>
  <w:footnote w:id="1771">
    <w:p>
      <w:pPr>
        <w:pStyle w:val="FootnoteText"/>
      </w:pPr>
      <w:r>
        <w:rPr>
          <w:rStyle w:val="FootnoteReference"/>
        </w:rPr>
        <w:footnoteRef/>
      </w:r>
      <w:r>
        <w:t xml:space="preserve"> </w:t>
      </w:r>
      <w:r>
        <w:t xml:space="preserve">Araj 2025, PMID 40141333.</w:t>
      </w:r>
    </w:p>
  </w:footnote>
  <w:footnote w:id="1773">
    <w:p>
      <w:pPr>
        <w:pStyle w:val="FootnoteText"/>
      </w:pPr>
      <w:r>
        <w:rPr>
          <w:rStyle w:val="FootnoteReference"/>
        </w:rPr>
        <w:footnoteRef/>
      </w:r>
      <w:r>
        <w:t xml:space="preserve"> </w:t>
      </w:r>
      <w:r>
        <w:t xml:space="preserve">Jain 2026, PMID 42884164.</w:t>
      </w:r>
    </w:p>
  </w:footnote>
  <w:footnote w:id="1774">
    <w:p>
      <w:pPr>
        <w:pStyle w:val="FootnoteText"/>
      </w:pPr>
      <w:r>
        <w:rPr>
          <w:rStyle w:val="FootnoteReference"/>
        </w:rPr>
        <w:footnoteRef/>
      </w:r>
      <w:r>
        <w:t xml:space="preserve"> </w:t>
      </w:r>
      <w:r>
        <w:t xml:space="preserve">Khavinson 2002, PMID 12195242.</w:t>
      </w:r>
    </w:p>
  </w:footnote>
  <w:footnote w:id="1776">
    <w:p>
      <w:pPr>
        <w:pStyle w:val="FootnoteText"/>
      </w:pPr>
      <w:r>
        <w:rPr>
          <w:rStyle w:val="FootnoteReference"/>
        </w:rPr>
        <w:footnoteRef/>
      </w:r>
      <w:r>
        <w:t xml:space="preserve"> </w:t>
      </w:r>
      <w:r>
        <w:t xml:space="preserve">Khavinson 2003, PMID 14523363.</w:t>
      </w:r>
    </w:p>
  </w:footnote>
  <w:footnote w:id="1778">
    <w:p>
      <w:pPr>
        <w:pStyle w:val="FootnoteText"/>
      </w:pPr>
      <w:r>
        <w:rPr>
          <w:rStyle w:val="FootnoteReference"/>
        </w:rPr>
        <w:footnoteRef/>
      </w:r>
      <w:r>
        <w:t xml:space="preserve"> </w:t>
      </w:r>
      <w:r>
        <w:t xml:space="preserve">Khavinson 2003, PMID 12937682.</w:t>
      </w:r>
    </w:p>
  </w:footnote>
  <w:footnote w:id="1779">
    <w:p>
      <w:pPr>
        <w:pStyle w:val="FootnoteText"/>
      </w:pPr>
      <w:r>
        <w:rPr>
          <w:rStyle w:val="FootnoteReference"/>
        </w:rPr>
        <w:footnoteRef/>
      </w:r>
      <w:r>
        <w:t xml:space="preserve"> </w:t>
      </w:r>
      <w:r>
        <w:t xml:space="preserve">Khavinson 2004, PMID 15455129.</w:t>
      </w:r>
    </w:p>
  </w:footnote>
  <w:footnote w:id="1780">
    <w:p>
      <w:pPr>
        <w:pStyle w:val="FootnoteText"/>
      </w:pPr>
      <w:r>
        <w:rPr>
          <w:rStyle w:val="FootnoteReference"/>
        </w:rPr>
        <w:footnoteRef/>
      </w:r>
      <w:r>
        <w:t xml:space="preserve"> </w:t>
      </w:r>
      <w:r>
        <w:t xml:space="preserve">Al-Dulaimi 2025, PMID 40908429.</w:t>
      </w:r>
    </w:p>
  </w:footnote>
  <w:footnote w:id="1781">
    <w:p>
      <w:pPr>
        <w:pStyle w:val="FootnoteText"/>
      </w:pPr>
      <w:r>
        <w:rPr>
          <w:rStyle w:val="FootnoteReference"/>
        </w:rPr>
        <w:footnoteRef/>
      </w:r>
      <w:r>
        <w:t xml:space="preserve"> </w:t>
      </w:r>
      <w:r>
        <w:t xml:space="preserve">Khavinson 2019, PMID 31761987.</w:t>
      </w:r>
    </w:p>
  </w:footnote>
  <w:footnote w:id="1784">
    <w:p>
      <w:pPr>
        <w:pStyle w:val="FootnoteText"/>
      </w:pPr>
      <w:r>
        <w:rPr>
          <w:rStyle w:val="FootnoteReference"/>
        </w:rPr>
        <w:footnoteRef/>
      </w:r>
      <w:r>
        <w:t xml:space="preserve"> </w:t>
      </w:r>
      <w:r>
        <w:t xml:space="preserve">Anisimov 2003, PMID 14501183.</w:t>
      </w:r>
    </w:p>
  </w:footnote>
  <w:footnote w:id="1785">
    <w:p>
      <w:pPr>
        <w:pStyle w:val="FootnoteText"/>
      </w:pPr>
      <w:r>
        <w:rPr>
          <w:rStyle w:val="FootnoteReference"/>
        </w:rPr>
        <w:footnoteRef/>
      </w:r>
      <w:r>
        <w:t xml:space="preserve"> </w:t>
      </w:r>
      <w:r>
        <w:t xml:space="preserve">Khavinson 2000, PMID 11087911.</w:t>
      </w:r>
    </w:p>
  </w:footnote>
  <w:footnote w:id="1786">
    <w:p>
      <w:pPr>
        <w:pStyle w:val="FootnoteText"/>
      </w:pPr>
      <w:r>
        <w:rPr>
          <w:rStyle w:val="FootnoteReference"/>
        </w:rPr>
        <w:footnoteRef/>
      </w:r>
      <w:r>
        <w:t xml:space="preserve"> </w:t>
      </w:r>
      <w:r>
        <w:t xml:space="preserve">Khavinson 2003, PMID 12910293.</w:t>
      </w:r>
    </w:p>
  </w:footnote>
  <w:footnote w:id="1787">
    <w:p>
      <w:pPr>
        <w:pStyle w:val="FootnoteText"/>
      </w:pPr>
      <w:r>
        <w:rPr>
          <w:rStyle w:val="FootnoteReference"/>
        </w:rPr>
        <w:footnoteRef/>
      </w:r>
      <w:r>
        <w:t xml:space="preserve"> </w:t>
      </w:r>
      <w:r>
        <w:t xml:space="preserve">Yue 2022, PMID 35413689.</w:t>
      </w:r>
    </w:p>
  </w:footnote>
  <w:footnote w:id="1789">
    <w:p>
      <w:pPr>
        <w:pStyle w:val="FootnoteText"/>
      </w:pPr>
      <w:r>
        <w:rPr>
          <w:rStyle w:val="FootnoteReference"/>
        </w:rPr>
        <w:footnoteRef/>
      </w:r>
      <w:r>
        <w:t xml:space="preserve"> </w:t>
      </w:r>
      <w:r>
        <w:t xml:space="preserve">Al-Dulaimi 2025, PMID 40908429.</w:t>
      </w:r>
    </w:p>
  </w:footnote>
  <w:footnote w:id="1790">
    <w:p>
      <w:pPr>
        <w:pStyle w:val="FootnoteText"/>
      </w:pPr>
      <w:r>
        <w:rPr>
          <w:rStyle w:val="FootnoteReference"/>
        </w:rPr>
        <w:footnoteRef/>
      </w:r>
      <w:r>
        <w:t xml:space="preserve"> </w:t>
      </w:r>
      <w:r>
        <w:t xml:space="preserve">Anisimov 2003, PMID 14501183.</w:t>
      </w:r>
    </w:p>
  </w:footnote>
  <w:footnote w:id="1791">
    <w:p>
      <w:pPr>
        <w:pStyle w:val="FootnoteText"/>
      </w:pPr>
      <w:r>
        <w:rPr>
          <w:rStyle w:val="FootnoteReference"/>
        </w:rPr>
        <w:footnoteRef/>
      </w:r>
      <w:r>
        <w:t xml:space="preserve"> </w:t>
      </w:r>
      <w:r>
        <w:t xml:space="preserve">Jain 2026, PMID 42884164.</w:t>
      </w:r>
    </w:p>
  </w:footnote>
  <w:footnote w:id="1794">
    <w:p>
      <w:pPr>
        <w:pStyle w:val="FootnoteText"/>
      </w:pPr>
      <w:r>
        <w:rPr>
          <w:rStyle w:val="FootnoteReference"/>
        </w:rPr>
        <w:footnoteRef/>
      </w:r>
      <w:r>
        <w:t xml:space="preserve"> </w:t>
      </w:r>
      <w:r>
        <w:t xml:space="preserve">NCT07888595.</w:t>
      </w:r>
    </w:p>
  </w:footnote>
  <w:footnote w:id="1799">
    <w:p>
      <w:pPr>
        <w:pStyle w:val="FootnoteText"/>
      </w:pPr>
      <w:r>
        <w:rPr>
          <w:rStyle w:val="FootnoteReference"/>
        </w:rPr>
        <w:footnoteRef/>
      </w:r>
      <w:r>
        <w:t xml:space="preserve"> </w:t>
      </w:r>
      <w:r>
        <w:t xml:space="preserve">Fedoreyeva 2011, PMID 22117547.</w:t>
      </w:r>
    </w:p>
  </w:footnote>
  <w:footnote w:id="1800">
    <w:p>
      <w:pPr>
        <w:pStyle w:val="FootnoteText"/>
      </w:pPr>
      <w:r>
        <w:rPr>
          <w:rStyle w:val="FootnoteReference"/>
        </w:rPr>
        <w:footnoteRef/>
      </w:r>
      <w:r>
        <w:t xml:space="preserve"> </w:t>
      </w:r>
      <w:r>
        <w:t xml:space="preserve">Khavinson 2011, PMID 21978084.</w:t>
      </w:r>
    </w:p>
  </w:footnote>
  <w:footnote w:id="1801">
    <w:p>
      <w:pPr>
        <w:pStyle w:val="FootnoteText"/>
      </w:pPr>
      <w:r>
        <w:rPr>
          <w:rStyle w:val="FootnoteReference"/>
        </w:rPr>
        <w:footnoteRef/>
      </w:r>
      <w:r>
        <w:t xml:space="preserve"> </w:t>
      </w:r>
      <w:r>
        <w:t xml:space="preserve">Khavinson 2020, PMID 33396470.</w:t>
      </w:r>
    </w:p>
  </w:footnote>
  <w:footnote w:id="1803">
    <w:p>
      <w:pPr>
        <w:pStyle w:val="FootnoteText"/>
      </w:pPr>
      <w:r>
        <w:rPr>
          <w:rStyle w:val="FootnoteReference"/>
        </w:rPr>
        <w:footnoteRef/>
      </w:r>
      <w:r>
        <w:t xml:space="preserve"> </w:t>
      </w:r>
      <w:r>
        <w:t xml:space="preserve">Meshchaninov 2015, PMID 26390612.</w:t>
      </w:r>
    </w:p>
  </w:footnote>
  <w:footnote w:id="1805">
    <w:p>
      <w:pPr>
        <w:pStyle w:val="FootnoteText"/>
      </w:pPr>
      <w:r>
        <w:rPr>
          <w:rStyle w:val="FootnoteReference"/>
        </w:rPr>
        <w:footnoteRef/>
      </w:r>
      <w:r>
        <w:t xml:space="preserve"> </w:t>
      </w:r>
      <w:r>
        <w:t xml:space="preserve">Arutjunyan 2012, PMID 22567179.</w:t>
      </w:r>
    </w:p>
  </w:footnote>
  <w:footnote w:id="1806">
    <w:p>
      <w:pPr>
        <w:pStyle w:val="FootnoteText"/>
      </w:pPr>
      <w:r>
        <w:rPr>
          <w:rStyle w:val="FootnoteReference"/>
        </w:rPr>
        <w:footnoteRef/>
      </w:r>
      <w:r>
        <w:t xml:space="preserve"> </w:t>
      </w:r>
      <w:r>
        <w:t xml:space="preserve">Mendzheritsky 2015, PMID 28509493.</w:t>
      </w:r>
    </w:p>
  </w:footnote>
  <w:footnote w:id="1807">
    <w:p>
      <w:pPr>
        <w:pStyle w:val="FootnoteText"/>
      </w:pPr>
      <w:r>
        <w:rPr>
          <w:rStyle w:val="FootnoteReference"/>
        </w:rPr>
        <w:footnoteRef/>
      </w:r>
      <w:r>
        <w:t xml:space="preserve"> </w:t>
      </w:r>
      <w:r>
        <w:t xml:space="preserve">Khavinson 2011, PMID 21978084.</w:t>
      </w:r>
    </w:p>
  </w:footnote>
  <w:footnote w:id="1809">
    <w:p>
      <w:pPr>
        <w:pStyle w:val="FootnoteText"/>
      </w:pPr>
      <w:r>
        <w:rPr>
          <w:rStyle w:val="FootnoteReference"/>
        </w:rPr>
        <w:footnoteRef/>
      </w:r>
      <w:r>
        <w:t xml:space="preserve"> </w:t>
      </w:r>
      <w:r>
        <w:t xml:space="preserve">Meshchaninov 2015, PMID 26390612.</w:t>
      </w:r>
    </w:p>
  </w:footnote>
  <w:footnote w:id="1816">
    <w:p>
      <w:pPr>
        <w:pStyle w:val="FootnoteText"/>
      </w:pPr>
      <w:r>
        <w:rPr>
          <w:rStyle w:val="FootnoteReference"/>
        </w:rPr>
        <w:footnoteRef/>
      </w:r>
      <w:r>
        <w:t xml:space="preserve"> </w:t>
      </w:r>
      <w:r>
        <w:t xml:space="preserve">Lee 2015, PMID 25738459.</w:t>
      </w:r>
    </w:p>
  </w:footnote>
  <w:footnote w:id="1817">
    <w:p>
      <w:pPr>
        <w:pStyle w:val="FootnoteText"/>
      </w:pPr>
      <w:r>
        <w:rPr>
          <w:rStyle w:val="FootnoteReference"/>
        </w:rPr>
        <w:footnoteRef/>
      </w:r>
      <w:r>
        <w:t xml:space="preserve"> </w:t>
      </w:r>
      <w:r>
        <w:t xml:space="preserve">Kim 2018, PMID 29983246.</w:t>
      </w:r>
    </w:p>
  </w:footnote>
  <w:footnote w:id="1818">
    <w:p>
      <w:pPr>
        <w:pStyle w:val="FootnoteText"/>
      </w:pPr>
      <w:r>
        <w:rPr>
          <w:rStyle w:val="FootnoteReference"/>
        </w:rPr>
        <w:footnoteRef/>
      </w:r>
      <w:r>
        <w:t xml:space="preserve"> </w:t>
      </w:r>
      <w:r>
        <w:t xml:space="preserve">Reynolds 2021, PMID 33473109.</w:t>
      </w:r>
    </w:p>
  </w:footnote>
  <w:footnote w:id="1820">
    <w:p>
      <w:pPr>
        <w:pStyle w:val="FootnoteText"/>
      </w:pPr>
      <w:r>
        <w:rPr>
          <w:rStyle w:val="FootnoteReference"/>
        </w:rPr>
        <w:footnoteRef/>
      </w:r>
      <w:r>
        <w:t xml:space="preserve"> </w:t>
      </w:r>
      <w:r>
        <w:t xml:space="preserve">NCT03998514.</w:t>
      </w:r>
    </w:p>
  </w:footnote>
  <w:footnote w:id="1821">
    <w:p>
      <w:pPr>
        <w:pStyle w:val="FootnoteText"/>
      </w:pPr>
      <w:r>
        <w:rPr>
          <w:rStyle w:val="FootnoteReference"/>
        </w:rPr>
        <w:footnoteRef/>
      </w:r>
      <w:r>
        <w:t xml:space="preserve"> </w:t>
      </w:r>
      <w:r>
        <w:t xml:space="preserve">Du 2018, PMID 29691953 ; Kirik 2023, PMID 37750635 ; Qin 2018, PMID 29242099.</w:t>
      </w:r>
    </w:p>
  </w:footnote>
  <w:footnote w:id="1822">
    <w:p>
      <w:pPr>
        <w:pStyle w:val="FootnoteText"/>
      </w:pPr>
      <w:r>
        <w:rPr>
          <w:rStyle w:val="FootnoteReference"/>
        </w:rPr>
        <w:footnoteRef/>
      </w:r>
      <w:r>
        <w:t xml:space="preserve"> </w:t>
      </w:r>
      <w:r>
        <w:t xml:space="preserve">Du 2018, PMID 29691953.</w:t>
      </w:r>
    </w:p>
  </w:footnote>
  <w:footnote w:id="1823">
    <w:p>
      <w:pPr>
        <w:pStyle w:val="FootnoteText"/>
      </w:pPr>
      <w:r>
        <w:rPr>
          <w:rStyle w:val="FootnoteReference"/>
        </w:rPr>
        <w:footnoteRef/>
      </w:r>
      <w:r>
        <w:t xml:space="preserve"> </w:t>
      </w:r>
      <w:r>
        <w:t xml:space="preserve">Ikonomidis 2020, PMID 32052315.</w:t>
      </w:r>
    </w:p>
  </w:footnote>
  <w:footnote w:id="1824">
    <w:p>
      <w:pPr>
        <w:pStyle w:val="FootnoteText"/>
      </w:pPr>
      <w:r>
        <w:rPr>
          <w:rStyle w:val="FootnoteReference"/>
        </w:rPr>
        <w:footnoteRef/>
      </w:r>
      <w:r>
        <w:t xml:space="preserve"> </w:t>
      </w:r>
      <w:r>
        <w:t xml:space="preserve">Cuyàs 2022, PMID 36490309.</w:t>
      </w:r>
    </w:p>
  </w:footnote>
  <w:footnote w:id="1825">
    <w:p>
      <w:pPr>
        <w:pStyle w:val="FootnoteText"/>
      </w:pPr>
      <w:r>
        <w:rPr>
          <w:rStyle w:val="FootnoteReference"/>
        </w:rPr>
        <w:footnoteRef/>
      </w:r>
      <w:r>
        <w:t xml:space="preserve"> </w:t>
      </w:r>
      <w:r>
        <w:t xml:space="preserve">Zempo 2021, PMID 33468709.</w:t>
      </w:r>
    </w:p>
  </w:footnote>
  <w:footnote w:id="1827">
    <w:p>
      <w:pPr>
        <w:pStyle w:val="FootnoteText"/>
      </w:pPr>
      <w:r>
        <w:rPr>
          <w:rStyle w:val="FootnoteReference"/>
        </w:rPr>
        <w:footnoteRef/>
      </w:r>
      <w:r>
        <w:t xml:space="preserve"> </w:t>
      </w:r>
      <w:r>
        <w:t xml:space="preserve">NCT03998514.</w:t>
      </w:r>
    </w:p>
  </w:footnote>
  <w:footnote w:id="1830">
    <w:p>
      <w:pPr>
        <w:pStyle w:val="FootnoteText"/>
      </w:pPr>
      <w:r>
        <w:rPr>
          <w:rStyle w:val="FootnoteReference"/>
        </w:rPr>
        <w:footnoteRef/>
      </w:r>
      <w:r>
        <w:t xml:space="preserve"> </w:t>
      </w:r>
      <w:r>
        <w:t xml:space="preserve">Lee 2015, PMID 25738459.</w:t>
      </w:r>
    </w:p>
  </w:footnote>
  <w:footnote w:id="1831">
    <w:p>
      <w:pPr>
        <w:pStyle w:val="FootnoteText"/>
      </w:pPr>
      <w:r>
        <w:rPr>
          <w:rStyle w:val="FootnoteReference"/>
        </w:rPr>
        <w:footnoteRef/>
      </w:r>
      <w:r>
        <w:t xml:space="preserve"> </w:t>
      </w:r>
      <w:r>
        <w:t xml:space="preserve">Kumagai 2021, PMID 33554779.</w:t>
      </w:r>
    </w:p>
  </w:footnote>
  <w:footnote w:id="1832">
    <w:p>
      <w:pPr>
        <w:pStyle w:val="FootnoteText"/>
      </w:pPr>
      <w:r>
        <w:rPr>
          <w:rStyle w:val="FootnoteReference"/>
        </w:rPr>
        <w:footnoteRef/>
      </w:r>
      <w:r>
        <w:t xml:space="preserve"> </w:t>
      </w:r>
      <w:r>
        <w:t xml:space="preserve">Reynolds 2021, PMID 33473109.</w:t>
      </w:r>
    </w:p>
  </w:footnote>
  <w:footnote w:id="1833">
    <w:p>
      <w:pPr>
        <w:pStyle w:val="FootnoteText"/>
      </w:pPr>
      <w:r>
        <w:rPr>
          <w:rStyle w:val="FootnoteReference"/>
        </w:rPr>
        <w:footnoteRef/>
      </w:r>
      <w:r>
        <w:t xml:space="preserve"> </w:t>
      </w:r>
      <w:r>
        <w:t xml:space="preserve">Kong 2025, PMID 40855115.</w:t>
      </w:r>
    </w:p>
  </w:footnote>
  <w:footnote w:id="1835">
    <w:p>
      <w:pPr>
        <w:pStyle w:val="FootnoteText"/>
      </w:pPr>
      <w:r>
        <w:rPr>
          <w:rStyle w:val="FootnoteReference"/>
        </w:rPr>
        <w:footnoteRef/>
      </w:r>
      <w:r>
        <w:t xml:space="preserve"> </w:t>
      </w:r>
      <w:r>
        <w:t xml:space="preserve">Yin 2024, PMID 39321430.</w:t>
      </w:r>
    </w:p>
  </w:footnote>
  <w:footnote w:id="1836">
    <w:p>
      <w:pPr>
        <w:pStyle w:val="FootnoteText"/>
      </w:pPr>
      <w:r>
        <w:rPr>
          <w:rStyle w:val="FootnoteReference"/>
        </w:rPr>
        <w:footnoteRef/>
      </w:r>
      <w:r>
        <w:t xml:space="preserve"> </w:t>
      </w:r>
      <w:r>
        <w:t xml:space="preserve">Shen 2025, PMID 39581216.</w:t>
      </w:r>
    </w:p>
  </w:footnote>
  <w:footnote w:id="1839">
    <w:p>
      <w:pPr>
        <w:pStyle w:val="FootnoteText"/>
      </w:pPr>
      <w:r>
        <w:rPr>
          <w:rStyle w:val="FootnoteReference"/>
        </w:rPr>
        <w:footnoteRef/>
      </w:r>
      <w:r>
        <w:t xml:space="preserve"> </w:t>
      </w:r>
      <w:r>
        <w:t xml:space="preserve">NCT07678073.</w:t>
      </w:r>
    </w:p>
  </w:footnote>
  <w:footnote w:id="1840">
    <w:p>
      <w:pPr>
        <w:pStyle w:val="FootnoteText"/>
      </w:pPr>
      <w:r>
        <w:rPr>
          <w:rStyle w:val="FootnoteReference"/>
        </w:rPr>
        <w:footnoteRef/>
      </w:r>
      <w:r>
        <w:t xml:space="preserve"> </w:t>
      </w:r>
      <w:r>
        <w:t xml:space="preserve">NCT03878706.</w:t>
      </w:r>
    </w:p>
  </w:footnote>
  <w:footnote w:id="1845">
    <w:p>
      <w:pPr>
        <w:pStyle w:val="FootnoteText"/>
      </w:pPr>
      <w:r>
        <w:rPr>
          <w:rStyle w:val="FootnoteReference"/>
        </w:rPr>
        <w:footnoteRef/>
      </w:r>
      <w:r>
        <w:t xml:space="preserve"> </w:t>
      </w:r>
      <w:r>
        <w:t xml:space="preserve">Hashimoto 2001, PMID 11717357.</w:t>
      </w:r>
    </w:p>
  </w:footnote>
  <w:footnote w:id="1846">
    <w:p>
      <w:pPr>
        <w:pStyle w:val="FootnoteText"/>
      </w:pPr>
      <w:r>
        <w:rPr>
          <w:rStyle w:val="FootnoteReference"/>
        </w:rPr>
        <w:footnoteRef/>
      </w:r>
      <w:r>
        <w:t xml:space="preserve"> </w:t>
      </w:r>
      <w:r>
        <w:t xml:space="preserve">Hashimoto 2009, PMID 19386761.</w:t>
      </w:r>
    </w:p>
  </w:footnote>
  <w:footnote w:id="1847">
    <w:p>
      <w:pPr>
        <w:pStyle w:val="FootnoteText"/>
      </w:pPr>
      <w:r>
        <w:rPr>
          <w:rStyle w:val="FootnoteReference"/>
        </w:rPr>
        <w:footnoteRef/>
      </w:r>
      <w:r>
        <w:t xml:space="preserve"> </w:t>
      </w:r>
      <w:r>
        <w:t xml:space="preserve">Miller 2022, PMID 35499074.</w:t>
      </w:r>
    </w:p>
  </w:footnote>
  <w:footnote w:id="1849">
    <w:p>
      <w:pPr>
        <w:pStyle w:val="FootnoteText"/>
      </w:pPr>
      <w:r>
        <w:rPr>
          <w:rStyle w:val="FootnoteReference"/>
        </w:rPr>
        <w:footnoteRef/>
      </w:r>
      <w:r>
        <w:t xml:space="preserve"> </w:t>
      </w:r>
      <w:r>
        <w:t xml:space="preserve">Lee 2014, PMID 25040290.</w:t>
      </w:r>
    </w:p>
  </w:footnote>
  <w:footnote w:id="1853">
    <w:p>
      <w:pPr>
        <w:pStyle w:val="FootnoteText"/>
      </w:pPr>
      <w:r>
        <w:rPr>
          <w:rStyle w:val="FootnoteReference"/>
        </w:rPr>
        <w:footnoteRef/>
      </w:r>
      <w:r>
        <w:t xml:space="preserve"> </w:t>
      </w:r>
      <w:r>
        <w:t xml:space="preserve">Yen 2020, PMID 32575074.</w:t>
      </w:r>
    </w:p>
  </w:footnote>
  <w:footnote w:id="1854">
    <w:p>
      <w:pPr>
        <w:pStyle w:val="FootnoteText"/>
      </w:pPr>
      <w:r>
        <w:rPr>
          <w:rStyle w:val="FootnoteReference"/>
        </w:rPr>
        <w:footnoteRef/>
      </w:r>
      <w:r>
        <w:t xml:space="preserve"> </w:t>
      </w:r>
      <w:r>
        <w:t xml:space="preserve">Muzumdar 2010, PMID 20651283.</w:t>
      </w:r>
    </w:p>
  </w:footnote>
  <w:footnote w:id="1855">
    <w:p>
      <w:pPr>
        <w:pStyle w:val="FootnoteText"/>
      </w:pPr>
      <w:r>
        <w:rPr>
          <w:rStyle w:val="FootnoteReference"/>
        </w:rPr>
        <w:footnoteRef/>
      </w:r>
      <w:r>
        <w:t xml:space="preserve"> </w:t>
      </w:r>
      <w:r>
        <w:t xml:space="preserve">Qin 2018, PMID 30004252.</w:t>
      </w:r>
    </w:p>
  </w:footnote>
  <w:footnote w:id="1856">
    <w:p>
      <w:pPr>
        <w:pStyle w:val="FootnoteText"/>
      </w:pPr>
      <w:r>
        <w:rPr>
          <w:rStyle w:val="FootnoteReference"/>
        </w:rPr>
        <w:footnoteRef/>
      </w:r>
      <w:r>
        <w:t xml:space="preserve"> </w:t>
      </w:r>
      <w:r>
        <w:t xml:space="preserve">Miller 2024, PMID 38520065.</w:t>
      </w:r>
    </w:p>
  </w:footnote>
  <w:footnote w:id="1857">
    <w:p>
      <w:pPr>
        <w:pStyle w:val="FootnoteText"/>
      </w:pPr>
      <w:r>
        <w:rPr>
          <w:rStyle w:val="FootnoteReference"/>
        </w:rPr>
        <w:footnoteRef/>
      </w:r>
      <w:r>
        <w:t xml:space="preserve"> </w:t>
      </w:r>
      <w:r>
        <w:t xml:space="preserve">Nashine 2017, PMID 28726777.</w:t>
      </w:r>
    </w:p>
  </w:footnote>
  <w:footnote w:id="1859">
    <w:p>
      <w:pPr>
        <w:pStyle w:val="FootnoteText"/>
      </w:pPr>
      <w:r>
        <w:rPr>
          <w:rStyle w:val="FootnoteReference"/>
        </w:rPr>
        <w:footnoteRef/>
      </w:r>
      <w:r>
        <w:t xml:space="preserve"> </w:t>
      </w:r>
      <w:r>
        <w:t xml:space="preserve">Moreno Ayala 2020, PMID 32444831.</w:t>
      </w:r>
    </w:p>
  </w:footnote>
  <w:footnote w:id="1860">
    <w:p>
      <w:pPr>
        <w:pStyle w:val="FootnoteText"/>
      </w:pPr>
      <w:r>
        <w:rPr>
          <w:rStyle w:val="FootnoteReference"/>
        </w:rPr>
        <w:footnoteRef/>
      </w:r>
      <w:r>
        <w:t xml:space="preserve"> </w:t>
      </w:r>
      <w:r>
        <w:t xml:space="preserve">Mendelsohn 2018, PMID 30058454.</w:t>
      </w:r>
    </w:p>
  </w:footnote>
  <w:footnote w:id="1863">
    <w:p>
      <w:pPr>
        <w:pStyle w:val="FootnoteText"/>
      </w:pPr>
      <w:r>
        <w:rPr>
          <w:rStyle w:val="FootnoteReference"/>
        </w:rPr>
        <w:footnoteRef/>
      </w:r>
      <w:r>
        <w:t xml:space="preserve"> </w:t>
      </w:r>
      <w:r>
        <w:t xml:space="preserve">NCT07678073.</w:t>
      </w:r>
    </w:p>
  </w:footnote>
  <w:footnote w:id="1868">
    <w:p>
      <w:pPr>
        <w:pStyle w:val="FootnoteText"/>
      </w:pPr>
      <w:r>
        <w:rPr>
          <w:rStyle w:val="FootnoteReference"/>
        </w:rPr>
        <w:footnoteRef/>
      </w:r>
      <w:r>
        <w:t xml:space="preserve"> </w:t>
      </w:r>
      <w:r>
        <w:t xml:space="preserve">Szeto 2014, PMID 24117165.</w:t>
      </w:r>
    </w:p>
  </w:footnote>
  <w:footnote w:id="1870">
    <w:p>
      <w:pPr>
        <w:pStyle w:val="FootnoteText"/>
      </w:pPr>
      <w:r>
        <w:rPr>
          <w:rStyle w:val="FootnoteReference"/>
        </w:rPr>
        <w:footnoteRef/>
      </w:r>
      <w:r>
        <w:t xml:space="preserve"> </w:t>
      </w:r>
      <w:r>
        <w:t xml:space="preserve">NCT03098797.</w:t>
      </w:r>
    </w:p>
  </w:footnote>
  <w:footnote w:id="1871">
    <w:p>
      <w:pPr>
        <w:pStyle w:val="FootnoteText"/>
      </w:pPr>
      <w:r>
        <w:rPr>
          <w:rStyle w:val="FootnoteReference"/>
        </w:rPr>
        <w:footnoteRef/>
      </w:r>
      <w:r>
        <w:t xml:space="preserve"> </w:t>
      </w:r>
      <w:r>
        <w:t xml:space="preserve">Reid Thompson 2021, PMID 33077895.</w:t>
      </w:r>
    </w:p>
  </w:footnote>
  <w:footnote w:id="1872">
    <w:p>
      <w:pPr>
        <w:pStyle w:val="FootnoteText"/>
      </w:pPr>
      <w:r>
        <w:rPr>
          <w:rStyle w:val="FootnoteReference"/>
        </w:rPr>
        <w:footnoteRef/>
      </w:r>
      <w:r>
        <w:t xml:space="preserve"> </w:t>
      </w:r>
      <w:r>
        <w:t xml:space="preserve">Reid Thompson 2021, PMID 33077895.</w:t>
      </w:r>
    </w:p>
  </w:footnote>
  <w:footnote w:id="1873">
    <w:p>
      <w:pPr>
        <w:pStyle w:val="FootnoteText"/>
      </w:pPr>
      <w:r>
        <w:rPr>
          <w:rStyle w:val="FootnoteReference"/>
        </w:rPr>
        <w:footnoteRef/>
      </w:r>
      <w:r>
        <w:t xml:space="preserve"> </w:t>
      </w:r>
      <w:r>
        <w:t xml:space="preserve">Thompson 2024, PMID 38602181.</w:t>
      </w:r>
    </w:p>
  </w:footnote>
  <w:footnote w:id="1874">
    <w:p>
      <w:pPr>
        <w:pStyle w:val="FootnoteText"/>
      </w:pPr>
      <w:r>
        <w:rPr>
          <w:rStyle w:val="FootnoteReference"/>
        </w:rPr>
        <w:footnoteRef/>
      </w:r>
      <w:r>
        <w:t xml:space="preserve"> </w:t>
      </w:r>
      <w:r>
        <w:t xml:space="preserve">Hornby 2022, PMID 36056411.</w:t>
      </w:r>
    </w:p>
  </w:footnote>
  <w:footnote w:id="1875">
    <w:p>
      <w:pPr>
        <w:pStyle w:val="FootnoteText"/>
      </w:pPr>
      <w:r>
        <w:rPr>
          <w:rStyle w:val="FootnoteReference"/>
        </w:rPr>
        <w:footnoteRef/>
      </w:r>
      <w:r>
        <w:t xml:space="preserve"> </w:t>
      </w:r>
      <w:r>
        <w:t xml:space="preserve">Shirley 2026, PMID 41335372.</w:t>
      </w:r>
    </w:p>
  </w:footnote>
  <w:footnote w:id="1876">
    <w:p>
      <w:pPr>
        <w:pStyle w:val="FootnoteText"/>
      </w:pPr>
      <w:r>
        <w:rPr>
          <w:rStyle w:val="FootnoteReference"/>
        </w:rPr>
        <w:footnoteRef/>
      </w:r>
      <w:r>
        <w:t xml:space="preserve"> </w:t>
      </w:r>
      <w:r>
        <w:t xml:space="preserve">NCT07531251.</w:t>
      </w:r>
    </w:p>
  </w:footnote>
  <w:footnote w:id="1878">
    <w:p>
      <w:pPr>
        <w:pStyle w:val="FootnoteText"/>
      </w:pPr>
      <w:r>
        <w:rPr>
          <w:rStyle w:val="FootnoteReference"/>
        </w:rPr>
        <w:footnoteRef/>
      </w:r>
      <w:r>
        <w:t xml:space="preserve"> </w:t>
      </w:r>
      <w:r>
        <w:t xml:space="preserve">NCT03323749.</w:t>
      </w:r>
    </w:p>
  </w:footnote>
  <w:footnote w:id="1879">
    <w:p>
      <w:pPr>
        <w:pStyle w:val="FootnoteText"/>
      </w:pPr>
      <w:r>
        <w:rPr>
          <w:rStyle w:val="FootnoteReference"/>
        </w:rPr>
        <w:footnoteRef/>
      </w:r>
      <w:r>
        <w:t xml:space="preserve"> </w:t>
      </w:r>
      <w:r>
        <w:t xml:space="preserve">Karaa 2023, PMID 37268435.</w:t>
      </w:r>
    </w:p>
  </w:footnote>
  <w:footnote w:id="1880">
    <w:p>
      <w:pPr>
        <w:pStyle w:val="FootnoteText"/>
      </w:pPr>
      <w:r>
        <w:rPr>
          <w:rStyle w:val="FootnoteReference"/>
        </w:rPr>
        <w:footnoteRef/>
      </w:r>
      <w:r>
        <w:t xml:space="preserve"> </w:t>
      </w:r>
      <w:r>
        <w:t xml:space="preserve">Karaa 2024, PMID 39574155.</w:t>
      </w:r>
    </w:p>
  </w:footnote>
  <w:footnote w:id="1881">
    <w:p>
      <w:pPr>
        <w:pStyle w:val="FootnoteText"/>
      </w:pPr>
      <w:r>
        <w:rPr>
          <w:rStyle w:val="FootnoteReference"/>
        </w:rPr>
        <w:footnoteRef/>
      </w:r>
      <w:r>
        <w:t xml:space="preserve"> </w:t>
      </w:r>
      <w:r>
        <w:t xml:space="preserve">NCT05162768.</w:t>
      </w:r>
    </w:p>
  </w:footnote>
  <w:footnote w:id="1883">
    <w:p>
      <w:pPr>
        <w:pStyle w:val="FootnoteText"/>
      </w:pPr>
      <w:r>
        <w:rPr>
          <w:rStyle w:val="FootnoteReference"/>
        </w:rPr>
        <w:footnoteRef/>
      </w:r>
      <w:r>
        <w:t xml:space="preserve"> </w:t>
      </w:r>
      <w:r>
        <w:t xml:space="preserve">Gibson 2016, PMID 26586786 ; Butler 2020, PMID 32068002.</w:t>
      </w:r>
    </w:p>
  </w:footnote>
  <w:footnote w:id="1884">
    <w:p>
      <w:pPr>
        <w:pStyle w:val="FootnoteText"/>
      </w:pPr>
      <w:r>
        <w:rPr>
          <w:rStyle w:val="FootnoteReference"/>
        </w:rPr>
        <w:footnoteRef/>
      </w:r>
      <w:r>
        <w:t xml:space="preserve"> </w:t>
      </w:r>
      <w:r>
        <w:t xml:space="preserve">Ehlers 2025, PMID 39605874.</w:t>
      </w:r>
    </w:p>
  </w:footnote>
  <w:footnote w:id="1885">
    <w:p>
      <w:pPr>
        <w:pStyle w:val="FootnoteText"/>
      </w:pPr>
      <w:r>
        <w:rPr>
          <w:rStyle w:val="FootnoteReference"/>
        </w:rPr>
        <w:footnoteRef/>
      </w:r>
      <w:r>
        <w:t xml:space="preserve"> </w:t>
      </w:r>
      <w:r>
        <w:t xml:space="preserve">NCT06373731.</w:t>
      </w:r>
    </w:p>
  </w:footnote>
  <w:footnote w:id="1886">
    <w:p>
      <w:pPr>
        <w:pStyle w:val="FootnoteText"/>
      </w:pPr>
      <w:r>
        <w:rPr>
          <w:rStyle w:val="FootnoteReference"/>
        </w:rPr>
        <w:footnoteRef/>
      </w:r>
      <w:r>
        <w:t xml:space="preserve"> </w:t>
      </w:r>
      <w:r>
        <w:t xml:space="preserve">Roshanravan 2021, PMID 34264994.</w:t>
      </w:r>
    </w:p>
  </w:footnote>
  <w:footnote w:id="1889">
    <w:p>
      <w:pPr>
        <w:pStyle w:val="FootnoteText"/>
      </w:pPr>
      <w:r>
        <w:rPr>
          <w:rStyle w:val="FootnoteReference"/>
        </w:rPr>
        <w:footnoteRef/>
      </w:r>
      <w:r>
        <w:t xml:space="preserve"> </w:t>
      </w:r>
      <w:r>
        <w:t xml:space="preserve">Szeto 2014, PMID 24117165.</w:t>
      </w:r>
    </w:p>
  </w:footnote>
  <w:footnote w:id="1890">
    <w:p>
      <w:pPr>
        <w:pStyle w:val="FootnoteText"/>
      </w:pPr>
      <w:r>
        <w:rPr>
          <w:rStyle w:val="FootnoteReference"/>
        </w:rPr>
        <w:footnoteRef/>
      </w:r>
      <w:r>
        <w:t xml:space="preserve"> </w:t>
      </w:r>
      <w:r>
        <w:t xml:space="preserve">Sabbah 2016, PMID 26839394.</w:t>
      </w:r>
    </w:p>
  </w:footnote>
  <w:footnote w:id="1891">
    <w:p>
      <w:pPr>
        <w:pStyle w:val="FootnoteText"/>
      </w:pPr>
      <w:r>
        <w:rPr>
          <w:rStyle w:val="FootnoteReference"/>
        </w:rPr>
        <w:footnoteRef/>
      </w:r>
      <w:r>
        <w:t xml:space="preserve"> </w:t>
      </w:r>
      <w:r>
        <w:t xml:space="preserve">Schauer 2026, PMID 41596703.</w:t>
      </w:r>
    </w:p>
  </w:footnote>
  <w:footnote w:id="1893">
    <w:p>
      <w:pPr>
        <w:pStyle w:val="FootnoteText"/>
      </w:pPr>
      <w:r>
        <w:rPr>
          <w:rStyle w:val="FootnoteReference"/>
        </w:rPr>
        <w:footnoteRef/>
      </w:r>
      <w:r>
        <w:t xml:space="preserve"> </w:t>
      </w:r>
      <w:r>
        <w:t xml:space="preserve">Karaa 2020, PMID 32096613.</w:t>
      </w:r>
    </w:p>
  </w:footnote>
  <w:footnote w:id="1894">
    <w:p>
      <w:pPr>
        <w:pStyle w:val="FootnoteText"/>
      </w:pPr>
      <w:r>
        <w:rPr>
          <w:rStyle w:val="FootnoteReference"/>
        </w:rPr>
        <w:footnoteRef/>
      </w:r>
      <w:r>
        <w:t xml:space="preserve"> </w:t>
      </w:r>
      <w:r>
        <w:t xml:space="preserve">Ehlers 2025, PMID 39605874.</w:t>
      </w:r>
    </w:p>
  </w:footnote>
  <w:footnote w:id="1895">
    <w:p>
      <w:pPr>
        <w:pStyle w:val="FootnoteText"/>
      </w:pPr>
      <w:r>
        <w:rPr>
          <w:rStyle w:val="FootnoteReference"/>
        </w:rPr>
        <w:footnoteRef/>
      </w:r>
      <w:r>
        <w:t xml:space="preserve"> </w:t>
      </w:r>
      <w:r>
        <w:t xml:space="preserve">Karaa 2023, PMID 37268435.</w:t>
      </w:r>
    </w:p>
  </w:footnote>
  <w:footnote w:id="1896">
    <w:p>
      <w:pPr>
        <w:pStyle w:val="FootnoteText"/>
      </w:pPr>
      <w:r>
        <w:rPr>
          <w:rStyle w:val="FootnoteReference"/>
        </w:rPr>
        <w:footnoteRef/>
      </w:r>
      <w:r>
        <w:t xml:space="preserve"> </w:t>
      </w:r>
      <w:r>
        <w:t xml:space="preserve">Thompson 2024, PMID 38602181.</w:t>
      </w:r>
    </w:p>
  </w:footnote>
  <w:footnote w:id="1898">
    <w:p>
      <w:pPr>
        <w:pStyle w:val="FootnoteText"/>
      </w:pPr>
      <w:r>
        <w:rPr>
          <w:rStyle w:val="FootnoteReference"/>
        </w:rPr>
        <w:footnoteRef/>
      </w:r>
      <w:r>
        <w:t xml:space="preserve"> </w:t>
      </w:r>
      <w:r>
        <w:t xml:space="preserve">NCT04689360.</w:t>
      </w:r>
    </w:p>
  </w:footnote>
  <w:footnote w:id="1900">
    <w:p>
      <w:pPr>
        <w:pStyle w:val="FootnoteText"/>
      </w:pPr>
      <w:r>
        <w:rPr>
          <w:rStyle w:val="FootnoteReference"/>
        </w:rPr>
        <w:footnoteRef/>
      </w:r>
      <w:r>
        <w:t xml:space="preserve"> </w:t>
      </w:r>
      <w:r>
        <w:t xml:space="preserve">NCT06373731.</w:t>
      </w:r>
    </w:p>
  </w:footnote>
  <w:footnote w:id="1901">
    <w:p>
      <w:pPr>
        <w:pStyle w:val="FootnoteText"/>
      </w:pPr>
      <w:r>
        <w:rPr>
          <w:rStyle w:val="FootnoteReference"/>
        </w:rPr>
        <w:footnoteRef/>
      </w:r>
      <w:r>
        <w:t xml:space="preserve"> </w:t>
      </w:r>
      <w:r>
        <w:t xml:space="preserve">NCT07531251.</w:t>
      </w:r>
    </w:p>
  </w:footnote>
  <w:footnote w:id="1902">
    <w:p>
      <w:pPr>
        <w:pStyle w:val="FootnoteText"/>
      </w:pPr>
      <w:r>
        <w:rPr>
          <w:rStyle w:val="FootnoteReference"/>
        </w:rPr>
        <w:footnoteRef/>
      </w:r>
      <w:r>
        <w:t xml:space="preserve"> </w:t>
      </w:r>
      <w:r>
        <w:t xml:space="preserve">NCT05162768.</w:t>
      </w:r>
    </w:p>
  </w:footnote>
  <w:footnote w:id="1903">
    <w:p>
      <w:pPr>
        <w:pStyle w:val="FootnoteText"/>
      </w:pPr>
      <w:r>
        <w:rPr>
          <w:rStyle w:val="FootnoteReference"/>
        </w:rPr>
        <w:footnoteRef/>
      </w:r>
      <w:r>
        <w:t xml:space="preserve"> </w:t>
      </w:r>
      <w:r>
        <w:t xml:space="preserve">NCT07275424.</w:t>
      </w:r>
    </w:p>
  </w:footnote>
  <w:footnote w:id="1908">
    <w:p>
      <w:pPr>
        <w:pStyle w:val="FootnoteText"/>
      </w:pPr>
      <w:r>
        <w:rPr>
          <w:rStyle w:val="FootnoteReference"/>
        </w:rPr>
        <w:footnoteRef/>
      </w:r>
      <w:r>
        <w:t xml:space="preserve"> </w:t>
      </w:r>
      <w:r>
        <w:t xml:space="preserve">Baar 2017, PMID 28340339.</w:t>
      </w:r>
    </w:p>
  </w:footnote>
  <w:footnote w:id="1909">
    <w:p>
      <w:pPr>
        <w:pStyle w:val="FootnoteText"/>
      </w:pPr>
      <w:r>
        <w:rPr>
          <w:rStyle w:val="FootnoteReference"/>
        </w:rPr>
        <w:footnoteRef/>
      </w:r>
      <w:r>
        <w:t xml:space="preserve"> </w:t>
      </w:r>
      <w:r>
        <w:t xml:space="preserve">Bourgeois 2025, PMID 40593617.</w:t>
      </w:r>
    </w:p>
  </w:footnote>
  <w:footnote w:id="1910">
    <w:p>
      <w:pPr>
        <w:pStyle w:val="FootnoteText"/>
      </w:pPr>
      <w:r>
        <w:rPr>
          <w:rStyle w:val="FootnoteReference"/>
        </w:rPr>
        <w:footnoteRef/>
      </w:r>
      <w:r>
        <w:t xml:space="preserve"> </w:t>
      </w:r>
      <w:r>
        <w:t xml:space="preserve">Justice 2019, PMID 30616998.</w:t>
      </w:r>
    </w:p>
  </w:footnote>
  <w:footnote w:id="1911">
    <w:p>
      <w:pPr>
        <w:pStyle w:val="FootnoteText"/>
      </w:pPr>
      <w:r>
        <w:rPr>
          <w:rStyle w:val="FootnoteReference"/>
        </w:rPr>
        <w:footnoteRef/>
      </w:r>
      <w:r>
        <w:t xml:space="preserve"> </w:t>
      </w:r>
      <w:r>
        <w:t xml:space="preserve">Farr 2024, PMID 38956196.</w:t>
      </w:r>
    </w:p>
  </w:footnote>
  <w:footnote w:id="1914">
    <w:p>
      <w:pPr>
        <w:pStyle w:val="FootnoteText"/>
      </w:pPr>
      <w:r>
        <w:rPr>
          <w:rStyle w:val="FootnoteReference"/>
        </w:rPr>
        <w:footnoteRef/>
      </w:r>
      <w:r>
        <w:t xml:space="preserve"> </w:t>
      </w:r>
      <w:r>
        <w:t xml:space="preserve">Huang 2021, PMID 33996787.</w:t>
      </w:r>
    </w:p>
  </w:footnote>
  <w:footnote w:id="1916">
    <w:p>
      <w:pPr>
        <w:pStyle w:val="FootnoteText"/>
      </w:pPr>
      <w:r>
        <w:rPr>
          <w:rStyle w:val="FootnoteReference"/>
        </w:rPr>
        <w:footnoteRef/>
      </w:r>
      <w:r>
        <w:t xml:space="preserve"> </w:t>
      </w:r>
      <w:r>
        <w:t xml:space="preserve">Baar 2017, PMID 28340339.</w:t>
      </w:r>
    </w:p>
  </w:footnote>
  <w:footnote w:id="1917">
    <w:p>
      <w:pPr>
        <w:pStyle w:val="FootnoteText"/>
      </w:pPr>
      <w:r>
        <w:rPr>
          <w:rStyle w:val="FootnoteReference"/>
        </w:rPr>
        <w:footnoteRef/>
      </w:r>
      <w:r>
        <w:t xml:space="preserve"> </w:t>
      </w:r>
      <w:r>
        <w:t xml:space="preserve">Born 2023, PMID 36515093.</w:t>
      </w:r>
    </w:p>
  </w:footnote>
  <w:footnote w:id="1919">
    <w:p>
      <w:pPr>
        <w:pStyle w:val="FootnoteText"/>
      </w:pPr>
      <w:r>
        <w:rPr>
          <w:rStyle w:val="FootnoteReference"/>
        </w:rPr>
        <w:footnoteRef/>
      </w:r>
      <w:r>
        <w:t xml:space="preserve"> </w:t>
      </w:r>
      <w:r>
        <w:t xml:space="preserve">Born 2023, PMID 36515093.</w:t>
      </w:r>
    </w:p>
  </w:footnote>
  <w:footnote w:id="1920">
    <w:p>
      <w:pPr>
        <w:pStyle w:val="FootnoteText"/>
      </w:pPr>
      <w:r>
        <w:rPr>
          <w:rStyle w:val="FootnoteReference"/>
        </w:rPr>
        <w:footnoteRef/>
      </w:r>
      <w:r>
        <w:t xml:space="preserve"> </w:t>
      </w:r>
      <w:r>
        <w:t xml:space="preserve">Bourgeois 2025, PMID 40593617.</w:t>
      </w:r>
    </w:p>
  </w:footnote>
  <w:footnote w:id="1928">
    <w:p>
      <w:pPr>
        <w:pStyle w:val="FootnoteText"/>
      </w:pPr>
      <w:r>
        <w:rPr>
          <w:rStyle w:val="FootnoteReference"/>
        </w:rPr>
        <w:footnoteRef/>
      </w:r>
      <w:r>
        <w:t xml:space="preserve"> </w:t>
      </w:r>
      <w:r>
        <w:t xml:space="preserve">Allen 2011, PMID 21875351.</w:t>
      </w:r>
    </w:p>
  </w:footnote>
  <w:footnote w:id="1929">
    <w:p>
      <w:pPr>
        <w:pStyle w:val="FootnoteText"/>
      </w:pPr>
      <w:r>
        <w:rPr>
          <w:rStyle w:val="FootnoteReference"/>
        </w:rPr>
        <w:footnoteRef/>
      </w:r>
      <w:r>
        <w:t xml:space="preserve"> </w:t>
      </w:r>
      <w:r>
        <w:t xml:space="preserve">Richie 2015, PMID 24791752.</w:t>
      </w:r>
    </w:p>
  </w:footnote>
  <w:footnote w:id="1930">
    <w:p>
      <w:pPr>
        <w:pStyle w:val="FootnoteText"/>
      </w:pPr>
      <w:r>
        <w:rPr>
          <w:rStyle w:val="FootnoteReference"/>
        </w:rPr>
        <w:footnoteRef/>
      </w:r>
      <w:r>
        <w:t xml:space="preserve"> </w:t>
      </w:r>
      <w:r>
        <w:t xml:space="preserve">Sinha 2018, PMID 28853742.</w:t>
      </w:r>
    </w:p>
  </w:footnote>
  <w:footnote w:id="1932">
    <w:p>
      <w:pPr>
        <w:pStyle w:val="FootnoteText"/>
      </w:pPr>
      <w:r>
        <w:rPr>
          <w:rStyle w:val="FootnoteReference"/>
        </w:rPr>
        <w:footnoteRef/>
      </w:r>
      <w:r>
        <w:t xml:space="preserve"> </w:t>
      </w:r>
      <w:r>
        <w:t xml:space="preserve">Leal 2014, PMID 24619793.</w:t>
      </w:r>
    </w:p>
  </w:footnote>
  <w:footnote w:id="1933">
    <w:p>
      <w:pPr>
        <w:pStyle w:val="FootnoteText"/>
      </w:pPr>
      <w:r>
        <w:rPr>
          <w:rStyle w:val="FootnoteReference"/>
        </w:rPr>
        <w:footnoteRef/>
      </w:r>
      <w:r>
        <w:t xml:space="preserve"> </w:t>
      </w:r>
      <w:r>
        <w:t xml:space="preserve">Hauser 2009, PMID 19230029.</w:t>
      </w:r>
    </w:p>
  </w:footnote>
  <w:footnote w:id="1934">
    <w:p>
      <w:pPr>
        <w:pStyle w:val="FootnoteText"/>
      </w:pPr>
      <w:r>
        <w:rPr>
          <w:rStyle w:val="FootnoteReference"/>
        </w:rPr>
        <w:footnoteRef/>
      </w:r>
      <w:r>
        <w:t xml:space="preserve"> </w:t>
      </w:r>
      <w:r>
        <w:t xml:space="preserve">Mischley 2017, PMID 28436395.</w:t>
      </w:r>
    </w:p>
  </w:footnote>
  <w:footnote w:id="1935">
    <w:p>
      <w:pPr>
        <w:pStyle w:val="FootnoteText"/>
      </w:pPr>
      <w:r>
        <w:rPr>
          <w:rStyle w:val="FootnoteReference"/>
        </w:rPr>
        <w:footnoteRef/>
      </w:r>
      <w:r>
        <w:t xml:space="preserve"> </w:t>
      </w:r>
      <w:r>
        <w:t xml:space="preserve">Bozic 2020, PMID 32960827.</w:t>
      </w:r>
    </w:p>
  </w:footnote>
  <w:footnote w:id="1936">
    <w:p>
      <w:pPr>
        <w:pStyle w:val="FootnoteText"/>
      </w:pPr>
      <w:r>
        <w:rPr>
          <w:rStyle w:val="FootnoteReference"/>
        </w:rPr>
        <w:footnoteRef/>
      </w:r>
      <w:r>
        <w:t xml:space="preserve"> </w:t>
      </w:r>
      <w:r>
        <w:t xml:space="preserve">Søndergård 2021, PMID 33740389.</w:t>
      </w:r>
    </w:p>
  </w:footnote>
  <w:footnote w:id="1937">
    <w:p>
      <w:pPr>
        <w:pStyle w:val="FootnoteText"/>
      </w:pPr>
      <w:r>
        <w:rPr>
          <w:rStyle w:val="FootnoteReference"/>
        </w:rPr>
        <w:footnoteRef/>
      </w:r>
      <w:r>
        <w:t xml:space="preserve"> </w:t>
      </w:r>
      <w:r>
        <w:t xml:space="preserve">Honda 2017, PMID 28789631.</w:t>
      </w:r>
    </w:p>
  </w:footnote>
  <w:footnote w:id="1938">
    <w:p>
      <w:pPr>
        <w:pStyle w:val="FootnoteText"/>
      </w:pPr>
      <w:r>
        <w:rPr>
          <w:rStyle w:val="FootnoteReference"/>
        </w:rPr>
        <w:footnoteRef/>
      </w:r>
      <w:r>
        <w:t xml:space="preserve"> </w:t>
      </w:r>
      <w:r>
        <w:t xml:space="preserve">Arrivi 2023, PMID 36083043.</w:t>
      </w:r>
    </w:p>
  </w:footnote>
  <w:footnote w:id="1940">
    <w:p>
      <w:pPr>
        <w:pStyle w:val="FootnoteText"/>
      </w:pPr>
      <w:r>
        <w:rPr>
          <w:rStyle w:val="FootnoteReference"/>
        </w:rPr>
        <w:footnoteRef/>
      </w:r>
      <w:r>
        <w:t xml:space="preserve"> </w:t>
      </w:r>
      <w:r>
        <w:t xml:space="preserve">Arjinpathana 2012, PMID 20524875.</w:t>
      </w:r>
    </w:p>
  </w:footnote>
  <w:footnote w:id="1941">
    <w:p>
      <w:pPr>
        <w:pStyle w:val="FootnoteText"/>
      </w:pPr>
      <w:r>
        <w:rPr>
          <w:rStyle w:val="FootnoteReference"/>
        </w:rPr>
        <w:footnoteRef/>
      </w:r>
      <w:r>
        <w:t xml:space="preserve"> </w:t>
      </w:r>
      <w:r>
        <w:t xml:space="preserve">Dilokthornsakul 2019, PMID 30895708.</w:t>
      </w:r>
    </w:p>
  </w:footnote>
  <w:footnote w:id="1942">
    <w:p>
      <w:pPr>
        <w:pStyle w:val="FootnoteText"/>
      </w:pPr>
      <w:r>
        <w:rPr>
          <w:rStyle w:val="FootnoteReference"/>
        </w:rPr>
        <w:footnoteRef/>
      </w:r>
      <w:r>
        <w:t xml:space="preserve"> </w:t>
      </w:r>
      <w:r>
        <w:t xml:space="preserve">Sarkar 2025, PMID 39444151.</w:t>
      </w:r>
    </w:p>
  </w:footnote>
  <w:footnote w:id="1943">
    <w:p>
      <w:pPr>
        <w:pStyle w:val="FootnoteText"/>
      </w:pPr>
      <w:r>
        <w:rPr>
          <w:rStyle w:val="FootnoteReference"/>
        </w:rPr>
        <w:footnoteRef/>
      </w:r>
      <w:r>
        <w:t xml:space="preserve"> </w:t>
      </w:r>
      <w:r>
        <w:t xml:space="preserve">Sarkar 2025, PMID 39444151.</w:t>
      </w:r>
    </w:p>
  </w:footnote>
  <w:footnote w:id="1944">
    <w:p>
      <w:pPr>
        <w:pStyle w:val="FootnoteText"/>
      </w:pPr>
      <w:r>
        <w:rPr>
          <w:rStyle w:val="FootnoteReference"/>
        </w:rPr>
        <w:footnoteRef/>
      </w:r>
      <w:r>
        <w:t xml:space="preserve"> </w:t>
      </w:r>
      <w:r>
        <w:t xml:space="preserve">Davids 2016, PMID 27499402.</w:t>
      </w:r>
    </w:p>
  </w:footnote>
  <w:footnote w:id="1945">
    <w:p>
      <w:pPr>
        <w:pStyle w:val="FootnoteText"/>
      </w:pPr>
      <w:r>
        <w:rPr>
          <w:rStyle w:val="FootnoteReference"/>
        </w:rPr>
        <w:footnoteRef/>
      </w:r>
      <w:r>
        <w:t xml:space="preserve"> </w:t>
      </w:r>
      <w:r>
        <w:t xml:space="preserve">Dadzie 2016, PMID 27581922.</w:t>
      </w:r>
    </w:p>
  </w:footnote>
  <w:footnote w:id="1949">
    <w:p>
      <w:pPr>
        <w:pStyle w:val="FootnoteText"/>
      </w:pPr>
      <w:r>
        <w:rPr>
          <w:rStyle w:val="FootnoteReference"/>
        </w:rPr>
        <w:footnoteRef/>
      </w:r>
      <w:r>
        <w:t xml:space="preserve"> </w:t>
      </w:r>
      <w:r>
        <w:t xml:space="preserve">Mischley 2017, PMID 28436395.</w:t>
      </w:r>
    </w:p>
  </w:footnote>
  <w:footnote w:id="1950">
    <w:p>
      <w:pPr>
        <w:pStyle w:val="FootnoteText"/>
      </w:pPr>
      <w:r>
        <w:rPr>
          <w:rStyle w:val="FootnoteReference"/>
        </w:rPr>
        <w:footnoteRef/>
      </w:r>
      <w:r>
        <w:t xml:space="preserve"> </w:t>
      </w:r>
      <w:r>
        <w:t xml:space="preserve">Davids 2016, PMID 27499402.</w:t>
      </w:r>
    </w:p>
  </w:footnote>
  <w:footnote w:id="1951">
    <w:p>
      <w:pPr>
        <w:pStyle w:val="FootnoteText"/>
      </w:pPr>
      <w:r>
        <w:rPr>
          <w:rStyle w:val="FootnoteReference"/>
        </w:rPr>
        <w:footnoteRef/>
      </w:r>
      <w:r>
        <w:t xml:space="preserve"> </w:t>
      </w:r>
      <w:r>
        <w:t xml:space="preserve">Leal 2014, PMID 24619793.</w:t>
      </w:r>
    </w:p>
  </w:footnote>
  <w:footnote w:id="1954">
    <w:p>
      <w:pPr>
        <w:pStyle w:val="FootnoteText"/>
      </w:pPr>
      <w:r>
        <w:rPr>
          <w:rStyle w:val="FootnoteReference"/>
        </w:rPr>
        <w:footnoteRef/>
      </w:r>
      <w:r>
        <w:t xml:space="preserve"> </w:t>
      </w:r>
      <w:r>
        <w:t xml:space="preserve">NCT07448415.</w:t>
      </w:r>
    </w:p>
  </w:footnote>
  <w:footnote w:id="1959">
    <w:p>
      <w:pPr>
        <w:pStyle w:val="FootnoteText"/>
      </w:pPr>
      <w:r>
        <w:rPr>
          <w:rStyle w:val="FootnoteReference"/>
        </w:rPr>
        <w:footnoteRef/>
      </w:r>
      <w:r>
        <w:t xml:space="preserve"> </w:t>
      </w:r>
      <w:r>
        <w:t xml:space="preserve">Hadley 2006, PMID 16412534.</w:t>
      </w:r>
    </w:p>
  </w:footnote>
  <w:footnote w:id="1960">
    <w:p>
      <w:pPr>
        <w:pStyle w:val="FootnoteText"/>
      </w:pPr>
      <w:r>
        <w:rPr>
          <w:rStyle w:val="FootnoteReference"/>
        </w:rPr>
        <w:footnoteRef/>
      </w:r>
      <w:r>
        <w:t xml:space="preserve"> </w:t>
      </w:r>
      <w:r>
        <w:t xml:space="preserve">Hadley 2005, PMID 15996790.</w:t>
      </w:r>
    </w:p>
  </w:footnote>
  <w:footnote w:id="1965">
    <w:p>
      <w:pPr>
        <w:pStyle w:val="FootnoteText"/>
      </w:pPr>
      <w:r>
        <w:rPr>
          <w:rStyle w:val="FootnoteReference"/>
        </w:rPr>
        <w:footnoteRef/>
      </w:r>
      <w:r>
        <w:t xml:space="preserve"> </w:t>
      </w:r>
      <w:r>
        <w:t xml:space="preserve">Hadley 2006, PMID 16412534.</w:t>
      </w:r>
    </w:p>
  </w:footnote>
  <w:footnote w:id="1966">
    <w:p>
      <w:pPr>
        <w:pStyle w:val="FootnoteText"/>
      </w:pPr>
      <w:r>
        <w:rPr>
          <w:rStyle w:val="FootnoteReference"/>
        </w:rPr>
        <w:footnoteRef/>
      </w:r>
      <w:r>
        <w:t xml:space="preserve"> </w:t>
      </w:r>
      <w:r>
        <w:t xml:space="preserve">Dhillon 2019, PMID 31429064.</w:t>
      </w:r>
    </w:p>
  </w:footnote>
  <w:footnote w:id="1968">
    <w:p>
      <w:pPr>
        <w:pStyle w:val="FootnoteText"/>
      </w:pPr>
      <w:r>
        <w:rPr>
          <w:rStyle w:val="FootnoteReference"/>
        </w:rPr>
        <w:footnoteRef/>
      </w:r>
      <w:r>
        <w:t xml:space="preserve"> </w:t>
      </w:r>
      <w:r>
        <w:t xml:space="preserve">Hadley 2005, PMID 15996790.</w:t>
      </w:r>
    </w:p>
  </w:footnote>
  <w:footnote w:id="1969">
    <w:p>
      <w:pPr>
        <w:pStyle w:val="FootnoteText"/>
      </w:pPr>
      <w:r>
        <w:rPr>
          <w:rStyle w:val="FootnoteReference"/>
        </w:rPr>
        <w:footnoteRef/>
      </w:r>
      <w:r>
        <w:t xml:space="preserve"> </w:t>
      </w:r>
      <w:r>
        <w:t xml:space="preserve">Pfaus 2022, PMID 33455598.</w:t>
      </w:r>
    </w:p>
  </w:footnote>
  <w:footnote w:id="1970">
    <w:p>
      <w:pPr>
        <w:pStyle w:val="FootnoteText"/>
      </w:pPr>
      <w:r>
        <w:rPr>
          <w:rStyle w:val="FootnoteReference"/>
        </w:rPr>
        <w:footnoteRef/>
      </w:r>
      <w:r>
        <w:t xml:space="preserve"> </w:t>
      </w:r>
      <w:r>
        <w:t xml:space="preserve">Pfaus 2022, PMID 33455598.</w:t>
      </w:r>
    </w:p>
  </w:footnote>
  <w:footnote w:id="1971">
    <w:p>
      <w:pPr>
        <w:pStyle w:val="FootnoteText"/>
      </w:pPr>
      <w:r>
        <w:rPr>
          <w:rStyle w:val="FootnoteReference"/>
        </w:rPr>
        <w:footnoteRef/>
      </w:r>
      <w:r>
        <w:t xml:space="preserve"> </w:t>
      </w:r>
      <w:r>
        <w:t xml:space="preserve">Thurston 2022, PMID 36189794.</w:t>
      </w:r>
    </w:p>
  </w:footnote>
  <w:footnote w:id="1973">
    <w:p>
      <w:pPr>
        <w:pStyle w:val="FootnoteText"/>
      </w:pPr>
      <w:r>
        <w:rPr>
          <w:rStyle w:val="FootnoteReference"/>
        </w:rPr>
        <w:footnoteRef/>
      </w:r>
      <w:r>
        <w:t xml:space="preserve"> </w:t>
      </w:r>
      <w:r>
        <w:t xml:space="preserve">Diamond 2004, PMID 14963471.</w:t>
      </w:r>
    </w:p>
  </w:footnote>
  <w:footnote w:id="1974">
    <w:p>
      <w:pPr>
        <w:pStyle w:val="FootnoteText"/>
      </w:pPr>
      <w:r>
        <w:rPr>
          <w:rStyle w:val="FootnoteReference"/>
        </w:rPr>
        <w:footnoteRef/>
      </w:r>
      <w:r>
        <w:t xml:space="preserve"> </w:t>
      </w:r>
      <w:r>
        <w:t xml:space="preserve">Rosen 2004, PMID 14999221.</w:t>
      </w:r>
    </w:p>
  </w:footnote>
  <w:footnote w:id="1975">
    <w:p>
      <w:pPr>
        <w:pStyle w:val="FootnoteText"/>
      </w:pPr>
      <w:r>
        <w:rPr>
          <w:rStyle w:val="FootnoteReference"/>
        </w:rPr>
        <w:footnoteRef/>
      </w:r>
      <w:r>
        <w:t xml:space="preserve"> </w:t>
      </w:r>
      <w:r>
        <w:t xml:space="preserve">Diamond 2005, PMID 15833522.</w:t>
      </w:r>
    </w:p>
  </w:footnote>
  <w:footnote w:id="1976">
    <w:p>
      <w:pPr>
        <w:pStyle w:val="FootnoteText"/>
      </w:pPr>
      <w:r>
        <w:rPr>
          <w:rStyle w:val="FootnoteReference"/>
        </w:rPr>
        <w:footnoteRef/>
      </w:r>
      <w:r>
        <w:t xml:space="preserve"> </w:t>
      </w:r>
      <w:r>
        <w:t xml:space="preserve">Safarinejad 2008, PMID 18206919.</w:t>
      </w:r>
    </w:p>
  </w:footnote>
  <w:footnote w:id="1977">
    <w:p>
      <w:pPr>
        <w:pStyle w:val="FootnoteText"/>
      </w:pPr>
      <w:r>
        <w:rPr>
          <w:rStyle w:val="FootnoteReference"/>
        </w:rPr>
        <w:footnoteRef/>
      </w:r>
      <w:r>
        <w:t xml:space="preserve"> </w:t>
      </w:r>
      <w:r>
        <w:t xml:space="preserve">Safarinejad 2008, PMID 18179455.</w:t>
      </w:r>
    </w:p>
  </w:footnote>
  <w:footnote w:id="1979">
    <w:p>
      <w:pPr>
        <w:pStyle w:val="FootnoteText"/>
      </w:pPr>
      <w:r>
        <w:rPr>
          <w:rStyle w:val="FootnoteReference"/>
        </w:rPr>
        <w:footnoteRef/>
      </w:r>
      <w:r>
        <w:t xml:space="preserve"> </w:t>
      </w:r>
      <w:r>
        <w:t xml:space="preserve">Diamond 2006, PMID 16839319.</w:t>
      </w:r>
    </w:p>
  </w:footnote>
  <w:footnote w:id="1980">
    <w:p>
      <w:pPr>
        <w:pStyle w:val="FootnoteText"/>
      </w:pPr>
      <w:r>
        <w:rPr>
          <w:rStyle w:val="FootnoteReference"/>
        </w:rPr>
        <w:footnoteRef/>
      </w:r>
      <w:r>
        <w:t xml:space="preserve"> </w:t>
      </w:r>
      <w:r>
        <w:t xml:space="preserve">Clayton 2016, PMID 27181790 ; NCT01382719.</w:t>
      </w:r>
    </w:p>
  </w:footnote>
  <w:footnote w:id="1981">
    <w:p>
      <w:pPr>
        <w:pStyle w:val="FootnoteText"/>
      </w:pPr>
      <w:r>
        <w:rPr>
          <w:rStyle w:val="FootnoteReference"/>
        </w:rPr>
        <w:footnoteRef/>
      </w:r>
      <w:r>
        <w:t xml:space="preserve"> </w:t>
      </w:r>
      <w:r>
        <w:t xml:space="preserve">Althof 2019, PMID 31277966.</w:t>
      </w:r>
    </w:p>
  </w:footnote>
  <w:footnote w:id="1983">
    <w:p>
      <w:pPr>
        <w:pStyle w:val="FootnoteText"/>
      </w:pPr>
      <w:r>
        <w:rPr>
          <w:rStyle w:val="FootnoteReference"/>
        </w:rPr>
        <w:footnoteRef/>
      </w:r>
      <w:r>
        <w:t xml:space="preserve"> </w:t>
      </w:r>
      <w:r>
        <w:t xml:space="preserve">NCT02333071, NCT02338960.</w:t>
      </w:r>
    </w:p>
  </w:footnote>
  <w:footnote w:id="1984">
    <w:p>
      <w:pPr>
        <w:pStyle w:val="FootnoteText"/>
      </w:pPr>
      <w:r>
        <w:rPr>
          <w:rStyle w:val="FootnoteReference"/>
        </w:rPr>
        <w:footnoteRef/>
      </w:r>
      <w:r>
        <w:t xml:space="preserve"> </w:t>
      </w:r>
      <w:r>
        <w:t xml:space="preserve">Kingsberg 2019, PMID 31599840.</w:t>
      </w:r>
    </w:p>
  </w:footnote>
  <w:footnote w:id="1985">
    <w:p>
      <w:pPr>
        <w:pStyle w:val="FootnoteText"/>
      </w:pPr>
      <w:r>
        <w:rPr>
          <w:rStyle w:val="FootnoteReference"/>
        </w:rPr>
        <w:footnoteRef/>
      </w:r>
      <w:r>
        <w:t xml:space="preserve"> </w:t>
      </w:r>
      <w:r>
        <w:t xml:space="preserve">Koochaki 2021, PMID 33538638.</w:t>
      </w:r>
    </w:p>
  </w:footnote>
  <w:footnote w:id="1987">
    <w:p>
      <w:pPr>
        <w:pStyle w:val="FootnoteText"/>
      </w:pPr>
      <w:r>
        <w:rPr>
          <w:rStyle w:val="FootnoteReference"/>
        </w:rPr>
        <w:footnoteRef/>
      </w:r>
      <w:r>
        <w:t xml:space="preserve"> </w:t>
      </w:r>
      <w:r>
        <w:t xml:space="preserve">Spielmans 2021, PMID 33678061.</w:t>
      </w:r>
    </w:p>
  </w:footnote>
  <w:footnote w:id="1988">
    <w:p>
      <w:pPr>
        <w:pStyle w:val="FootnoteText"/>
      </w:pPr>
      <w:r>
        <w:rPr>
          <w:rStyle w:val="FootnoteReference"/>
        </w:rPr>
        <w:footnoteRef/>
      </w:r>
      <w:r>
        <w:t xml:space="preserve"> </w:t>
      </w:r>
      <w:r>
        <w:t xml:space="preserve">Clayton 2022, PMID 35147466.</w:t>
      </w:r>
    </w:p>
  </w:footnote>
  <w:footnote w:id="1990">
    <w:p>
      <w:pPr>
        <w:pStyle w:val="FootnoteText"/>
      </w:pPr>
      <w:r>
        <w:rPr>
          <w:rStyle w:val="FootnoteReference"/>
        </w:rPr>
        <w:footnoteRef/>
      </w:r>
      <w:r>
        <w:t xml:space="preserve"> </w:t>
      </w:r>
      <w:r>
        <w:t xml:space="preserve">Weinberger 2018, PMID 29995725.</w:t>
      </w:r>
    </w:p>
  </w:footnote>
  <w:footnote w:id="1991">
    <w:p>
      <w:pPr>
        <w:pStyle w:val="FootnoteText"/>
      </w:pPr>
      <w:r>
        <w:rPr>
          <w:rStyle w:val="FootnoteReference"/>
        </w:rPr>
        <w:footnoteRef/>
      </w:r>
      <w:r>
        <w:t xml:space="preserve"> </w:t>
      </w:r>
      <w:r>
        <w:t xml:space="preserve">Toledo 2026, PMID 40543759.</w:t>
      </w:r>
    </w:p>
  </w:footnote>
  <w:footnote w:id="1992">
    <w:p>
      <w:pPr>
        <w:pStyle w:val="FootnoteText"/>
      </w:pPr>
      <w:r>
        <w:rPr>
          <w:rStyle w:val="FootnoteReference"/>
        </w:rPr>
        <w:footnoteRef/>
      </w:r>
      <w:r>
        <w:t xml:space="preserve"> </w:t>
      </w:r>
      <w:r>
        <w:t xml:space="preserve">Ashour 2026, PMID 42254382.</w:t>
      </w:r>
    </w:p>
  </w:footnote>
  <w:footnote w:id="1994">
    <w:p>
      <w:pPr>
        <w:pStyle w:val="FootnoteText"/>
      </w:pPr>
      <w:r>
        <w:rPr>
          <w:rStyle w:val="FootnoteReference"/>
        </w:rPr>
        <w:footnoteRef/>
      </w:r>
      <w:r>
        <w:t xml:space="preserve"> </w:t>
      </w:r>
      <w:r>
        <w:t xml:space="preserve">Clayton 2017, PMID 28189361.</w:t>
      </w:r>
    </w:p>
  </w:footnote>
  <w:footnote w:id="1995">
    <w:p>
      <w:pPr>
        <w:pStyle w:val="FootnoteText"/>
      </w:pPr>
      <w:r>
        <w:rPr>
          <w:rStyle w:val="FootnoteReference"/>
        </w:rPr>
        <w:footnoteRef/>
      </w:r>
      <w:r>
        <w:t xml:space="preserve"> </w:t>
      </w:r>
      <w:r>
        <w:t xml:space="preserve">Spana 2022, PMID 35170192.</w:t>
      </w:r>
    </w:p>
  </w:footnote>
  <w:footnote w:id="1996">
    <w:p>
      <w:pPr>
        <w:pStyle w:val="FootnoteText"/>
      </w:pPr>
      <w:r>
        <w:rPr>
          <w:rStyle w:val="FootnoteReference"/>
        </w:rPr>
        <w:footnoteRef/>
      </w:r>
      <w:r>
        <w:t xml:space="preserve"> </w:t>
      </w:r>
      <w:r>
        <w:t xml:space="preserve">Thurston 2022, PMID 36189794 ; NCT04179734.</w:t>
      </w:r>
    </w:p>
  </w:footnote>
  <w:footnote w:id="1999">
    <w:p>
      <w:pPr>
        <w:pStyle w:val="FootnoteText"/>
      </w:pPr>
      <w:r>
        <w:rPr>
          <w:rStyle w:val="FootnoteReference"/>
        </w:rPr>
        <w:footnoteRef/>
      </w:r>
      <w:r>
        <w:t xml:space="preserve"> </w:t>
      </w:r>
      <w:r>
        <w:t xml:space="preserve">Pfaus 2022, PMID 33455598.</w:t>
      </w:r>
    </w:p>
  </w:footnote>
  <w:footnote w:id="2000">
    <w:p>
      <w:pPr>
        <w:pStyle w:val="FootnoteText"/>
      </w:pPr>
      <w:r>
        <w:rPr>
          <w:rStyle w:val="FootnoteReference"/>
        </w:rPr>
        <w:footnoteRef/>
      </w:r>
      <w:r>
        <w:t xml:space="preserve"> </w:t>
      </w:r>
      <w:r>
        <w:t xml:space="preserve">Borland 2025, PMID 39793696.</w:t>
      </w:r>
    </w:p>
  </w:footnote>
  <w:footnote w:id="2001">
    <w:p>
      <w:pPr>
        <w:pStyle w:val="FootnoteText"/>
      </w:pPr>
      <w:r>
        <w:rPr>
          <w:rStyle w:val="FootnoteReference"/>
        </w:rPr>
        <w:footnoteRef/>
      </w:r>
      <w:r>
        <w:t xml:space="preserve"> </w:t>
      </w:r>
      <w:r>
        <w:t xml:space="preserve">Suzuki 2024, PMID 39197897.</w:t>
      </w:r>
    </w:p>
  </w:footnote>
  <w:footnote w:id="2003">
    <w:p>
      <w:pPr>
        <w:pStyle w:val="FootnoteText"/>
      </w:pPr>
      <w:r>
        <w:rPr>
          <w:rStyle w:val="FootnoteReference"/>
        </w:rPr>
        <w:footnoteRef/>
      </w:r>
      <w:r>
        <w:t xml:space="preserve"> </w:t>
      </w:r>
      <w:r>
        <w:t xml:space="preserve">Clayton 2022, PMID 35147466.</w:t>
      </w:r>
    </w:p>
  </w:footnote>
  <w:footnote w:id="2004">
    <w:p>
      <w:pPr>
        <w:pStyle w:val="FootnoteText"/>
      </w:pPr>
      <w:r>
        <w:rPr>
          <w:rStyle w:val="FootnoteReference"/>
        </w:rPr>
        <w:footnoteRef/>
      </w:r>
      <w:r>
        <w:t xml:space="preserve"> </w:t>
      </w:r>
      <w:r>
        <w:t xml:space="preserve">NCT03973047.</w:t>
      </w:r>
    </w:p>
  </w:footnote>
  <w:footnote w:id="2005">
    <w:p>
      <w:pPr>
        <w:pStyle w:val="FootnoteText"/>
      </w:pPr>
      <w:r>
        <w:rPr>
          <w:rStyle w:val="FootnoteReference"/>
        </w:rPr>
        <w:footnoteRef/>
      </w:r>
      <w:r>
        <w:t xml:space="preserve"> </w:t>
      </w:r>
      <w:r>
        <w:t xml:space="preserve">White 2017, PMID 27977473.</w:t>
      </w:r>
    </w:p>
  </w:footnote>
  <w:footnote w:id="2006">
    <w:p>
      <w:pPr>
        <w:pStyle w:val="FootnoteText"/>
      </w:pPr>
      <w:r>
        <w:rPr>
          <w:rStyle w:val="FootnoteReference"/>
        </w:rPr>
        <w:footnoteRef/>
      </w:r>
      <w:r>
        <w:t xml:space="preserve"> </w:t>
      </w:r>
      <w:r>
        <w:t xml:space="preserve">Clayton 2022, PMID 35147466.</w:t>
      </w:r>
    </w:p>
  </w:footnote>
  <w:footnote w:id="2007">
    <w:p>
      <w:pPr>
        <w:pStyle w:val="FootnoteText"/>
      </w:pPr>
      <w:r>
        <w:rPr>
          <w:rStyle w:val="FootnoteReference"/>
        </w:rPr>
        <w:footnoteRef/>
      </w:r>
      <w:r>
        <w:t xml:space="preserve"> </w:t>
      </w:r>
      <w:r>
        <w:t xml:space="preserve">Clayton 2022, PMID 35147466.</w:t>
      </w:r>
    </w:p>
  </w:footnote>
  <w:footnote w:id="2009">
    <w:p>
      <w:pPr>
        <w:pStyle w:val="FootnoteText"/>
      </w:pPr>
      <w:r>
        <w:rPr>
          <w:rStyle w:val="FootnoteReference"/>
        </w:rPr>
        <w:footnoteRef/>
      </w:r>
      <w:r>
        <w:t xml:space="preserve"> </w:t>
      </w:r>
      <w:r>
        <w:t xml:space="preserve">NCT06867835.</w:t>
      </w:r>
    </w:p>
  </w:footnote>
  <w:footnote w:id="2011">
    <w:p>
      <w:pPr>
        <w:pStyle w:val="FootnoteText"/>
      </w:pPr>
      <w:r>
        <w:rPr>
          <w:rStyle w:val="FootnoteReference"/>
        </w:rPr>
        <w:footnoteRef/>
      </w:r>
      <w:r>
        <w:t xml:space="preserve"> </w:t>
      </w:r>
      <w:r>
        <w:t xml:space="preserve">Mestria 2021, PMID 33245851.</w:t>
      </w:r>
    </w:p>
  </w:footnote>
  <w:footnote w:id="2014">
    <w:p>
      <w:pPr>
        <w:pStyle w:val="FootnoteText"/>
      </w:pPr>
      <w:r>
        <w:rPr>
          <w:rStyle w:val="FootnoteReference"/>
        </w:rPr>
        <w:footnoteRef/>
      </w:r>
      <w:r>
        <w:t xml:space="preserve"> </w:t>
      </w:r>
      <w:r>
        <w:t xml:space="preserve">NCT04943068.</w:t>
      </w:r>
    </w:p>
  </w:footnote>
  <w:footnote w:id="2016">
    <w:p>
      <w:pPr>
        <w:pStyle w:val="FootnoteText"/>
      </w:pPr>
      <w:r>
        <w:rPr>
          <w:rStyle w:val="FootnoteReference"/>
        </w:rPr>
        <w:footnoteRef/>
      </w:r>
      <w:r>
        <w:t xml:space="preserve"> </w:t>
      </w:r>
      <w:r>
        <w:t xml:space="preserve">NCT06565611.</w:t>
      </w:r>
    </w:p>
  </w:footnote>
  <w:footnote w:id="2017">
    <w:p>
      <w:pPr>
        <w:pStyle w:val="FootnoteText"/>
      </w:pPr>
      <w:r>
        <w:rPr>
          <w:rStyle w:val="FootnoteReference"/>
        </w:rPr>
        <w:footnoteRef/>
      </w:r>
      <w:r>
        <w:t xml:space="preserve"> </w:t>
      </w:r>
      <w:r>
        <w:t xml:space="preserve">NCT05709444.</w:t>
      </w:r>
    </w:p>
  </w:footnote>
  <w:footnote w:id="2018">
    <w:p>
      <w:pPr>
        <w:pStyle w:val="FootnoteText"/>
      </w:pPr>
      <w:r>
        <w:rPr>
          <w:rStyle w:val="FootnoteReference"/>
        </w:rPr>
        <w:footnoteRef/>
      </w:r>
      <w:r>
        <w:t xml:space="preserve"> </w:t>
      </w:r>
      <w:r>
        <w:t xml:space="preserve">NCT06867835.</w:t>
      </w:r>
    </w:p>
  </w:footnote>
  <w:footnote w:id="2022">
    <w:p>
      <w:pPr>
        <w:pStyle w:val="FootnoteText"/>
      </w:pPr>
      <w:r>
        <w:rPr>
          <w:rStyle w:val="FootnoteReference"/>
        </w:rPr>
        <w:footnoteRef/>
      </w:r>
      <w:r>
        <w:t xml:space="preserve"> </w:t>
      </w:r>
      <w:r>
        <w:t xml:space="preserve">Dorr 1996, PMID 8637402.</w:t>
      </w:r>
    </w:p>
  </w:footnote>
  <w:footnote w:id="2023">
    <w:p>
      <w:pPr>
        <w:pStyle w:val="FootnoteText"/>
      </w:pPr>
      <w:r>
        <w:rPr>
          <w:rStyle w:val="FootnoteReference"/>
        </w:rPr>
        <w:footnoteRef/>
      </w:r>
      <w:r>
        <w:t xml:space="preserve"> </w:t>
      </w:r>
      <w:r>
        <w:t xml:space="preserve">Hadley 2006, PMID 16412534.</w:t>
      </w:r>
    </w:p>
  </w:footnote>
  <w:footnote w:id="2025">
    <w:p>
      <w:pPr>
        <w:pStyle w:val="FootnoteText"/>
      </w:pPr>
      <w:r>
        <w:rPr>
          <w:rStyle w:val="FootnoteReference"/>
        </w:rPr>
        <w:footnoteRef/>
      </w:r>
      <w:r>
        <w:t xml:space="preserve"> </w:t>
      </w:r>
      <w:r>
        <w:t xml:space="preserve">Langan 2011, PMID 21547334.</w:t>
      </w:r>
    </w:p>
  </w:footnote>
  <w:footnote w:id="2027">
    <w:p>
      <w:pPr>
        <w:pStyle w:val="FootnoteText"/>
      </w:pPr>
      <w:r>
        <w:rPr>
          <w:rStyle w:val="FootnoteReference"/>
        </w:rPr>
        <w:footnoteRef/>
      </w:r>
      <w:r>
        <w:t xml:space="preserve"> </w:t>
      </w:r>
      <w:r>
        <w:t xml:space="preserve">Dorr 1996, PMID 8637402.</w:t>
      </w:r>
    </w:p>
  </w:footnote>
  <w:footnote w:id="2028">
    <w:p>
      <w:pPr>
        <w:pStyle w:val="FootnoteText"/>
      </w:pPr>
      <w:r>
        <w:rPr>
          <w:rStyle w:val="FootnoteReference"/>
        </w:rPr>
        <w:footnoteRef/>
      </w:r>
      <w:r>
        <w:t xml:space="preserve"> </w:t>
      </w:r>
      <w:r>
        <w:t xml:space="preserve">Wessells 1998, PMID 9679884 ; Wessells 2000, PMID 11018622.</w:t>
      </w:r>
    </w:p>
  </w:footnote>
  <w:footnote w:id="2029">
    <w:p>
      <w:pPr>
        <w:pStyle w:val="FootnoteText"/>
      </w:pPr>
      <w:r>
        <w:rPr>
          <w:rStyle w:val="FootnoteReference"/>
        </w:rPr>
        <w:footnoteRef/>
      </w:r>
      <w:r>
        <w:t xml:space="preserve"> </w:t>
      </w:r>
      <w:r>
        <w:t xml:space="preserve">Wessells 2000, PMID 11035391.</w:t>
      </w:r>
    </w:p>
  </w:footnote>
  <w:footnote w:id="2031">
    <w:p>
      <w:pPr>
        <w:pStyle w:val="FootnoteText"/>
      </w:pPr>
      <w:r>
        <w:rPr>
          <w:rStyle w:val="FootnoteReference"/>
        </w:rPr>
        <w:footnoteRef/>
      </w:r>
      <w:r>
        <w:t xml:space="preserve"> </w:t>
      </w:r>
      <w:r>
        <w:t xml:space="preserve">Dorr 2000, PMID 11045725.</w:t>
      </w:r>
    </w:p>
  </w:footnote>
  <w:footnote w:id="2032">
    <w:p>
      <w:pPr>
        <w:pStyle w:val="FootnoteText"/>
      </w:pPr>
      <w:r>
        <w:rPr>
          <w:rStyle w:val="FootnoteReference"/>
        </w:rPr>
        <w:footnoteRef/>
      </w:r>
      <w:r>
        <w:t xml:space="preserve"> </w:t>
      </w:r>
      <w:r>
        <w:t xml:space="preserve">Dorr 2004, PMID 15262693.</w:t>
      </w:r>
    </w:p>
  </w:footnote>
  <w:footnote w:id="2034">
    <w:p>
      <w:pPr>
        <w:pStyle w:val="FootnoteText"/>
      </w:pPr>
      <w:r>
        <w:rPr>
          <w:rStyle w:val="FootnoteReference"/>
        </w:rPr>
        <w:footnoteRef/>
      </w:r>
      <w:r>
        <w:t xml:space="preserve"> </w:t>
      </w:r>
      <w:r>
        <w:t xml:space="preserve">Evans-Brown 2009, PMID 19224885.</w:t>
      </w:r>
    </w:p>
  </w:footnote>
  <w:footnote w:id="2035">
    <w:p>
      <w:pPr>
        <w:pStyle w:val="FootnoteText"/>
      </w:pPr>
      <w:r>
        <w:rPr>
          <w:rStyle w:val="FootnoteReference"/>
        </w:rPr>
        <w:footnoteRef/>
      </w:r>
      <w:r>
        <w:t xml:space="preserve"> </w:t>
      </w:r>
      <w:r>
        <w:t xml:space="preserve">Brennan 2017, PMID 26806443.</w:t>
      </w:r>
    </w:p>
  </w:footnote>
  <w:footnote w:id="2036">
    <w:p>
      <w:pPr>
        <w:pStyle w:val="FootnoteText"/>
      </w:pPr>
      <w:r>
        <w:rPr>
          <w:rStyle w:val="FootnoteReference"/>
        </w:rPr>
        <w:footnoteRef/>
      </w:r>
      <w:r>
        <w:t xml:space="preserve"> </w:t>
      </w:r>
      <w:r>
        <w:t xml:space="preserve">Gilhooley 2021, PMID 34464955.</w:t>
      </w:r>
    </w:p>
  </w:footnote>
  <w:footnote w:id="2037">
    <w:p>
      <w:pPr>
        <w:pStyle w:val="FootnoteText"/>
      </w:pPr>
      <w:r>
        <w:rPr>
          <w:rStyle w:val="FootnoteReference"/>
        </w:rPr>
        <w:footnoteRef/>
      </w:r>
      <w:r>
        <w:t xml:space="preserve"> </w:t>
      </w:r>
      <w:r>
        <w:t xml:space="preserve">Callaghan 2018, PMID 30142729.</w:t>
      </w:r>
    </w:p>
  </w:footnote>
  <w:footnote w:id="2038">
    <w:p>
      <w:pPr>
        <w:pStyle w:val="FootnoteText"/>
      </w:pPr>
      <w:r>
        <w:rPr>
          <w:rStyle w:val="FootnoteReference"/>
        </w:rPr>
        <w:footnoteRef/>
      </w:r>
      <w:r>
        <w:t xml:space="preserve"> </w:t>
      </w:r>
      <w:r>
        <w:t xml:space="preserve">Orr 2025, PMID 38808957 ; Herlihy 2025, PMID 39148422 ; Sidhu 2026, PMID 41559011.</w:t>
      </w:r>
    </w:p>
  </w:footnote>
  <w:footnote w:id="2041">
    <w:p>
      <w:pPr>
        <w:pStyle w:val="FootnoteText"/>
      </w:pPr>
      <w:r>
        <w:rPr>
          <w:rStyle w:val="FootnoteReference"/>
        </w:rPr>
        <w:footnoteRef/>
      </w:r>
      <w:r>
        <w:t xml:space="preserve"> </w:t>
      </w:r>
      <w:r>
        <w:t xml:space="preserve">Strader 2007, PMID 17567964.</w:t>
      </w:r>
    </w:p>
  </w:footnote>
  <w:footnote w:id="2042">
    <w:p>
      <w:pPr>
        <w:pStyle w:val="FootnoteText"/>
      </w:pPr>
      <w:r>
        <w:rPr>
          <w:rStyle w:val="FootnoteReference"/>
        </w:rPr>
        <w:footnoteRef/>
      </w:r>
      <w:r>
        <w:t xml:space="preserve"> </w:t>
      </w:r>
      <w:r>
        <w:t xml:space="preserve">Jain 2018, PMID 29812984.</w:t>
      </w:r>
    </w:p>
  </w:footnote>
  <w:footnote w:id="2043">
    <w:p>
      <w:pPr>
        <w:pStyle w:val="FootnoteText"/>
      </w:pPr>
      <w:r>
        <w:rPr>
          <w:rStyle w:val="FootnoteReference"/>
        </w:rPr>
        <w:footnoteRef/>
      </w:r>
      <w:r>
        <w:t xml:space="preserve"> </w:t>
      </w:r>
      <w:r>
        <w:t xml:space="preserve">Minakova 2019, PMID 30629642.</w:t>
      </w:r>
    </w:p>
  </w:footnote>
  <w:footnote w:id="2045">
    <w:p>
      <w:pPr>
        <w:pStyle w:val="FootnoteText"/>
      </w:pPr>
      <w:r>
        <w:rPr>
          <w:rStyle w:val="FootnoteReference"/>
        </w:rPr>
        <w:footnoteRef/>
      </w:r>
      <w:r>
        <w:t xml:space="preserve"> </w:t>
      </w:r>
      <w:r>
        <w:t xml:space="preserve">Dorr 1996, PMID 8637402 ; Wessells 2000, PMID 11035391.</w:t>
      </w:r>
    </w:p>
  </w:footnote>
  <w:footnote w:id="2046">
    <w:p>
      <w:pPr>
        <w:pStyle w:val="FootnoteText"/>
      </w:pPr>
      <w:r>
        <w:rPr>
          <w:rStyle w:val="FootnoteReference"/>
        </w:rPr>
        <w:footnoteRef/>
      </w:r>
      <w:r>
        <w:t xml:space="preserve"> </w:t>
      </w:r>
      <w:r>
        <w:t xml:space="preserve">Paurobally 2013, PMID 22182016.</w:t>
      </w:r>
    </w:p>
  </w:footnote>
  <w:footnote w:id="2047">
    <w:p>
      <w:pPr>
        <w:pStyle w:val="FootnoteText"/>
      </w:pPr>
      <w:r>
        <w:rPr>
          <w:rStyle w:val="FootnoteReference"/>
        </w:rPr>
        <w:footnoteRef/>
      </w:r>
      <w:r>
        <w:t xml:space="preserve"> </w:t>
      </w:r>
      <w:r>
        <w:t xml:space="preserve">Bonchev 2026, PMID 41752902.</w:t>
      </w:r>
    </w:p>
  </w:footnote>
  <w:footnote w:id="2048">
    <w:p>
      <w:pPr>
        <w:pStyle w:val="FootnoteText"/>
      </w:pPr>
      <w:r>
        <w:rPr>
          <w:rStyle w:val="FootnoteReference"/>
        </w:rPr>
        <w:footnoteRef/>
      </w:r>
      <w:r>
        <w:t xml:space="preserve"> </w:t>
      </w:r>
      <w:r>
        <w:t xml:space="preserve">Ume 2026, PMID 42212476.</w:t>
      </w:r>
    </w:p>
  </w:footnote>
  <w:footnote w:id="2050">
    <w:p>
      <w:pPr>
        <w:pStyle w:val="FootnoteText"/>
      </w:pPr>
      <w:r>
        <w:rPr>
          <w:rStyle w:val="FootnoteReference"/>
        </w:rPr>
        <w:footnoteRef/>
      </w:r>
      <w:r>
        <w:t xml:space="preserve"> </w:t>
      </w:r>
      <w:r>
        <w:t xml:space="preserve">Cousen 2009, PMID 19575725 ; Thestrup-Pedersen 2011, PMID 21453640.</w:t>
      </w:r>
    </w:p>
  </w:footnote>
  <w:footnote w:id="2051">
    <w:p>
      <w:pPr>
        <w:pStyle w:val="FootnoteText"/>
      </w:pPr>
      <w:r>
        <w:rPr>
          <w:rStyle w:val="FootnoteReference"/>
        </w:rPr>
        <w:footnoteRef/>
      </w:r>
      <w:r>
        <w:t xml:space="preserve"> </w:t>
      </w:r>
      <w:r>
        <w:t xml:space="preserve">Reid 2013, PMID 23914578.</w:t>
      </w:r>
    </w:p>
  </w:footnote>
  <w:footnote w:id="2052">
    <w:p>
      <w:pPr>
        <w:pStyle w:val="FootnoteText"/>
      </w:pPr>
      <w:r>
        <w:rPr>
          <w:rStyle w:val="FootnoteReference"/>
        </w:rPr>
        <w:footnoteRef/>
      </w:r>
      <w:r>
        <w:t xml:space="preserve"> </w:t>
      </w:r>
      <w:r>
        <w:t xml:space="preserve">Paurobally 2011, PMID 21564053 ; Ong 2012, PMID 22724573.</w:t>
      </w:r>
    </w:p>
  </w:footnote>
  <w:footnote w:id="2053">
    <w:p>
      <w:pPr>
        <w:pStyle w:val="FootnoteText"/>
      </w:pPr>
      <w:r>
        <w:rPr>
          <w:rStyle w:val="FootnoteReference"/>
        </w:rPr>
        <w:footnoteRef/>
      </w:r>
      <w:r>
        <w:t xml:space="preserve"> </w:t>
      </w:r>
      <w:r>
        <w:t xml:space="preserve">Hjuler 2014, PMID 24355990.</w:t>
      </w:r>
    </w:p>
  </w:footnote>
  <w:footnote w:id="2054">
    <w:p>
      <w:pPr>
        <w:pStyle w:val="FootnoteText"/>
      </w:pPr>
      <w:r>
        <w:rPr>
          <w:rStyle w:val="FootnoteReference"/>
        </w:rPr>
        <w:footnoteRef/>
      </w:r>
      <w:r>
        <w:t xml:space="preserve"> </w:t>
      </w:r>
      <w:r>
        <w:t xml:space="preserve">Yassin Alsabbagh 2025, PMID 40210573.</w:t>
      </w:r>
    </w:p>
  </w:footnote>
  <w:footnote w:id="2055">
    <w:p>
      <w:pPr>
        <w:pStyle w:val="FootnoteText"/>
      </w:pPr>
      <w:r>
        <w:rPr>
          <w:rStyle w:val="FootnoteReference"/>
        </w:rPr>
        <w:footnoteRef/>
      </w:r>
      <w:r>
        <w:t xml:space="preserve"> </w:t>
      </w:r>
      <w:r>
        <w:t xml:space="preserve">Burian 2019, PMID 31119650.</w:t>
      </w:r>
    </w:p>
  </w:footnote>
  <w:footnote w:id="2056">
    <w:p>
      <w:pPr>
        <w:pStyle w:val="FootnoteText"/>
      </w:pPr>
      <w:r>
        <w:rPr>
          <w:rStyle w:val="FootnoteReference"/>
        </w:rPr>
        <w:footnoteRef/>
      </w:r>
      <w:r>
        <w:t xml:space="preserve"> </w:t>
      </w:r>
      <w:r>
        <w:t xml:space="preserve">Habbema 2017, PMID 28266027.</w:t>
      </w:r>
    </w:p>
  </w:footnote>
  <w:footnote w:id="2058">
    <w:p>
      <w:pPr>
        <w:pStyle w:val="FootnoteText"/>
      </w:pPr>
      <w:r>
        <w:rPr>
          <w:rStyle w:val="FootnoteReference"/>
        </w:rPr>
        <w:footnoteRef/>
      </w:r>
      <w:r>
        <w:t xml:space="preserve"> </w:t>
      </w:r>
      <w:r>
        <w:t xml:space="preserve">Devlin 2013, PMID 23537392 ; Dreyer 2019, PMID 30796078.</w:t>
      </w:r>
    </w:p>
  </w:footnote>
  <w:footnote w:id="2059">
    <w:p>
      <w:pPr>
        <w:pStyle w:val="FootnoteText"/>
      </w:pPr>
      <w:r>
        <w:rPr>
          <w:rStyle w:val="FootnoteReference"/>
        </w:rPr>
        <w:footnoteRef/>
      </w:r>
      <w:r>
        <w:t xml:space="preserve"> </w:t>
      </w:r>
      <w:r>
        <w:t xml:space="preserve">Mallory 2021, PMID 33460908.</w:t>
      </w:r>
    </w:p>
  </w:footnote>
  <w:footnote w:id="2060">
    <w:p>
      <w:pPr>
        <w:pStyle w:val="FootnoteText"/>
      </w:pPr>
      <w:r>
        <w:rPr>
          <w:rStyle w:val="FootnoteReference"/>
        </w:rPr>
        <w:footnoteRef/>
      </w:r>
      <w:r>
        <w:t xml:space="preserve"> </w:t>
      </w:r>
      <w:r>
        <w:t xml:space="preserve">Dreyer 2019, PMID 30796078.</w:t>
      </w:r>
    </w:p>
  </w:footnote>
  <w:footnote w:id="2061">
    <w:p>
      <w:pPr>
        <w:pStyle w:val="FootnoteText"/>
      </w:pPr>
      <w:r>
        <w:rPr>
          <w:rStyle w:val="FootnoteReference"/>
        </w:rPr>
        <w:footnoteRef/>
      </w:r>
      <w:r>
        <w:t xml:space="preserve"> </w:t>
      </w:r>
      <w:r>
        <w:t xml:space="preserve">Nelson 2012, PMID 23121206.</w:t>
      </w:r>
    </w:p>
  </w:footnote>
  <w:footnote w:id="2062">
    <w:p>
      <w:pPr>
        <w:pStyle w:val="FootnoteText"/>
      </w:pPr>
      <w:r>
        <w:rPr>
          <w:rStyle w:val="FootnoteReference"/>
        </w:rPr>
        <w:footnoteRef/>
      </w:r>
      <w:r>
        <w:t xml:space="preserve"> </w:t>
      </w:r>
      <w:r>
        <w:t xml:space="preserve">Peters 2020, PMID 31953620.</w:t>
      </w:r>
    </w:p>
  </w:footnote>
  <w:footnote w:id="2063">
    <w:p>
      <w:pPr>
        <w:pStyle w:val="FootnoteText"/>
      </w:pPr>
      <w:r>
        <w:rPr>
          <w:rStyle w:val="FootnoteReference"/>
        </w:rPr>
        <w:footnoteRef/>
      </w:r>
      <w:r>
        <w:t xml:space="preserve"> </w:t>
      </w:r>
      <w:r>
        <w:t xml:space="preserve">Kaski 2013, PMID 23648958.</w:t>
      </w:r>
    </w:p>
  </w:footnote>
  <w:footnote w:id="2064">
    <w:p>
      <w:pPr>
        <w:pStyle w:val="FootnoteText"/>
      </w:pPr>
      <w:r>
        <w:rPr>
          <w:rStyle w:val="FootnoteReference"/>
        </w:rPr>
        <w:footnoteRef/>
      </w:r>
      <w:r>
        <w:t xml:space="preserve"> </w:t>
      </w:r>
      <w:r>
        <w:t xml:space="preserve">Dickson 2025, PMID 41487785.</w:t>
      </w:r>
    </w:p>
  </w:footnote>
  <w:footnote w:id="2066">
    <w:p>
      <w:pPr>
        <w:pStyle w:val="FootnoteText"/>
      </w:pPr>
      <w:r>
        <w:rPr>
          <w:rStyle w:val="FootnoteReference"/>
        </w:rPr>
        <w:footnoteRef/>
      </w:r>
      <w:r>
        <w:t xml:space="preserve"> </w:t>
      </w:r>
      <w:r>
        <w:t xml:space="preserve">Breindahl 2015, PMID 24771717.</w:t>
      </w:r>
    </w:p>
  </w:footnote>
  <w:footnote w:id="2067">
    <w:p>
      <w:pPr>
        <w:pStyle w:val="FootnoteText"/>
      </w:pPr>
      <w:r>
        <w:rPr>
          <w:rStyle w:val="FootnoteReference"/>
        </w:rPr>
        <w:footnoteRef/>
      </w:r>
      <w:r>
        <w:t xml:space="preserve"> </w:t>
      </w:r>
      <w:r>
        <w:t xml:space="preserve">Deville 2024, PMID 39302005.</w:t>
      </w:r>
    </w:p>
  </w:footnote>
  <w:footnote w:id="2068">
    <w:p>
      <w:pPr>
        <w:pStyle w:val="FootnoteText"/>
      </w:pPr>
      <w:r>
        <w:rPr>
          <w:rStyle w:val="FootnoteReference"/>
        </w:rPr>
        <w:footnoteRef/>
      </w:r>
      <w:r>
        <w:t xml:space="preserve"> </w:t>
      </w:r>
      <w:r>
        <w:t xml:space="preserve">Gilhooley 2021, PMID 34464955.</w:t>
      </w:r>
    </w:p>
  </w:footnote>
  <w:footnote w:id="2071">
    <w:p>
      <w:pPr>
        <w:pStyle w:val="FootnoteText"/>
      </w:pPr>
      <w:r>
        <w:rPr>
          <w:rStyle w:val="FootnoteReference"/>
        </w:rPr>
        <w:footnoteRef/>
      </w:r>
      <w:r>
        <w:t xml:space="preserve"> </w:t>
      </w:r>
      <w:r>
        <w:t xml:space="preserve">Habbema 2017, PMID 28266027.</w:t>
      </w:r>
    </w:p>
  </w:footnote>
  <w:footnote w:id="2072">
    <w:p>
      <w:pPr>
        <w:pStyle w:val="FootnoteText"/>
      </w:pPr>
      <w:r>
        <w:rPr>
          <w:rStyle w:val="FootnoteReference"/>
        </w:rPr>
        <w:footnoteRef/>
      </w:r>
      <w:r>
        <w:t xml:space="preserve"> </w:t>
      </w:r>
      <w:r>
        <w:t xml:space="preserve">Yassin Alsabbagh 2025, PMID 40210573.</w:t>
      </w:r>
    </w:p>
  </w:footnote>
  <w:footnote w:id="2077">
    <w:p>
      <w:pPr>
        <w:pStyle w:val="FootnoteText"/>
      </w:pPr>
      <w:r>
        <w:rPr>
          <w:rStyle w:val="FootnoteReference"/>
        </w:rPr>
        <w:footnoteRef/>
      </w:r>
      <w:r>
        <w:t xml:space="preserve"> </w:t>
      </w:r>
      <w:r>
        <w:t xml:space="preserve">Hadley 2006, PMID 16412534.</w:t>
      </w:r>
    </w:p>
  </w:footnote>
  <w:footnote w:id="2078">
    <w:p>
      <w:pPr>
        <w:pStyle w:val="FootnoteText"/>
      </w:pPr>
      <w:r>
        <w:rPr>
          <w:rStyle w:val="FootnoteReference"/>
        </w:rPr>
        <w:footnoteRef/>
      </w:r>
      <w:r>
        <w:t xml:space="preserve"> </w:t>
      </w:r>
      <w:r>
        <w:t xml:space="preserve">Homey 2025, PMID 40082741.</w:t>
      </w:r>
    </w:p>
  </w:footnote>
  <w:footnote w:id="2080">
    <w:p>
      <w:pPr>
        <w:pStyle w:val="FootnoteText"/>
      </w:pPr>
      <w:r>
        <w:rPr>
          <w:rStyle w:val="FootnoteReference"/>
        </w:rPr>
        <w:footnoteRef/>
      </w:r>
      <w:r>
        <w:t xml:space="preserve"> </w:t>
      </w:r>
      <w:r>
        <w:t xml:space="preserve">Homey 2025, PMID 40082741.</w:t>
      </w:r>
    </w:p>
  </w:footnote>
  <w:footnote w:id="2081">
    <w:p>
      <w:pPr>
        <w:pStyle w:val="FootnoteText"/>
      </w:pPr>
      <w:r>
        <w:rPr>
          <w:rStyle w:val="FootnoteReference"/>
        </w:rPr>
        <w:footnoteRef/>
      </w:r>
      <w:r>
        <w:t xml:space="preserve"> </w:t>
      </w:r>
      <w:r>
        <w:t xml:space="preserve">Minder 2023, PMID 37109595.</w:t>
      </w:r>
    </w:p>
  </w:footnote>
  <w:footnote w:id="2083">
    <w:p>
      <w:pPr>
        <w:pStyle w:val="FootnoteText"/>
      </w:pPr>
      <w:r>
        <w:rPr>
          <w:rStyle w:val="FootnoteReference"/>
        </w:rPr>
        <w:footnoteRef/>
      </w:r>
      <w:r>
        <w:t xml:space="preserve"> </w:t>
      </w:r>
      <w:r>
        <w:t xml:space="preserve">Dorr 2000, PMID 11045725.</w:t>
      </w:r>
    </w:p>
  </w:footnote>
  <w:footnote w:id="2084">
    <w:p>
      <w:pPr>
        <w:pStyle w:val="FootnoteText"/>
      </w:pPr>
      <w:r>
        <w:rPr>
          <w:rStyle w:val="FootnoteReference"/>
        </w:rPr>
        <w:footnoteRef/>
      </w:r>
      <w:r>
        <w:t xml:space="preserve"> </w:t>
      </w:r>
      <w:r>
        <w:t xml:space="preserve">Dorr 2004, PMID 15262693.</w:t>
      </w:r>
    </w:p>
  </w:footnote>
  <w:footnote w:id="2085">
    <w:p>
      <w:pPr>
        <w:pStyle w:val="FootnoteText"/>
      </w:pPr>
      <w:r>
        <w:rPr>
          <w:rStyle w:val="FootnoteReference"/>
        </w:rPr>
        <w:footnoteRef/>
      </w:r>
      <w:r>
        <w:t xml:space="preserve"> </w:t>
      </w:r>
      <w:r>
        <w:t xml:space="preserve">Fitzgerald 2006, PMID 16293341.</w:t>
      </w:r>
    </w:p>
  </w:footnote>
  <w:footnote w:id="2087">
    <w:p>
      <w:pPr>
        <w:pStyle w:val="FootnoteText"/>
      </w:pPr>
      <w:r>
        <w:rPr>
          <w:rStyle w:val="FootnoteReference"/>
        </w:rPr>
        <w:footnoteRef/>
      </w:r>
      <w:r>
        <w:t xml:space="preserve"> </w:t>
      </w:r>
      <w:r>
        <w:t xml:space="preserve">Harms 2009, PMID 19656325.</w:t>
      </w:r>
    </w:p>
  </w:footnote>
  <w:footnote w:id="2088">
    <w:p>
      <w:pPr>
        <w:pStyle w:val="FootnoteText"/>
      </w:pPr>
      <w:r>
        <w:rPr>
          <w:rStyle w:val="FootnoteReference"/>
        </w:rPr>
        <w:footnoteRef/>
      </w:r>
      <w:r>
        <w:t xml:space="preserve"> </w:t>
      </w:r>
      <w:r>
        <w:t xml:space="preserve">Langendonk 2015, PMID 26132941 ; NCT00979745, NCT01605136.</w:t>
      </w:r>
    </w:p>
  </w:footnote>
  <w:footnote w:id="2089">
    <w:p>
      <w:pPr>
        <w:pStyle w:val="FootnoteText"/>
      </w:pPr>
      <w:r>
        <w:rPr>
          <w:rStyle w:val="FootnoteReference"/>
        </w:rPr>
        <w:footnoteRef/>
      </w:r>
      <w:r>
        <w:t xml:space="preserve"> </w:t>
      </w:r>
      <w:r>
        <w:t xml:space="preserve">Heerfordt 2023, PMID 36525819.</w:t>
      </w:r>
    </w:p>
  </w:footnote>
  <w:footnote w:id="2091">
    <w:p>
      <w:pPr>
        <w:pStyle w:val="FootnoteText"/>
      </w:pPr>
      <w:r>
        <w:rPr>
          <w:rStyle w:val="FootnoteReference"/>
        </w:rPr>
        <w:footnoteRef/>
      </w:r>
      <w:r>
        <w:t xml:space="preserve"> </w:t>
      </w:r>
      <w:r>
        <w:t xml:space="preserve">Biolcati 2015, PMID 25494545.</w:t>
      </w:r>
    </w:p>
  </w:footnote>
  <w:footnote w:id="2092">
    <w:p>
      <w:pPr>
        <w:pStyle w:val="FootnoteText"/>
      </w:pPr>
      <w:r>
        <w:rPr>
          <w:rStyle w:val="FootnoteReference"/>
        </w:rPr>
        <w:footnoteRef/>
      </w:r>
      <w:r>
        <w:t xml:space="preserve"> </w:t>
      </w:r>
      <w:r>
        <w:t xml:space="preserve">Wensink 2020, PMID 32186677.</w:t>
      </w:r>
    </w:p>
  </w:footnote>
  <w:footnote w:id="2093">
    <w:p>
      <w:pPr>
        <w:pStyle w:val="FootnoteText"/>
      </w:pPr>
      <w:r>
        <w:rPr>
          <w:rStyle w:val="FootnoteReference"/>
        </w:rPr>
        <w:footnoteRef/>
      </w:r>
      <w:r>
        <w:t xml:space="preserve"> </w:t>
      </w:r>
      <w:r>
        <w:t xml:space="preserve">Seidl-Philipp 2026, PMID 41793078.</w:t>
      </w:r>
    </w:p>
  </w:footnote>
  <w:footnote w:id="2095">
    <w:p>
      <w:pPr>
        <w:pStyle w:val="FootnoteText"/>
      </w:pPr>
      <w:r>
        <w:rPr>
          <w:rStyle w:val="FootnoteReference"/>
        </w:rPr>
        <w:footnoteRef/>
      </w:r>
      <w:r>
        <w:t xml:space="preserve"> </w:t>
      </w:r>
      <w:r>
        <w:t xml:space="preserve">Minder 2023, PMID 37109595.</w:t>
      </w:r>
    </w:p>
  </w:footnote>
  <w:footnote w:id="2096">
    <w:p>
      <w:pPr>
        <w:pStyle w:val="FootnoteText"/>
      </w:pPr>
      <w:r>
        <w:rPr>
          <w:rStyle w:val="FootnoteReference"/>
        </w:rPr>
        <w:footnoteRef/>
      </w:r>
      <w:r>
        <w:t xml:space="preserve"> </w:t>
      </w:r>
      <w:r>
        <w:t xml:space="preserve">Kluijver 2024, PMID 38634774.</w:t>
      </w:r>
    </w:p>
  </w:footnote>
  <w:footnote w:id="2097">
    <w:p>
      <w:pPr>
        <w:pStyle w:val="FootnoteText"/>
      </w:pPr>
      <w:r>
        <w:rPr>
          <w:rStyle w:val="FootnoteReference"/>
        </w:rPr>
        <w:footnoteRef/>
      </w:r>
      <w:r>
        <w:t xml:space="preserve"> </w:t>
      </w:r>
      <w:r>
        <w:t xml:space="preserve">Lengweiler 2015, PMID 25402764.</w:t>
      </w:r>
    </w:p>
  </w:footnote>
  <w:footnote w:id="2099">
    <w:p>
      <w:pPr>
        <w:pStyle w:val="FootnoteText"/>
      </w:pPr>
      <w:r>
        <w:rPr>
          <w:rStyle w:val="FootnoteReference"/>
        </w:rPr>
        <w:footnoteRef/>
      </w:r>
      <w:r>
        <w:t xml:space="preserve"> </w:t>
      </w:r>
      <w:r>
        <w:t xml:space="preserve">Grimes 2013, PMID 23407924.</w:t>
      </w:r>
    </w:p>
  </w:footnote>
  <w:footnote w:id="2100">
    <w:p>
      <w:pPr>
        <w:pStyle w:val="FootnoteText"/>
      </w:pPr>
      <w:r>
        <w:rPr>
          <w:rStyle w:val="FootnoteReference"/>
        </w:rPr>
        <w:footnoteRef/>
      </w:r>
      <w:r>
        <w:t xml:space="preserve"> </w:t>
      </w:r>
      <w:r>
        <w:t xml:space="preserve">Lim 2015, PMID 25230094 ; NCT01430195.</w:t>
      </w:r>
    </w:p>
  </w:footnote>
  <w:footnote w:id="2101">
    <w:p>
      <w:pPr>
        <w:pStyle w:val="FootnoteText"/>
      </w:pPr>
      <w:r>
        <w:rPr>
          <w:rStyle w:val="FootnoteReference"/>
        </w:rPr>
        <w:footnoteRef/>
      </w:r>
      <w:r>
        <w:t xml:space="preserve"> </w:t>
      </w:r>
      <w:r>
        <w:t xml:space="preserve">Passeron 2015, PMID 25607635.</w:t>
      </w:r>
    </w:p>
  </w:footnote>
  <w:footnote w:id="2102">
    <w:p>
      <w:pPr>
        <w:pStyle w:val="FootnoteText"/>
      </w:pPr>
      <w:r>
        <w:rPr>
          <w:rStyle w:val="FootnoteReference"/>
        </w:rPr>
        <w:footnoteRef/>
      </w:r>
      <w:r>
        <w:t xml:space="preserve"> </w:t>
      </w:r>
      <w:r>
        <w:t xml:space="preserve">Toh 2020, PMID 31987791.</w:t>
      </w:r>
    </w:p>
  </w:footnote>
  <w:footnote w:id="2104">
    <w:p>
      <w:pPr>
        <w:pStyle w:val="FootnoteText"/>
      </w:pPr>
      <w:r>
        <w:rPr>
          <w:rStyle w:val="FootnoteReference"/>
        </w:rPr>
        <w:footnoteRef/>
      </w:r>
      <w:r>
        <w:t xml:space="preserve"> </w:t>
      </w:r>
      <w:r>
        <w:t xml:space="preserve">Haylett 2011, PMID 20969564.</w:t>
      </w:r>
    </w:p>
  </w:footnote>
  <w:footnote w:id="2105">
    <w:p>
      <w:pPr>
        <w:pStyle w:val="FootnoteText"/>
      </w:pPr>
      <w:r>
        <w:rPr>
          <w:rStyle w:val="FootnoteReference"/>
        </w:rPr>
        <w:footnoteRef/>
      </w:r>
      <w:r>
        <w:t xml:space="preserve"> </w:t>
      </w:r>
      <w:r>
        <w:t xml:space="preserve">Böhm 2014, PMID 22845050.</w:t>
      </w:r>
    </w:p>
  </w:footnote>
  <w:footnote w:id="2106">
    <w:p>
      <w:pPr>
        <w:pStyle w:val="FootnoteText"/>
      </w:pPr>
      <w:r>
        <w:rPr>
          <w:rStyle w:val="FootnoteReference"/>
        </w:rPr>
        <w:footnoteRef/>
      </w:r>
      <w:r>
        <w:t xml:space="preserve"> </w:t>
      </w:r>
      <w:r>
        <w:t xml:space="preserve">Biolcati 2014, PMID 24256215.</w:t>
      </w:r>
    </w:p>
  </w:footnote>
  <w:footnote w:id="2107">
    <w:p>
      <w:pPr>
        <w:pStyle w:val="FootnoteText"/>
      </w:pPr>
      <w:r>
        <w:rPr>
          <w:rStyle w:val="FootnoteReference"/>
        </w:rPr>
        <w:footnoteRef/>
      </w:r>
      <w:r>
        <w:t xml:space="preserve"> </w:t>
      </w:r>
      <w:r>
        <w:t xml:space="preserve">Stanislaus 2023, PMID 37496004.</w:t>
      </w:r>
    </w:p>
  </w:footnote>
  <w:footnote w:id="2108">
    <w:p>
      <w:pPr>
        <w:pStyle w:val="FootnoteText"/>
      </w:pPr>
      <w:r>
        <w:rPr>
          <w:rStyle w:val="FootnoteReference"/>
        </w:rPr>
        <w:footnoteRef/>
      </w:r>
      <w:r>
        <w:t xml:space="preserve"> </w:t>
      </w:r>
      <w:r>
        <w:t xml:space="preserve">Griffin 2026, PMID 42678656.</w:t>
      </w:r>
    </w:p>
  </w:footnote>
  <w:footnote w:id="2111">
    <w:p>
      <w:pPr>
        <w:pStyle w:val="FootnoteText"/>
      </w:pPr>
      <w:r>
        <w:rPr>
          <w:rStyle w:val="FootnoteReference"/>
        </w:rPr>
        <w:footnoteRef/>
      </w:r>
      <w:r>
        <w:t xml:space="preserve"> </w:t>
      </w:r>
      <w:r>
        <w:t xml:space="preserve">Biolcati 2014, PMID 24256215.</w:t>
      </w:r>
    </w:p>
  </w:footnote>
  <w:footnote w:id="2112">
    <w:p>
      <w:pPr>
        <w:pStyle w:val="FootnoteText"/>
      </w:pPr>
      <w:r>
        <w:rPr>
          <w:rStyle w:val="FootnoteReference"/>
        </w:rPr>
        <w:footnoteRef/>
      </w:r>
      <w:r>
        <w:t xml:space="preserve"> </w:t>
      </w:r>
      <w:r>
        <w:t xml:space="preserve">Chawathe 2026, PMID 41547183.</w:t>
      </w:r>
    </w:p>
  </w:footnote>
  <w:footnote w:id="2114">
    <w:p>
      <w:pPr>
        <w:pStyle w:val="FootnoteText"/>
      </w:pPr>
      <w:r>
        <w:rPr>
          <w:rStyle w:val="FootnoteReference"/>
        </w:rPr>
        <w:footnoteRef/>
      </w:r>
      <w:r>
        <w:t xml:space="preserve"> </w:t>
      </w:r>
      <w:r>
        <w:t xml:space="preserve">Langendonk 2015, PMID 26132941 ; Wensink 2020, PMID 32186677 ; Biolcati 2015, PMID 25494545.</w:t>
      </w:r>
    </w:p>
  </w:footnote>
  <w:footnote w:id="2115">
    <w:p>
      <w:pPr>
        <w:pStyle w:val="FootnoteText"/>
      </w:pPr>
      <w:r>
        <w:rPr>
          <w:rStyle w:val="FootnoteReference"/>
        </w:rPr>
        <w:footnoteRef/>
      </w:r>
      <w:r>
        <w:t xml:space="preserve"> </w:t>
      </w:r>
      <w:r>
        <w:t xml:space="preserve">Arisi 2021, PMID 33721252.</w:t>
      </w:r>
    </w:p>
  </w:footnote>
  <w:footnote w:id="2116">
    <w:p>
      <w:pPr>
        <w:pStyle w:val="FootnoteText"/>
      </w:pPr>
      <w:r>
        <w:rPr>
          <w:rStyle w:val="FootnoteReference"/>
        </w:rPr>
        <w:footnoteRef/>
      </w:r>
      <w:r>
        <w:t xml:space="preserve"> </w:t>
      </w:r>
      <w:r>
        <w:t xml:space="preserve">von Bartenwerffer 2011, PMID 21597671.</w:t>
      </w:r>
    </w:p>
  </w:footnote>
  <w:footnote w:id="2117">
    <w:p>
      <w:pPr>
        <w:pStyle w:val="FootnoteText"/>
      </w:pPr>
      <w:r>
        <w:rPr>
          <w:rStyle w:val="FootnoteReference"/>
        </w:rPr>
        <w:footnoteRef/>
      </w:r>
      <w:r>
        <w:t xml:space="preserve"> </w:t>
      </w:r>
      <w:r>
        <w:t xml:space="preserve">Kluijver 2024, PMID 38634774.</w:t>
      </w:r>
    </w:p>
  </w:footnote>
  <w:footnote w:id="2119">
    <w:p>
      <w:pPr>
        <w:pStyle w:val="FootnoteText"/>
      </w:pPr>
      <w:r>
        <w:rPr>
          <w:rStyle w:val="FootnoteReference"/>
        </w:rPr>
        <w:footnoteRef/>
      </w:r>
      <w:r>
        <w:t xml:space="preserve"> </w:t>
      </w:r>
      <w:r>
        <w:t xml:space="preserve">Barman-Aksözen 2026, PMID 41885813.</w:t>
      </w:r>
    </w:p>
  </w:footnote>
  <w:footnote w:id="2120">
    <w:p>
      <w:pPr>
        <w:pStyle w:val="FootnoteText"/>
      </w:pPr>
      <w:r>
        <w:rPr>
          <w:rStyle w:val="FootnoteReference"/>
        </w:rPr>
        <w:footnoteRef/>
      </w:r>
      <w:r>
        <w:t xml:space="preserve"> </w:t>
      </w:r>
      <w:r>
        <w:t xml:space="preserve">Minder 2026, PMID 41542313.</w:t>
      </w:r>
    </w:p>
  </w:footnote>
  <w:footnote w:id="2122">
    <w:p>
      <w:pPr>
        <w:pStyle w:val="FootnoteText"/>
      </w:pPr>
      <w:r>
        <w:rPr>
          <w:rStyle w:val="FootnoteReference"/>
        </w:rPr>
        <w:footnoteRef/>
      </w:r>
      <w:r>
        <w:t xml:space="preserve"> </w:t>
      </w:r>
      <w:r>
        <w:t xml:space="preserve">Habbema 2017, PMID 28266027.</w:t>
      </w:r>
    </w:p>
  </w:footnote>
  <w:footnote w:id="2125">
    <w:p>
      <w:pPr>
        <w:pStyle w:val="FootnoteText"/>
      </w:pPr>
      <w:r>
        <w:rPr>
          <w:rStyle w:val="FootnoteReference"/>
        </w:rPr>
        <w:footnoteRef/>
      </w:r>
      <w:r>
        <w:t xml:space="preserve"> </w:t>
      </w:r>
      <w:r>
        <w:t xml:space="preserve">Homey 2025, PMID 40082741.</w:t>
      </w:r>
    </w:p>
  </w:footnote>
  <w:footnote w:id="2126">
    <w:p>
      <w:pPr>
        <w:pStyle w:val="FootnoteText"/>
      </w:pPr>
      <w:r>
        <w:rPr>
          <w:rStyle w:val="FootnoteReference"/>
        </w:rPr>
        <w:footnoteRef/>
      </w:r>
      <w:r>
        <w:t xml:space="preserve"> </w:t>
      </w:r>
      <w:r>
        <w:t xml:space="preserve">Homey 2025, PMID 40082741 ; Seidl-Philipp 2026, PMID 41793078.</w:t>
      </w:r>
    </w:p>
  </w:footnote>
  <w:footnote w:id="2127">
    <w:p>
      <w:pPr>
        <w:pStyle w:val="FootnoteText"/>
      </w:pPr>
      <w:r>
        <w:rPr>
          <w:rStyle w:val="FootnoteReference"/>
        </w:rPr>
        <w:footnoteRef/>
      </w:r>
      <w:r>
        <w:t xml:space="preserve"> </w:t>
      </w:r>
      <w:r>
        <w:t xml:space="preserve">Barman-Aksözen 2024, PMID 38791830.</w:t>
      </w:r>
    </w:p>
  </w:footnote>
  <w:footnote w:id="2129">
    <w:p>
      <w:pPr>
        <w:pStyle w:val="FootnoteText"/>
      </w:pPr>
      <w:r>
        <w:rPr>
          <w:rStyle w:val="FootnoteReference"/>
        </w:rPr>
        <w:footnoteRef/>
      </w:r>
      <w:r>
        <w:t xml:space="preserve"> </w:t>
      </w:r>
      <w:r>
        <w:t xml:space="preserve">NCT06109649.</w:t>
      </w:r>
    </w:p>
  </w:footnote>
  <w:footnote w:id="2130">
    <w:p>
      <w:pPr>
        <w:pStyle w:val="FootnoteText"/>
      </w:pPr>
      <w:r>
        <w:rPr>
          <w:rStyle w:val="FootnoteReference"/>
        </w:rPr>
        <w:footnoteRef/>
      </w:r>
      <w:r>
        <w:t xml:space="preserve"> </w:t>
      </w:r>
      <w:r>
        <w:t xml:space="preserve">NCT05210582.</w:t>
      </w:r>
    </w:p>
  </w:footnote>
  <w:footnote w:id="2131">
    <w:p>
      <w:pPr>
        <w:pStyle w:val="FootnoteText"/>
      </w:pPr>
      <w:r>
        <w:rPr>
          <w:rStyle w:val="FootnoteReference"/>
        </w:rPr>
        <w:footnoteRef/>
      </w:r>
      <w:r>
        <w:t xml:space="preserve"> </w:t>
      </w:r>
      <w:r>
        <w:t xml:space="preserve">NCT05370235, NCT05159752.</w:t>
      </w:r>
    </w:p>
  </w:footnote>
  <w:footnote w:id="2132">
    <w:p>
      <w:pPr>
        <w:pStyle w:val="FootnoteText"/>
      </w:pPr>
      <w:r>
        <w:rPr>
          <w:rStyle w:val="FootnoteReference"/>
        </w:rPr>
        <w:footnoteRef/>
      </w:r>
      <w:r>
        <w:t xml:space="preserve"> </w:t>
      </w:r>
      <w:r>
        <w:t xml:space="preserve">NCT06388642.</w:t>
      </w:r>
    </w:p>
  </w:footnote>
  <w:footnote w:id="2133">
    <w:p>
      <w:pPr>
        <w:pStyle w:val="FootnoteText"/>
      </w:pPr>
      <w:r>
        <w:rPr>
          <w:rStyle w:val="FootnoteReference"/>
        </w:rPr>
        <w:footnoteRef/>
      </w:r>
      <w:r>
        <w:t xml:space="preserve"> </w:t>
      </w:r>
      <w:r>
        <w:t xml:space="preserve">Barman-Aksözen 2026, PMID 41885813.</w:t>
      </w:r>
    </w:p>
  </w:footnote>
  <w:footnote w:id="2137">
    <w:p>
      <w:pPr>
        <w:pStyle w:val="FootnoteText"/>
      </w:pPr>
      <w:r>
        <w:rPr>
          <w:rStyle w:val="FootnoteReference"/>
        </w:rPr>
        <w:footnoteRef/>
      </w:r>
      <w:r>
        <w:t xml:space="preserve"> </w:t>
      </w:r>
      <w:r>
        <w:t xml:space="preserve">Lee 1996, PMID 8944003.</w:t>
      </w:r>
    </w:p>
  </w:footnote>
  <w:footnote w:id="2138">
    <w:p>
      <w:pPr>
        <w:pStyle w:val="FootnoteText"/>
      </w:pPr>
      <w:r>
        <w:rPr>
          <w:rStyle w:val="FootnoteReference"/>
        </w:rPr>
        <w:footnoteRef/>
      </w:r>
      <w:r>
        <w:t xml:space="preserve"> </w:t>
      </w:r>
      <w:r>
        <w:t xml:space="preserve">Ohtaki 2001, PMID 11385580.</w:t>
      </w:r>
    </w:p>
  </w:footnote>
  <w:footnote w:id="2140">
    <w:p>
      <w:pPr>
        <w:pStyle w:val="FootnoteText"/>
      </w:pPr>
      <w:r>
        <w:rPr>
          <w:rStyle w:val="FootnoteReference"/>
        </w:rPr>
        <w:footnoteRef/>
      </w:r>
      <w:r>
        <w:t xml:space="preserve"> </w:t>
      </w:r>
      <w:r>
        <w:t xml:space="preserve">de Roux 2003, PMID 12944565 ; Seminara 2003, PMID 14573733.</w:t>
      </w:r>
    </w:p>
  </w:footnote>
  <w:footnote w:id="2142">
    <w:p>
      <w:pPr>
        <w:pStyle w:val="FootnoteText"/>
      </w:pPr>
      <w:r>
        <w:rPr>
          <w:rStyle w:val="FootnoteReference"/>
        </w:rPr>
        <w:footnoteRef/>
      </w:r>
      <w:r>
        <w:t xml:space="preserve"> </w:t>
      </w:r>
      <w:r>
        <w:t xml:space="preserve">Dhillo 2005, PMID 16174713.</w:t>
      </w:r>
    </w:p>
  </w:footnote>
  <w:footnote w:id="2143">
    <w:p>
      <w:pPr>
        <w:pStyle w:val="FootnoteText"/>
      </w:pPr>
      <w:r>
        <w:rPr>
          <w:rStyle w:val="FootnoteReference"/>
        </w:rPr>
        <w:footnoteRef/>
      </w:r>
      <w:r>
        <w:t xml:space="preserve"> </w:t>
      </w:r>
      <w:r>
        <w:t xml:space="preserve">Dhillo 2007, PMID 17635940.</w:t>
      </w:r>
    </w:p>
  </w:footnote>
  <w:footnote w:id="2144">
    <w:p>
      <w:pPr>
        <w:pStyle w:val="FootnoteText"/>
      </w:pPr>
      <w:r>
        <w:rPr>
          <w:rStyle w:val="FootnoteReference"/>
        </w:rPr>
        <w:footnoteRef/>
      </w:r>
      <w:r>
        <w:t xml:space="preserve"> </w:t>
      </w:r>
      <w:r>
        <w:t xml:space="preserve">George 2011, PMID 21632807.</w:t>
      </w:r>
    </w:p>
  </w:footnote>
  <w:footnote w:id="2145">
    <w:p>
      <w:pPr>
        <w:pStyle w:val="FootnoteText"/>
      </w:pPr>
      <w:r>
        <w:rPr>
          <w:rStyle w:val="FootnoteReference"/>
        </w:rPr>
        <w:footnoteRef/>
      </w:r>
      <w:r>
        <w:t xml:space="preserve"> </w:t>
      </w:r>
      <w:r>
        <w:t xml:space="preserve">Chan 2018, PMID 29669934.</w:t>
      </w:r>
    </w:p>
  </w:footnote>
  <w:footnote w:id="2147">
    <w:p>
      <w:pPr>
        <w:pStyle w:val="FootnoteText"/>
      </w:pPr>
      <w:r>
        <w:rPr>
          <w:rStyle w:val="FootnoteReference"/>
        </w:rPr>
        <w:footnoteRef/>
      </w:r>
      <w:r>
        <w:t xml:space="preserve"> </w:t>
      </w:r>
      <w:r>
        <w:t xml:space="preserve">Jayasena 2014, PMID 25036713 ; NCT01667406.</w:t>
      </w:r>
    </w:p>
  </w:footnote>
  <w:footnote w:id="2148">
    <w:p>
      <w:pPr>
        <w:pStyle w:val="FootnoteText"/>
      </w:pPr>
      <w:r>
        <w:rPr>
          <w:rStyle w:val="FootnoteReference"/>
        </w:rPr>
        <w:footnoteRef/>
      </w:r>
      <w:r>
        <w:t xml:space="preserve"> </w:t>
      </w:r>
      <w:r>
        <w:t xml:space="preserve">Abbara 2015, PMID 26192876.</w:t>
      </w:r>
    </w:p>
  </w:footnote>
  <w:footnote w:id="2149">
    <w:p>
      <w:pPr>
        <w:pStyle w:val="FootnoteText"/>
      </w:pPr>
      <w:r>
        <w:rPr>
          <w:rStyle w:val="FootnoteReference"/>
        </w:rPr>
        <w:footnoteRef/>
      </w:r>
      <w:r>
        <w:t xml:space="preserve"> </w:t>
      </w:r>
      <w:r>
        <w:t xml:space="preserve">Abbara 2017, PMID 28854728.</w:t>
      </w:r>
    </w:p>
  </w:footnote>
  <w:footnote w:id="2150">
    <w:p>
      <w:pPr>
        <w:pStyle w:val="FootnoteText"/>
      </w:pPr>
      <w:r>
        <w:rPr>
          <w:rStyle w:val="FootnoteReference"/>
        </w:rPr>
        <w:footnoteRef/>
      </w:r>
      <w:r>
        <w:t xml:space="preserve"> </w:t>
      </w:r>
      <w:r>
        <w:t xml:space="preserve">Abbara 2017, PMID 28854728.</w:t>
      </w:r>
    </w:p>
  </w:footnote>
  <w:footnote w:id="2151">
    <w:p>
      <w:pPr>
        <w:pStyle w:val="FootnoteText"/>
      </w:pPr>
      <w:r>
        <w:rPr>
          <w:rStyle w:val="FootnoteReference"/>
        </w:rPr>
        <w:footnoteRef/>
      </w:r>
      <w:r>
        <w:t xml:space="preserve"> </w:t>
      </w:r>
      <w:r>
        <w:t xml:space="preserve">Abbara 2020, PMID 33196464.</w:t>
      </w:r>
    </w:p>
  </w:footnote>
  <w:footnote w:id="2152">
    <w:p>
      <w:pPr>
        <w:pStyle w:val="FootnoteText"/>
      </w:pPr>
      <w:r>
        <w:rPr>
          <w:rStyle w:val="FootnoteReference"/>
        </w:rPr>
        <w:footnoteRef/>
      </w:r>
      <w:r>
        <w:t xml:space="preserve"> </w:t>
      </w:r>
      <w:r>
        <w:t xml:space="preserve">Abbara 2024, PMID 37925096.</w:t>
      </w:r>
    </w:p>
  </w:footnote>
  <w:footnote w:id="2154">
    <w:p>
      <w:pPr>
        <w:pStyle w:val="FootnoteText"/>
      </w:pPr>
      <w:r>
        <w:rPr>
          <w:rStyle w:val="FootnoteReference"/>
        </w:rPr>
        <w:footnoteRef/>
      </w:r>
      <w:r>
        <w:t xml:space="preserve"> </w:t>
      </w:r>
      <w:r>
        <w:t xml:space="preserve">Jayasena 2009, PMID 19820030.</w:t>
      </w:r>
    </w:p>
  </w:footnote>
  <w:footnote w:id="2155">
    <w:p>
      <w:pPr>
        <w:pStyle w:val="FootnoteText"/>
      </w:pPr>
      <w:r>
        <w:rPr>
          <w:rStyle w:val="FootnoteReference"/>
        </w:rPr>
        <w:footnoteRef/>
      </w:r>
      <w:r>
        <w:t xml:space="preserve"> </w:t>
      </w:r>
      <w:r>
        <w:t xml:space="preserve">Jayasena 2010, PMID 20980998.</w:t>
      </w:r>
    </w:p>
  </w:footnote>
  <w:footnote w:id="2156">
    <w:p>
      <w:pPr>
        <w:pStyle w:val="FootnoteText"/>
      </w:pPr>
      <w:r>
        <w:rPr>
          <w:rStyle w:val="FootnoteReference"/>
        </w:rPr>
        <w:footnoteRef/>
      </w:r>
      <w:r>
        <w:t xml:space="preserve"> </w:t>
      </w:r>
      <w:r>
        <w:t xml:space="preserve">Jayasena 2014, PMID 24517142.</w:t>
      </w:r>
    </w:p>
  </w:footnote>
  <w:footnote w:id="2157">
    <w:p>
      <w:pPr>
        <w:pStyle w:val="FootnoteText"/>
      </w:pPr>
      <w:r>
        <w:rPr>
          <w:rStyle w:val="FootnoteReference"/>
        </w:rPr>
        <w:footnoteRef/>
      </w:r>
      <w:r>
        <w:t xml:space="preserve"> </w:t>
      </w:r>
      <w:r>
        <w:t xml:space="preserve">Young 2013, PMID 22377698.</w:t>
      </w:r>
    </w:p>
  </w:footnote>
  <w:footnote w:id="2158">
    <w:p>
      <w:pPr>
        <w:pStyle w:val="FootnoteText"/>
      </w:pPr>
      <w:r>
        <w:rPr>
          <w:rStyle w:val="FootnoteReference"/>
        </w:rPr>
        <w:footnoteRef/>
      </w:r>
      <w:r>
        <w:t xml:space="preserve"> </w:t>
      </w:r>
      <w:r>
        <w:t xml:space="preserve">Romero-Ruiz 2019, PMID 31820802.</w:t>
      </w:r>
    </w:p>
  </w:footnote>
  <w:footnote w:id="2160">
    <w:p>
      <w:pPr>
        <w:pStyle w:val="FootnoteText"/>
      </w:pPr>
      <w:r>
        <w:rPr>
          <w:rStyle w:val="FootnoteReference"/>
        </w:rPr>
        <w:footnoteRef/>
      </w:r>
      <w:r>
        <w:t xml:space="preserve"> </w:t>
      </w:r>
      <w:r>
        <w:t xml:space="preserve">George 2013, PMID 23153270.</w:t>
      </w:r>
    </w:p>
  </w:footnote>
  <w:footnote w:id="2161">
    <w:p>
      <w:pPr>
        <w:pStyle w:val="FootnoteText"/>
      </w:pPr>
      <w:r>
        <w:rPr>
          <w:rStyle w:val="FootnoteReference"/>
        </w:rPr>
        <w:footnoteRef/>
      </w:r>
      <w:r>
        <w:t xml:space="preserve"> </w:t>
      </w:r>
      <w:r>
        <w:t xml:space="preserve">Yeung 2026, PMID 42549827.</w:t>
      </w:r>
    </w:p>
  </w:footnote>
  <w:footnote w:id="2163">
    <w:p>
      <w:pPr>
        <w:pStyle w:val="FootnoteText"/>
      </w:pPr>
      <w:r>
        <w:rPr>
          <w:rStyle w:val="FootnoteReference"/>
        </w:rPr>
        <w:footnoteRef/>
      </w:r>
      <w:r>
        <w:t xml:space="preserve"> </w:t>
      </w:r>
      <w:r>
        <w:t xml:space="preserve">Mills 2023, PMID 36735255.</w:t>
      </w:r>
    </w:p>
  </w:footnote>
  <w:footnote w:id="2164">
    <w:p>
      <w:pPr>
        <w:pStyle w:val="FootnoteText"/>
      </w:pPr>
      <w:r>
        <w:rPr>
          <w:rStyle w:val="FootnoteReference"/>
        </w:rPr>
        <w:footnoteRef/>
      </w:r>
      <w:r>
        <w:t xml:space="preserve"> </w:t>
      </w:r>
      <w:r>
        <w:t xml:space="preserve">Thurston 2022, PMID 36287566.</w:t>
      </w:r>
    </w:p>
  </w:footnote>
  <w:footnote w:id="2165">
    <w:p>
      <w:pPr>
        <w:pStyle w:val="FootnoteText"/>
      </w:pPr>
      <w:r>
        <w:rPr>
          <w:rStyle w:val="FootnoteReference"/>
        </w:rPr>
        <w:footnoteRef/>
      </w:r>
      <w:r>
        <w:t xml:space="preserve"> </w:t>
      </w:r>
      <w:r>
        <w:t xml:space="preserve">Mills 2025, PMID 40036336.</w:t>
      </w:r>
    </w:p>
  </w:footnote>
  <w:footnote w:id="2167">
    <w:p>
      <w:pPr>
        <w:pStyle w:val="FootnoteText"/>
      </w:pPr>
      <w:r>
        <w:rPr>
          <w:rStyle w:val="FootnoteReference"/>
        </w:rPr>
        <w:footnoteRef/>
      </w:r>
      <w:r>
        <w:t xml:space="preserve"> </w:t>
      </w:r>
      <w:r>
        <w:t xml:space="preserve">Mills 2025, PMID 40215751.</w:t>
      </w:r>
    </w:p>
  </w:footnote>
  <w:footnote w:id="2169">
    <w:p>
      <w:pPr>
        <w:pStyle w:val="FootnoteText"/>
      </w:pPr>
      <w:r>
        <w:rPr>
          <w:rStyle w:val="FootnoteReference"/>
        </w:rPr>
        <w:footnoteRef/>
      </w:r>
      <w:r>
        <w:t xml:space="preserve"> </w:t>
      </w:r>
      <w:r>
        <w:t xml:space="preserve">Comninos 2022, PMID 35244717.</w:t>
      </w:r>
    </w:p>
  </w:footnote>
  <w:footnote w:id="2170">
    <w:p>
      <w:pPr>
        <w:pStyle w:val="FootnoteText"/>
      </w:pPr>
      <w:r>
        <w:rPr>
          <w:rStyle w:val="FootnoteReference"/>
        </w:rPr>
        <w:footnoteRef/>
      </w:r>
      <w:r>
        <w:t xml:space="preserve"> </w:t>
      </w:r>
      <w:r>
        <w:t xml:space="preserve">Izzi-Engbeaya 2018, PMID 29974637.</w:t>
      </w:r>
    </w:p>
  </w:footnote>
  <w:footnote w:id="2171">
    <w:p>
      <w:pPr>
        <w:pStyle w:val="FootnoteText"/>
      </w:pPr>
      <w:r>
        <w:rPr>
          <w:rStyle w:val="FootnoteReference"/>
        </w:rPr>
        <w:footnoteRef/>
      </w:r>
      <w:r>
        <w:t xml:space="preserve"> </w:t>
      </w:r>
      <w:r>
        <w:t xml:space="preserve">Galbiati 2025, PMID 39965102.</w:t>
      </w:r>
    </w:p>
  </w:footnote>
  <w:footnote w:id="2173">
    <w:p>
      <w:pPr>
        <w:pStyle w:val="FootnoteText"/>
      </w:pPr>
      <w:r>
        <w:rPr>
          <w:rStyle w:val="FootnoteReference"/>
        </w:rPr>
        <w:footnoteRef/>
      </w:r>
      <w:r>
        <w:t xml:space="preserve"> </w:t>
      </w:r>
      <w:r>
        <w:t xml:space="preserve">MacLean 2014, PMID 24762108.</w:t>
      </w:r>
    </w:p>
  </w:footnote>
  <w:footnote w:id="2174">
    <w:p>
      <w:pPr>
        <w:pStyle w:val="FootnoteText"/>
      </w:pPr>
      <w:r>
        <w:rPr>
          <w:rStyle w:val="FootnoteReference"/>
        </w:rPr>
        <w:footnoteRef/>
      </w:r>
      <w:r>
        <w:t xml:space="preserve"> </w:t>
      </w:r>
      <w:r>
        <w:t xml:space="preserve">NCT02369796, NCT02381288.</w:t>
      </w:r>
    </w:p>
  </w:footnote>
  <w:footnote w:id="2177">
    <w:p>
      <w:pPr>
        <w:pStyle w:val="FootnoteText"/>
      </w:pPr>
      <w:r>
        <w:rPr>
          <w:rStyle w:val="FootnoteReference"/>
        </w:rPr>
        <w:footnoteRef/>
      </w:r>
      <w:r>
        <w:t xml:space="preserve"> </w:t>
      </w:r>
      <w:r>
        <w:t xml:space="preserve">Seminara 2003, PMID 14573733.</w:t>
      </w:r>
    </w:p>
  </w:footnote>
  <w:footnote w:id="2178">
    <w:p>
      <w:pPr>
        <w:pStyle w:val="FootnoteText"/>
      </w:pPr>
      <w:r>
        <w:rPr>
          <w:rStyle w:val="FootnoteReference"/>
        </w:rPr>
        <w:footnoteRef/>
      </w:r>
      <w:r>
        <w:t xml:space="preserve"> </w:t>
      </w:r>
      <w:r>
        <w:t xml:space="preserve">Lee 1996, PMID 8944003 ; Ohtaki 2001, PMID 11385580.</w:t>
      </w:r>
    </w:p>
  </w:footnote>
  <w:footnote w:id="2179">
    <w:p>
      <w:pPr>
        <w:pStyle w:val="FootnoteText"/>
      </w:pPr>
      <w:r>
        <w:rPr>
          <w:rStyle w:val="FootnoteReference"/>
        </w:rPr>
        <w:footnoteRef/>
      </w:r>
      <w:r>
        <w:t xml:space="preserve"> </w:t>
      </w:r>
      <w:r>
        <w:t xml:space="preserve">Romero-Ruiz 2019, PMID 31820802.</w:t>
      </w:r>
    </w:p>
  </w:footnote>
  <w:footnote w:id="2180">
    <w:p>
      <w:pPr>
        <w:pStyle w:val="FootnoteText"/>
      </w:pPr>
      <w:r>
        <w:rPr>
          <w:rStyle w:val="FootnoteReference"/>
        </w:rPr>
        <w:footnoteRef/>
      </w:r>
      <w:r>
        <w:t xml:space="preserve"> </w:t>
      </w:r>
      <w:r>
        <w:t xml:space="preserve">Koysombat 2025, PMID 39813600.</w:t>
      </w:r>
    </w:p>
  </w:footnote>
  <w:footnote w:id="2182">
    <w:p>
      <w:pPr>
        <w:pStyle w:val="FootnoteText"/>
      </w:pPr>
      <w:r>
        <w:rPr>
          <w:rStyle w:val="FootnoteReference"/>
        </w:rPr>
        <w:footnoteRef/>
      </w:r>
      <w:r>
        <w:t xml:space="preserve"> </w:t>
      </w:r>
      <w:r>
        <w:t xml:space="preserve">Jayasena 2010, PMID 20980998 ; Thurston 2022, PMID 36287566 ; Mills 2025, PMID 40215751.</w:t>
      </w:r>
    </w:p>
  </w:footnote>
  <w:footnote w:id="2183">
    <w:p>
      <w:pPr>
        <w:pStyle w:val="FootnoteText"/>
      </w:pPr>
      <w:r>
        <w:rPr>
          <w:rStyle w:val="FootnoteReference"/>
        </w:rPr>
        <w:footnoteRef/>
      </w:r>
      <w:r>
        <w:t xml:space="preserve"> </w:t>
      </w:r>
      <w:r>
        <w:t xml:space="preserve">Jayasena 2014, PMID 24863252.</w:t>
      </w:r>
    </w:p>
  </w:footnote>
  <w:footnote w:id="2184">
    <w:p>
      <w:pPr>
        <w:pStyle w:val="FootnoteText"/>
      </w:pPr>
      <w:r>
        <w:rPr>
          <w:rStyle w:val="FootnoteReference"/>
        </w:rPr>
        <w:footnoteRef/>
      </w:r>
      <w:r>
        <w:t xml:space="preserve"> </w:t>
      </w:r>
      <w:r>
        <w:t xml:space="preserve">Mills 2025, PMID 40036336.</w:t>
      </w:r>
    </w:p>
  </w:footnote>
  <w:footnote w:id="2185">
    <w:p>
      <w:pPr>
        <w:pStyle w:val="FootnoteText"/>
      </w:pPr>
      <w:r>
        <w:rPr>
          <w:rStyle w:val="FootnoteReference"/>
        </w:rPr>
        <w:footnoteRef/>
      </w:r>
      <w:r>
        <w:t xml:space="preserve"> </w:t>
      </w:r>
      <w:r>
        <w:t xml:space="preserve">MacLean 2014, PMID 24762108.</w:t>
      </w:r>
    </w:p>
  </w:footnote>
  <w:footnote w:id="2191">
    <w:p>
      <w:pPr>
        <w:pStyle w:val="FootnoteText"/>
      </w:pPr>
      <w:r>
        <w:rPr>
          <w:rStyle w:val="FootnoteReference"/>
        </w:rPr>
        <w:footnoteRef/>
      </w:r>
      <w:r>
        <w:t xml:space="preserve"> </w:t>
      </w:r>
      <w:r>
        <w:t xml:space="preserve">NCT07224490.</w:t>
      </w:r>
    </w:p>
  </w:footnote>
  <w:footnote w:id="2192">
    <w:p>
      <w:pPr>
        <w:pStyle w:val="FootnoteText"/>
      </w:pPr>
      <w:r>
        <w:rPr>
          <w:rStyle w:val="FootnoteReference"/>
        </w:rPr>
        <w:footnoteRef/>
      </w:r>
      <w:r>
        <w:t xml:space="preserve"> </w:t>
      </w:r>
      <w:r>
        <w:t xml:space="preserve">NCT04648969.</w:t>
      </w:r>
    </w:p>
  </w:footnote>
  <w:footnote w:id="2198">
    <w:p>
      <w:pPr>
        <w:pStyle w:val="FootnoteText"/>
      </w:pPr>
      <w:r>
        <w:rPr>
          <w:rStyle w:val="FootnoteReference"/>
        </w:rPr>
        <w:footnoteRef/>
      </w:r>
      <w:r>
        <w:t xml:space="preserve"> </w:t>
      </w:r>
      <w:r>
        <w:t xml:space="preserve">Leng 2016, PMID 26049207.</w:t>
      </w:r>
    </w:p>
  </w:footnote>
  <w:footnote w:id="2199">
    <w:p>
      <w:pPr>
        <w:pStyle w:val="FootnoteText"/>
      </w:pPr>
      <w:r>
        <w:rPr>
          <w:rStyle w:val="FootnoteReference"/>
        </w:rPr>
        <w:footnoteRef/>
      </w:r>
      <w:r>
        <w:t xml:space="preserve"> </w:t>
      </w:r>
      <w:r>
        <w:t xml:space="preserve">Lee 2018, PMID 28289281.</w:t>
      </w:r>
    </w:p>
  </w:footnote>
  <w:footnote w:id="2200">
    <w:p>
      <w:pPr>
        <w:pStyle w:val="FootnoteText"/>
      </w:pPr>
      <w:r>
        <w:rPr>
          <w:rStyle w:val="FootnoteReference"/>
        </w:rPr>
        <w:footnoteRef/>
      </w:r>
      <w:r>
        <w:t xml:space="preserve"> </w:t>
      </w:r>
      <w:r>
        <w:t xml:space="preserve">Lee 2020, PMID 32494001.</w:t>
      </w:r>
    </w:p>
  </w:footnote>
  <w:footnote w:id="2201">
    <w:p>
      <w:pPr>
        <w:pStyle w:val="FootnoteText"/>
      </w:pPr>
      <w:r>
        <w:rPr>
          <w:rStyle w:val="FootnoteReference"/>
        </w:rPr>
        <w:footnoteRef/>
      </w:r>
      <w:r>
        <w:t xml:space="preserve"> </w:t>
      </w:r>
      <w:r>
        <w:t xml:space="preserve">Martins 2020, PMID 32127545.</w:t>
      </w:r>
    </w:p>
  </w:footnote>
  <w:footnote w:id="2202">
    <w:p>
      <w:pPr>
        <w:pStyle w:val="FootnoteText"/>
      </w:pPr>
      <w:r>
        <w:rPr>
          <w:rStyle w:val="FootnoteReference"/>
        </w:rPr>
        <w:footnoteRef/>
      </w:r>
      <w:r>
        <w:t xml:space="preserve"> </w:t>
      </w:r>
      <w:r>
        <w:t xml:space="preserve">Valstad 2017, PMID 28442403.</w:t>
      </w:r>
    </w:p>
  </w:footnote>
  <w:footnote w:id="2203">
    <w:p>
      <w:pPr>
        <w:pStyle w:val="FootnoteText"/>
      </w:pPr>
      <w:r>
        <w:rPr>
          <w:rStyle w:val="FootnoteReference"/>
        </w:rPr>
        <w:footnoteRef/>
      </w:r>
      <w:r>
        <w:t xml:space="preserve"> </w:t>
      </w:r>
      <w:r>
        <w:t xml:space="preserve">Leng 2016, PMID 26049207.</w:t>
      </w:r>
    </w:p>
  </w:footnote>
  <w:footnote w:id="2204">
    <w:p>
      <w:pPr>
        <w:pStyle w:val="FootnoteText"/>
      </w:pPr>
      <w:r>
        <w:rPr>
          <w:rStyle w:val="FootnoteReference"/>
        </w:rPr>
        <w:footnoteRef/>
      </w:r>
      <w:r>
        <w:t xml:space="preserve"> </w:t>
      </w:r>
      <w:r>
        <w:t xml:space="preserve">Quintana 2021, PMID 32807845.</w:t>
      </w:r>
    </w:p>
  </w:footnote>
  <w:footnote w:id="2206">
    <w:p>
      <w:pPr>
        <w:pStyle w:val="FootnoteText"/>
      </w:pPr>
      <w:r>
        <w:rPr>
          <w:rStyle w:val="FootnoteReference"/>
        </w:rPr>
        <w:footnoteRef/>
      </w:r>
      <w:r>
        <w:t xml:space="preserve"> </w:t>
      </w:r>
      <w:r>
        <w:t xml:space="preserve">Salati 2019, PMID 31032882.</w:t>
      </w:r>
    </w:p>
  </w:footnote>
  <w:footnote w:id="2209">
    <w:p>
      <w:pPr>
        <w:pStyle w:val="FootnoteText"/>
      </w:pPr>
      <w:r>
        <w:rPr>
          <w:rStyle w:val="FootnoteReference"/>
        </w:rPr>
        <w:footnoteRef/>
      </w:r>
      <w:r>
        <w:t xml:space="preserve"> </w:t>
      </w:r>
      <w:r>
        <w:t xml:space="preserve">Kosfeld 2005, PMID 15931222.</w:t>
      </w:r>
    </w:p>
  </w:footnote>
  <w:footnote w:id="2210">
    <w:p>
      <w:pPr>
        <w:pStyle w:val="FootnoteText"/>
      </w:pPr>
      <w:r>
        <w:rPr>
          <w:rStyle w:val="FootnoteReference"/>
        </w:rPr>
        <w:footnoteRef/>
      </w:r>
      <w:r>
        <w:t xml:space="preserve"> </w:t>
      </w:r>
      <w:r>
        <w:t xml:space="preserve">Heinrichs 2003, PMID 14675803.</w:t>
      </w:r>
    </w:p>
  </w:footnote>
  <w:footnote w:id="2211">
    <w:p>
      <w:pPr>
        <w:pStyle w:val="FootnoteText"/>
      </w:pPr>
      <w:r>
        <w:rPr>
          <w:rStyle w:val="FootnoteReference"/>
        </w:rPr>
        <w:footnoteRef/>
      </w:r>
      <w:r>
        <w:t xml:space="preserve"> </w:t>
      </w:r>
      <w:r>
        <w:t xml:space="preserve">Leppanen 2017, PMID 28467893.</w:t>
      </w:r>
    </w:p>
  </w:footnote>
  <w:footnote w:id="2213">
    <w:p>
      <w:pPr>
        <w:pStyle w:val="FootnoteText"/>
      </w:pPr>
      <w:r>
        <w:rPr>
          <w:rStyle w:val="FootnoteReference"/>
        </w:rPr>
        <w:footnoteRef/>
      </w:r>
      <w:r>
        <w:t xml:space="preserve"> </w:t>
      </w:r>
      <w:r>
        <w:t xml:space="preserve">Nave 2015, PMID 26581735.</w:t>
      </w:r>
    </w:p>
  </w:footnote>
  <w:footnote w:id="2214">
    <w:p>
      <w:pPr>
        <w:pStyle w:val="FootnoteText"/>
      </w:pPr>
      <w:r>
        <w:rPr>
          <w:rStyle w:val="FootnoteReference"/>
        </w:rPr>
        <w:footnoteRef/>
      </w:r>
      <w:r>
        <w:t xml:space="preserve"> </w:t>
      </w:r>
      <w:r>
        <w:t xml:space="preserve">Walum 2016, PMID 26210057.</w:t>
      </w:r>
    </w:p>
  </w:footnote>
  <w:footnote w:id="2215">
    <w:p>
      <w:pPr>
        <w:pStyle w:val="FootnoteText"/>
      </w:pPr>
      <w:r>
        <w:rPr>
          <w:rStyle w:val="FootnoteReference"/>
        </w:rPr>
        <w:footnoteRef/>
      </w:r>
      <w:r>
        <w:t xml:space="preserve"> </w:t>
      </w:r>
      <w:r>
        <w:t xml:space="preserve">Declerck 2020, PMID 32514040.</w:t>
      </w:r>
    </w:p>
  </w:footnote>
  <w:footnote w:id="2216">
    <w:p>
      <w:pPr>
        <w:pStyle w:val="FootnoteText"/>
      </w:pPr>
      <w:r>
        <w:rPr>
          <w:rStyle w:val="FootnoteReference"/>
        </w:rPr>
        <w:footnoteRef/>
      </w:r>
      <w:r>
        <w:t xml:space="preserve"> </w:t>
      </w:r>
      <w:r>
        <w:t xml:space="preserve">Vogt 2026, PMID 42561025.</w:t>
      </w:r>
    </w:p>
  </w:footnote>
  <w:footnote w:id="2217">
    <w:p>
      <w:pPr>
        <w:pStyle w:val="FootnoteText"/>
      </w:pPr>
      <w:r>
        <w:rPr>
          <w:rStyle w:val="FootnoteReference"/>
        </w:rPr>
        <w:footnoteRef/>
      </w:r>
      <w:r>
        <w:t xml:space="preserve"> </w:t>
      </w:r>
      <w:r>
        <w:t xml:space="preserve">Iversen 2026, PMID 41389446.</w:t>
      </w:r>
    </w:p>
  </w:footnote>
  <w:footnote w:id="2219">
    <w:p>
      <w:pPr>
        <w:pStyle w:val="FootnoteText"/>
      </w:pPr>
      <w:r>
        <w:rPr>
          <w:rStyle w:val="FootnoteReference"/>
        </w:rPr>
        <w:footnoteRef/>
      </w:r>
      <w:r>
        <w:t xml:space="preserve"> </w:t>
      </w:r>
      <w:r>
        <w:t xml:space="preserve">Sikich 2021, PMID 34644471.</w:t>
      </w:r>
    </w:p>
  </w:footnote>
  <w:footnote w:id="2220">
    <w:p>
      <w:pPr>
        <w:pStyle w:val="FootnoteText"/>
      </w:pPr>
      <w:r>
        <w:rPr>
          <w:rStyle w:val="FootnoteReference"/>
        </w:rPr>
        <w:footnoteRef/>
      </w:r>
      <w:r>
        <w:t xml:space="preserve"> </w:t>
      </w:r>
      <w:r>
        <w:t xml:space="preserve">Preti 2014, PMID 24679173.</w:t>
      </w:r>
    </w:p>
  </w:footnote>
  <w:footnote w:id="2221">
    <w:p>
      <w:pPr>
        <w:pStyle w:val="FootnoteText"/>
      </w:pPr>
      <w:r>
        <w:rPr>
          <w:rStyle w:val="FootnoteReference"/>
        </w:rPr>
        <w:footnoteRef/>
      </w:r>
      <w:r>
        <w:t xml:space="preserve"> </w:t>
      </w:r>
      <w:r>
        <w:t xml:space="preserve">Sikich 2021, PMID 34644471 ; NCT01944046.</w:t>
      </w:r>
    </w:p>
  </w:footnote>
  <w:footnote w:id="2222">
    <w:p>
      <w:pPr>
        <w:pStyle w:val="FootnoteText"/>
      </w:pPr>
      <w:r>
        <w:rPr>
          <w:rStyle w:val="FootnoteReference"/>
        </w:rPr>
        <w:footnoteRef/>
      </w:r>
      <w:r>
        <w:t xml:space="preserve"> </w:t>
      </w:r>
      <w:r>
        <w:t xml:space="preserve">Yatawara 2016, PMID 26503762.</w:t>
      </w:r>
    </w:p>
  </w:footnote>
  <w:footnote w:id="2223">
    <w:p>
      <w:pPr>
        <w:pStyle w:val="FootnoteText"/>
      </w:pPr>
      <w:r>
        <w:rPr>
          <w:rStyle w:val="FootnoteReference"/>
        </w:rPr>
        <w:footnoteRef/>
      </w:r>
      <w:r>
        <w:t xml:space="preserve"> </w:t>
      </w:r>
      <w:r>
        <w:t xml:space="preserve">Guastella 2023, PMID 36302965.</w:t>
      </w:r>
    </w:p>
  </w:footnote>
  <w:footnote w:id="2224">
    <w:p>
      <w:pPr>
        <w:pStyle w:val="FootnoteText"/>
      </w:pPr>
      <w:r>
        <w:rPr>
          <w:rStyle w:val="FootnoteReference"/>
        </w:rPr>
        <w:footnoteRef/>
      </w:r>
      <w:r>
        <w:t xml:space="preserve"> </w:t>
      </w:r>
      <w:r>
        <w:t xml:space="preserve">Guastella 2015, PMID 25087908.</w:t>
      </w:r>
    </w:p>
  </w:footnote>
  <w:footnote w:id="2225">
    <w:p>
      <w:pPr>
        <w:pStyle w:val="FootnoteText"/>
      </w:pPr>
      <w:r>
        <w:rPr>
          <w:rStyle w:val="FootnoteReference"/>
        </w:rPr>
        <w:footnoteRef/>
      </w:r>
      <w:r>
        <w:t xml:space="preserve"> </w:t>
      </w:r>
      <w:r>
        <w:t xml:space="preserve">Moerkerke 2024, PMID 38167302.</w:t>
      </w:r>
    </w:p>
  </w:footnote>
  <w:footnote w:id="2226">
    <w:p>
      <w:pPr>
        <w:pStyle w:val="FootnoteText"/>
      </w:pPr>
      <w:r>
        <w:rPr>
          <w:rStyle w:val="FootnoteReference"/>
        </w:rPr>
        <w:footnoteRef/>
      </w:r>
      <w:r>
        <w:t xml:space="preserve"> </w:t>
      </w:r>
      <w:r>
        <w:t xml:space="preserve">Moerkerke 2024, PMID 39709442.</w:t>
      </w:r>
    </w:p>
  </w:footnote>
  <w:footnote w:id="2227">
    <w:p>
      <w:pPr>
        <w:pStyle w:val="FootnoteText"/>
      </w:pPr>
      <w:r>
        <w:rPr>
          <w:rStyle w:val="FootnoteReference"/>
        </w:rPr>
        <w:footnoteRef/>
      </w:r>
      <w:r>
        <w:t xml:space="preserve"> </w:t>
      </w:r>
      <w:r>
        <w:t xml:space="preserve">Keech 2018, PMID 29032324.</w:t>
      </w:r>
    </w:p>
  </w:footnote>
  <w:footnote w:id="2228">
    <w:p>
      <w:pPr>
        <w:pStyle w:val="FootnoteText"/>
      </w:pPr>
      <w:r>
        <w:rPr>
          <w:rStyle w:val="FootnoteReference"/>
        </w:rPr>
        <w:footnoteRef/>
      </w:r>
      <w:r>
        <w:t xml:space="preserve"> </w:t>
      </w:r>
      <w:r>
        <w:t xml:space="preserve">Huang 2021, PMID 33400920.</w:t>
      </w:r>
    </w:p>
  </w:footnote>
  <w:footnote w:id="2229">
    <w:p>
      <w:pPr>
        <w:pStyle w:val="FootnoteText"/>
      </w:pPr>
      <w:r>
        <w:rPr>
          <w:rStyle w:val="FootnoteReference"/>
        </w:rPr>
        <w:footnoteRef/>
      </w:r>
      <w:r>
        <w:t xml:space="preserve"> </w:t>
      </w:r>
      <w:r>
        <w:t xml:space="preserve">Bonnieux 2026, PMID 42134427.</w:t>
      </w:r>
    </w:p>
  </w:footnote>
  <w:footnote w:id="2230">
    <w:p>
      <w:pPr>
        <w:pStyle w:val="FootnoteText"/>
      </w:pPr>
      <w:r>
        <w:rPr>
          <w:rStyle w:val="FootnoteReference"/>
        </w:rPr>
        <w:footnoteRef/>
      </w:r>
      <w:r>
        <w:t xml:space="preserve"> </w:t>
      </w:r>
      <w:r>
        <w:t xml:space="preserve">Boulton 2026, PMID 42144048.</w:t>
      </w:r>
    </w:p>
  </w:footnote>
  <w:footnote w:id="2232">
    <w:p>
      <w:pPr>
        <w:pStyle w:val="FootnoteText"/>
      </w:pPr>
      <w:r>
        <w:rPr>
          <w:rStyle w:val="FootnoteReference"/>
        </w:rPr>
        <w:footnoteRef/>
      </w:r>
      <w:r>
        <w:t xml:space="preserve"> </w:t>
      </w:r>
      <w:r>
        <w:t xml:space="preserve">Jarskog 2017, PMID 28094169.</w:t>
      </w:r>
    </w:p>
  </w:footnote>
  <w:footnote w:id="2233">
    <w:p>
      <w:pPr>
        <w:pStyle w:val="FootnoteText"/>
      </w:pPr>
      <w:r>
        <w:rPr>
          <w:rStyle w:val="FootnoteReference"/>
        </w:rPr>
        <w:footnoteRef/>
      </w:r>
      <w:r>
        <w:t xml:space="preserve"> </w:t>
      </w:r>
      <w:r>
        <w:t xml:space="preserve">Sabe 2021, PMID 33890987.</w:t>
      </w:r>
    </w:p>
  </w:footnote>
  <w:footnote w:id="2234">
    <w:p>
      <w:pPr>
        <w:pStyle w:val="FootnoteText"/>
      </w:pPr>
      <w:r>
        <w:rPr>
          <w:rStyle w:val="FootnoteReference"/>
        </w:rPr>
        <w:footnoteRef/>
      </w:r>
      <w:r>
        <w:t xml:space="preserve"> </w:t>
      </w:r>
      <w:r>
        <w:t xml:space="preserve">Bonnieux 2026, PMID 42134427.</w:t>
      </w:r>
    </w:p>
  </w:footnote>
  <w:footnote w:id="2235">
    <w:p>
      <w:pPr>
        <w:pStyle w:val="FootnoteText"/>
      </w:pPr>
      <w:r>
        <w:rPr>
          <w:rStyle w:val="FootnoteReference"/>
        </w:rPr>
        <w:footnoteRef/>
      </w:r>
      <w:r>
        <w:t xml:space="preserve"> </w:t>
      </w:r>
      <w:r>
        <w:t xml:space="preserve">Melby 2019, PMID 30784955.</w:t>
      </w:r>
    </w:p>
  </w:footnote>
  <w:footnote w:id="2236">
    <w:p>
      <w:pPr>
        <w:pStyle w:val="FootnoteText"/>
      </w:pPr>
      <w:r>
        <w:rPr>
          <w:rStyle w:val="FootnoteReference"/>
        </w:rPr>
        <w:footnoteRef/>
      </w:r>
      <w:r>
        <w:t xml:space="preserve"> </w:t>
      </w:r>
      <w:r>
        <w:t xml:space="preserve">Santos 2026, PMID 42335670.</w:t>
      </w:r>
    </w:p>
  </w:footnote>
  <w:footnote w:id="2237">
    <w:p>
      <w:pPr>
        <w:pStyle w:val="FootnoteText"/>
      </w:pPr>
      <w:r>
        <w:rPr>
          <w:rStyle w:val="FootnoteReference"/>
        </w:rPr>
        <w:footnoteRef/>
      </w:r>
      <w:r>
        <w:t xml:space="preserve"> </w:t>
      </w:r>
      <w:r>
        <w:t xml:space="preserve">Pérez-Arqueros 2025, PMID 39366103.</w:t>
      </w:r>
    </w:p>
  </w:footnote>
  <w:footnote w:id="2238">
    <w:p>
      <w:pPr>
        <w:pStyle w:val="FootnoteText"/>
      </w:pPr>
      <w:r>
        <w:rPr>
          <w:rStyle w:val="FootnoteReference"/>
        </w:rPr>
        <w:footnoteRef/>
      </w:r>
      <w:r>
        <w:t xml:space="preserve"> </w:t>
      </w:r>
      <w:r>
        <w:t xml:space="preserve">Riem 2025, PMID 40614394.</w:t>
      </w:r>
    </w:p>
  </w:footnote>
  <w:footnote w:id="2240">
    <w:p>
      <w:pPr>
        <w:pStyle w:val="FootnoteText"/>
      </w:pPr>
      <w:r>
        <w:rPr>
          <w:rStyle w:val="FootnoteReference"/>
        </w:rPr>
        <w:footnoteRef/>
      </w:r>
      <w:r>
        <w:t xml:space="preserve"> </w:t>
      </w:r>
      <w:r>
        <w:t xml:space="preserve">Chen 2021, PMID 34600216.</w:t>
      </w:r>
    </w:p>
  </w:footnote>
  <w:footnote w:id="2241">
    <w:p>
      <w:pPr>
        <w:pStyle w:val="FootnoteText"/>
      </w:pPr>
      <w:r>
        <w:rPr>
          <w:rStyle w:val="FootnoteReference"/>
        </w:rPr>
        <w:footnoteRef/>
      </w:r>
      <w:r>
        <w:t xml:space="preserve"> </w:t>
      </w:r>
      <w:r>
        <w:t xml:space="preserve">Plessow 2024, PMID 38815173.</w:t>
      </w:r>
    </w:p>
  </w:footnote>
  <w:footnote w:id="2242">
    <w:p>
      <w:pPr>
        <w:pStyle w:val="FootnoteText"/>
      </w:pPr>
      <w:r>
        <w:rPr>
          <w:rStyle w:val="FootnoteReference"/>
        </w:rPr>
        <w:footnoteRef/>
      </w:r>
      <w:r>
        <w:t xml:space="preserve"> </w:t>
      </w:r>
      <w:r>
        <w:t xml:space="preserve">Espinoza 2021, PMID 34029521.</w:t>
      </w:r>
    </w:p>
  </w:footnote>
  <w:footnote w:id="2243">
    <w:p>
      <w:pPr>
        <w:pStyle w:val="FootnoteText"/>
      </w:pPr>
      <w:r>
        <w:rPr>
          <w:rStyle w:val="FootnoteReference"/>
        </w:rPr>
        <w:footnoteRef/>
      </w:r>
      <w:r>
        <w:t xml:space="preserve"> </w:t>
      </w:r>
      <w:r>
        <w:t xml:space="preserve">Shalma 2023, PMID 36774885.</w:t>
      </w:r>
    </w:p>
  </w:footnote>
  <w:footnote w:id="2244">
    <w:p>
      <w:pPr>
        <w:pStyle w:val="FootnoteText"/>
      </w:pPr>
      <w:r>
        <w:rPr>
          <w:rStyle w:val="FootnoteReference"/>
        </w:rPr>
        <w:footnoteRef/>
      </w:r>
      <w:r>
        <w:t xml:space="preserve"> </w:t>
      </w:r>
      <w:r>
        <w:t xml:space="preserve">Hollander 2021, PMID 33190843.</w:t>
      </w:r>
    </w:p>
  </w:footnote>
  <w:footnote w:id="2245">
    <w:p>
      <w:pPr>
        <w:pStyle w:val="FootnoteText"/>
      </w:pPr>
      <w:r>
        <w:rPr>
          <w:rStyle w:val="FootnoteReference"/>
        </w:rPr>
        <w:footnoteRef/>
      </w:r>
      <w:r>
        <w:t xml:space="preserve"> </w:t>
      </w:r>
      <w:r>
        <w:t xml:space="preserve">Lopes 2023, PMID 36463692.</w:t>
      </w:r>
    </w:p>
  </w:footnote>
  <w:footnote w:id="2247">
    <w:p>
      <w:pPr>
        <w:pStyle w:val="FootnoteText"/>
      </w:pPr>
      <w:r>
        <w:rPr>
          <w:rStyle w:val="FootnoteReference"/>
        </w:rPr>
        <w:footnoteRef/>
      </w:r>
      <w:r>
        <w:t xml:space="preserve"> </w:t>
      </w:r>
      <w:r>
        <w:t xml:space="preserve">Burri 2008, PMID 18375074.</w:t>
      </w:r>
    </w:p>
  </w:footnote>
  <w:footnote w:id="2248">
    <w:p>
      <w:pPr>
        <w:pStyle w:val="FootnoteText"/>
      </w:pPr>
      <w:r>
        <w:rPr>
          <w:rStyle w:val="FootnoteReference"/>
        </w:rPr>
        <w:footnoteRef/>
      </w:r>
      <w:r>
        <w:t xml:space="preserve"> </w:t>
      </w:r>
      <w:r>
        <w:t xml:space="preserve">Weinberger 2018, PMID 29995725.</w:t>
      </w:r>
    </w:p>
  </w:footnote>
  <w:footnote w:id="2250">
    <w:p>
      <w:pPr>
        <w:pStyle w:val="FootnoteText"/>
      </w:pPr>
      <w:r>
        <w:rPr>
          <w:rStyle w:val="FootnoteReference"/>
        </w:rPr>
        <w:footnoteRef/>
      </w:r>
      <w:r>
        <w:t xml:space="preserve"> </w:t>
      </w:r>
      <w:r>
        <w:t xml:space="preserve">Atila 2023, PMID 37192642.</w:t>
      </w:r>
    </w:p>
  </w:footnote>
  <w:footnote w:id="2251">
    <w:p>
      <w:pPr>
        <w:pStyle w:val="FootnoteText"/>
      </w:pPr>
      <w:r>
        <w:rPr>
          <w:rStyle w:val="FootnoteReference"/>
        </w:rPr>
        <w:footnoteRef/>
      </w:r>
      <w:r>
        <w:t xml:space="preserve"> </w:t>
      </w:r>
      <w:r>
        <w:t xml:space="preserve">NCT06036004.</w:t>
      </w:r>
    </w:p>
  </w:footnote>
  <w:footnote w:id="2254">
    <w:p>
      <w:pPr>
        <w:pStyle w:val="FootnoteText"/>
      </w:pPr>
      <w:r>
        <w:rPr>
          <w:rStyle w:val="FootnoteReference"/>
        </w:rPr>
        <w:footnoteRef/>
      </w:r>
      <w:r>
        <w:t xml:space="preserve"> </w:t>
      </w:r>
      <w:r>
        <w:t xml:space="preserve">Minakova 2019, PMID 30629642.</w:t>
      </w:r>
    </w:p>
  </w:footnote>
  <w:footnote w:id="2255">
    <w:p>
      <w:pPr>
        <w:pStyle w:val="FootnoteText"/>
      </w:pPr>
      <w:r>
        <w:rPr>
          <w:rStyle w:val="FootnoteReference"/>
        </w:rPr>
        <w:footnoteRef/>
      </w:r>
      <w:r>
        <w:t xml:space="preserve"> </w:t>
      </w:r>
      <w:r>
        <w:t xml:space="preserve">Lee 2020, PMID 32494001.</w:t>
      </w:r>
    </w:p>
  </w:footnote>
  <w:footnote w:id="2257">
    <w:p>
      <w:pPr>
        <w:pStyle w:val="FootnoteText"/>
      </w:pPr>
      <w:r>
        <w:rPr>
          <w:rStyle w:val="FootnoteReference"/>
        </w:rPr>
        <w:footnoteRef/>
      </w:r>
      <w:r>
        <w:t xml:space="preserve"> </w:t>
      </w:r>
      <w:r>
        <w:t xml:space="preserve">MacDonald 2011, PMID 21429671.</w:t>
      </w:r>
    </w:p>
  </w:footnote>
  <w:footnote w:id="2258">
    <w:p>
      <w:pPr>
        <w:pStyle w:val="FootnoteText"/>
      </w:pPr>
      <w:r>
        <w:rPr>
          <w:rStyle w:val="FootnoteReference"/>
        </w:rPr>
        <w:footnoteRef/>
      </w:r>
      <w:r>
        <w:t xml:space="preserve"> </w:t>
      </w:r>
      <w:r>
        <w:t xml:space="preserve">Sikich 2021, PMID 34644471.</w:t>
      </w:r>
    </w:p>
  </w:footnote>
  <w:footnote w:id="2259">
    <w:p>
      <w:pPr>
        <w:pStyle w:val="FootnoteText"/>
      </w:pPr>
      <w:r>
        <w:rPr>
          <w:rStyle w:val="FootnoteReference"/>
        </w:rPr>
        <w:footnoteRef/>
      </w:r>
      <w:r>
        <w:t xml:space="preserve"> </w:t>
      </w:r>
      <w:r>
        <w:t xml:space="preserve">Rung 2021, PMID 33982141.</w:t>
      </w:r>
    </w:p>
  </w:footnote>
  <w:footnote w:id="2260">
    <w:p>
      <w:pPr>
        <w:pStyle w:val="FootnoteText"/>
      </w:pPr>
      <w:r>
        <w:rPr>
          <w:rStyle w:val="FootnoteReference"/>
        </w:rPr>
        <w:footnoteRef/>
      </w:r>
      <w:r>
        <w:t xml:space="preserve"> </w:t>
      </w:r>
      <w:r>
        <w:t xml:space="preserve">Yatawara 2016, PMID 26503762.</w:t>
      </w:r>
    </w:p>
  </w:footnote>
  <w:footnote w:id="2262">
    <w:p>
      <w:pPr>
        <w:pStyle w:val="FootnoteText"/>
      </w:pPr>
      <w:r>
        <w:rPr>
          <w:rStyle w:val="FootnoteReference"/>
        </w:rPr>
        <w:footnoteRef/>
      </w:r>
      <w:r>
        <w:t xml:space="preserve"> </w:t>
      </w:r>
      <w:r>
        <w:t xml:space="preserve">Mayer-Hubner 1996, PMID 8596357.</w:t>
      </w:r>
    </w:p>
  </w:footnote>
  <w:footnote w:id="2263">
    <w:p>
      <w:pPr>
        <w:pStyle w:val="FootnoteText"/>
      </w:pPr>
      <w:r>
        <w:rPr>
          <w:rStyle w:val="FootnoteReference"/>
        </w:rPr>
        <w:footnoteRef/>
      </w:r>
      <w:r>
        <w:t xml:space="preserve"> </w:t>
      </w:r>
      <w:r>
        <w:t xml:space="preserve">Meusel 2021, PMID 33296278.</w:t>
      </w:r>
    </w:p>
  </w:footnote>
  <w:footnote w:id="2268">
    <w:p>
      <w:pPr>
        <w:pStyle w:val="FootnoteText"/>
      </w:pPr>
      <w:r>
        <w:rPr>
          <w:rStyle w:val="FootnoteReference"/>
        </w:rPr>
        <w:footnoteRef/>
      </w:r>
      <w:r>
        <w:t xml:space="preserve"> </w:t>
      </w:r>
      <w:r>
        <w:t xml:space="preserve">NCT04903002.</w:t>
      </w:r>
    </w:p>
  </w:footnote>
  <w:footnote w:id="2269">
    <w:p>
      <w:pPr>
        <w:pStyle w:val="FootnoteText"/>
      </w:pPr>
      <w:r>
        <w:rPr>
          <w:rStyle w:val="FootnoteReference"/>
        </w:rPr>
        <w:footnoteRef/>
      </w:r>
      <w:r>
        <w:t xml:space="preserve"> </w:t>
      </w:r>
      <w:r>
        <w:t xml:space="preserve">NCT06036004.</w:t>
      </w:r>
    </w:p>
  </w:footnote>
  <w:footnote w:id="2270">
    <w:p>
      <w:pPr>
        <w:pStyle w:val="FootnoteText"/>
      </w:pPr>
      <w:r>
        <w:rPr>
          <w:rStyle w:val="FootnoteReference"/>
        </w:rPr>
        <w:footnoteRef/>
      </w:r>
      <w:r>
        <w:t xml:space="preserve"> </w:t>
      </w:r>
      <w:r>
        <w:t xml:space="preserve">NCT05754073.</w:t>
      </w:r>
    </w:p>
  </w:footnote>
  <w:footnote w:id="2271">
    <w:p>
      <w:pPr>
        <w:pStyle w:val="FootnoteText"/>
      </w:pPr>
      <w:r>
        <w:rPr>
          <w:rStyle w:val="FootnoteReference"/>
        </w:rPr>
        <w:footnoteRef/>
      </w:r>
      <w:r>
        <w:t xml:space="preserve"> </w:t>
      </w:r>
      <w:r>
        <w:t xml:space="preserve">NCT05664516.</w:t>
      </w:r>
    </w:p>
  </w:footnote>
  <w:footnote w:id="2272">
    <w:p>
      <w:pPr>
        <w:pStyle w:val="FootnoteText"/>
      </w:pPr>
      <w:r>
        <w:rPr>
          <w:rStyle w:val="FootnoteReference"/>
        </w:rPr>
        <w:footnoteRef/>
      </w:r>
      <w:r>
        <w:t xml:space="preserve"> </w:t>
      </w:r>
      <w:r>
        <w:t xml:space="preserve">NCT07730294.</w:t>
      </w:r>
    </w:p>
  </w:footnote>
  <w:footnote w:id="2278">
    <w:p>
      <w:pPr>
        <w:pStyle w:val="FootnoteText"/>
      </w:pPr>
      <w:r>
        <w:rPr>
          <w:rStyle w:val="FootnoteReference"/>
        </w:rPr>
        <w:footnoteRef/>
      </w:r>
      <w:r>
        <w:t xml:space="preserve"> </w:t>
      </w:r>
      <w:r>
        <w:t xml:space="preserve">Steg 1985, PMID 2934695.</w:t>
      </w:r>
    </w:p>
  </w:footnote>
  <w:footnote w:id="2279">
    <w:p>
      <w:pPr>
        <w:pStyle w:val="FootnoteText"/>
      </w:pPr>
      <w:r>
        <w:rPr>
          <w:rStyle w:val="FootnoteReference"/>
        </w:rPr>
        <w:footnoteRef/>
      </w:r>
      <w:r>
        <w:t xml:space="preserve"> </w:t>
      </w:r>
      <w:r>
        <w:t xml:space="preserve">Segarra 1996, PMID 8773342 ; Falkenbach 1997, PMID 9189734.</w:t>
      </w:r>
    </w:p>
  </w:footnote>
  <w:footnote w:id="2280">
    <w:p>
      <w:pPr>
        <w:pStyle w:val="FootnoteText"/>
      </w:pPr>
      <w:r>
        <w:rPr>
          <w:rStyle w:val="FootnoteReference"/>
        </w:rPr>
        <w:footnoteRef/>
      </w:r>
      <w:r>
        <w:t xml:space="preserve"> </w:t>
      </w:r>
      <w:r>
        <w:t xml:space="preserve">Kandemir 2011, PMID 21448328.</w:t>
      </w:r>
    </w:p>
  </w:footnote>
  <w:footnote w:id="2281">
    <w:p>
      <w:pPr>
        <w:pStyle w:val="FootnoteText"/>
      </w:pPr>
      <w:r>
        <w:rPr>
          <w:rStyle w:val="FootnoteReference"/>
        </w:rPr>
        <w:footnoteRef/>
      </w:r>
      <w:r>
        <w:t xml:space="preserve"> </w:t>
      </w:r>
      <w:r>
        <w:t xml:space="preserve">Ab Rahim 2020, PMID 32871650.</w:t>
      </w:r>
    </w:p>
  </w:footnote>
  <w:footnote w:id="2282">
    <w:p>
      <w:pPr>
        <w:pStyle w:val="FootnoteText"/>
      </w:pPr>
      <w:r>
        <w:rPr>
          <w:rStyle w:val="FootnoteReference"/>
        </w:rPr>
        <w:footnoteRef/>
      </w:r>
      <w:r>
        <w:t xml:space="preserve"> </w:t>
      </w:r>
      <w:r>
        <w:t xml:space="preserve">Chioma 2025, PMID 41384863.</w:t>
      </w:r>
    </w:p>
  </w:footnote>
  <w:footnote w:id="2284">
    <w:p>
      <w:pPr>
        <w:pStyle w:val="FootnoteText"/>
      </w:pPr>
      <w:r>
        <w:rPr>
          <w:rStyle w:val="FootnoteReference"/>
        </w:rPr>
        <w:footnoteRef/>
      </w:r>
      <w:r>
        <w:t xml:space="preserve"> </w:t>
      </w:r>
      <w:r>
        <w:t xml:space="preserve">Quaas 2022, PMID 36378460.</w:t>
      </w:r>
    </w:p>
  </w:footnote>
  <w:footnote w:id="2285">
    <w:p>
      <w:pPr>
        <w:pStyle w:val="FootnoteText"/>
      </w:pPr>
      <w:r>
        <w:rPr>
          <w:rStyle w:val="FootnoteReference"/>
        </w:rPr>
        <w:footnoteRef/>
      </w:r>
      <w:r>
        <w:t xml:space="preserve"> </w:t>
      </w:r>
      <w:r>
        <w:t xml:space="preserve">Filicori 1994, PMID 7962297.</w:t>
      </w:r>
    </w:p>
  </w:footnote>
  <w:footnote w:id="2286">
    <w:p>
      <w:pPr>
        <w:pStyle w:val="FootnoteText"/>
      </w:pPr>
      <w:r>
        <w:rPr>
          <w:rStyle w:val="FootnoteReference"/>
        </w:rPr>
        <w:footnoteRef/>
      </w:r>
      <w:r>
        <w:t xml:space="preserve"> </w:t>
      </w:r>
      <w:r>
        <w:t xml:space="preserve">Santoro 1990, PMID 2122733.</w:t>
      </w:r>
    </w:p>
  </w:footnote>
  <w:footnote w:id="2287">
    <w:p>
      <w:pPr>
        <w:pStyle w:val="FootnoteText"/>
      </w:pPr>
      <w:r>
        <w:rPr>
          <w:rStyle w:val="FootnoteReference"/>
        </w:rPr>
        <w:footnoteRef/>
      </w:r>
      <w:r>
        <w:t xml:space="preserve"> </w:t>
      </w:r>
      <w:r>
        <w:t xml:space="preserve">Christin-Maitre 2007, PMID 17293247.</w:t>
      </w:r>
    </w:p>
  </w:footnote>
  <w:footnote w:id="2288">
    <w:p>
      <w:pPr>
        <w:pStyle w:val="FootnoteText"/>
      </w:pPr>
      <w:r>
        <w:rPr>
          <w:rStyle w:val="FootnoteReference"/>
        </w:rPr>
        <w:footnoteRef/>
      </w:r>
      <w:r>
        <w:t xml:space="preserve"> </w:t>
      </w:r>
      <w:r>
        <w:t xml:space="preserve">Quaas 2022, PMID 36378460.</w:t>
      </w:r>
    </w:p>
  </w:footnote>
  <w:footnote w:id="2290">
    <w:p>
      <w:pPr>
        <w:pStyle w:val="FootnoteText"/>
      </w:pPr>
      <w:r>
        <w:rPr>
          <w:rStyle w:val="FootnoteReference"/>
        </w:rPr>
        <w:footnoteRef/>
      </w:r>
      <w:r>
        <w:t xml:space="preserve"> </w:t>
      </w:r>
      <w:r>
        <w:t xml:space="preserve">Kliesch 1994, PMID 7921222.</w:t>
      </w:r>
    </w:p>
  </w:footnote>
  <w:footnote w:id="2291">
    <w:p>
      <w:pPr>
        <w:pStyle w:val="FootnoteText"/>
      </w:pPr>
      <w:r>
        <w:rPr>
          <w:rStyle w:val="FootnoteReference"/>
        </w:rPr>
        <w:footnoteRef/>
      </w:r>
      <w:r>
        <w:t xml:space="preserve"> </w:t>
      </w:r>
      <w:r>
        <w:t xml:space="preserve">Gong 2015, PMID 25978110.</w:t>
      </w:r>
    </w:p>
  </w:footnote>
  <w:footnote w:id="2292">
    <w:p>
      <w:pPr>
        <w:pStyle w:val="FootnoteText"/>
      </w:pPr>
      <w:r>
        <w:rPr>
          <w:rStyle w:val="FootnoteReference"/>
        </w:rPr>
        <w:footnoteRef/>
      </w:r>
      <w:r>
        <w:t xml:space="preserve"> </w:t>
      </w:r>
      <w:r>
        <w:t xml:space="preserve">Dwyer 2013, PMID 24037890.</w:t>
      </w:r>
    </w:p>
  </w:footnote>
  <w:footnote w:id="2294">
    <w:p>
      <w:pPr>
        <w:pStyle w:val="FootnoteText"/>
      </w:pPr>
      <w:r>
        <w:rPr>
          <w:rStyle w:val="FootnoteReference"/>
        </w:rPr>
        <w:footnoteRef/>
      </w:r>
      <w:r>
        <w:t xml:space="preserve"> </w:t>
      </w:r>
      <w:r>
        <w:t xml:space="preserve">Spinelli 2014, PMID 25106891.</w:t>
      </w:r>
    </w:p>
  </w:footnote>
  <w:footnote w:id="2295">
    <w:p>
      <w:pPr>
        <w:pStyle w:val="FootnoteText"/>
      </w:pPr>
      <w:r>
        <w:rPr>
          <w:rStyle w:val="FootnoteReference"/>
        </w:rPr>
        <w:footnoteRef/>
      </w:r>
      <w:r>
        <w:t xml:space="preserve"> </w:t>
      </w:r>
      <w:r>
        <w:t xml:space="preserve">Fiala 2022, PMID 35691791.</w:t>
      </w:r>
    </w:p>
  </w:footnote>
  <w:footnote w:id="2299">
    <w:p>
      <w:pPr>
        <w:pStyle w:val="FootnoteText"/>
      </w:pPr>
      <w:r>
        <w:rPr>
          <w:rStyle w:val="FootnoteReference"/>
        </w:rPr>
        <w:footnoteRef/>
      </w:r>
      <w:r>
        <w:t xml:space="preserve"> </w:t>
      </w:r>
      <w:r>
        <w:t xml:space="preserve">Santoro 1990, PMID 2122733 ; Christin-Maitre 2007, PMID 17293247.</w:t>
      </w:r>
    </w:p>
  </w:footnote>
  <w:footnote w:id="2303">
    <w:p>
      <w:pPr>
        <w:pStyle w:val="FootnoteText"/>
      </w:pPr>
      <w:r>
        <w:rPr>
          <w:rStyle w:val="FootnoteReference"/>
        </w:rPr>
        <w:footnoteRef/>
      </w:r>
      <w:r>
        <w:t xml:space="preserve"> </w:t>
      </w:r>
      <w:r>
        <w:t xml:space="preserve">Smit 2026, PMID 42644333.</w:t>
      </w:r>
    </w:p>
  </w:footnote>
  <w:footnote w:id="2304">
    <w:p>
      <w:pPr>
        <w:pStyle w:val="FootnoteText"/>
      </w:pPr>
      <w:r>
        <w:rPr>
          <w:rStyle w:val="FootnoteReference"/>
        </w:rPr>
        <w:footnoteRef/>
      </w:r>
      <w:r>
        <w:t xml:space="preserve"> </w:t>
      </w:r>
      <w:r>
        <w:t xml:space="preserve">Smit 2021, PMID 33550376.</w:t>
      </w:r>
    </w:p>
  </w:footnote>
  <w:footnote w:id="2305">
    <w:p>
      <w:pPr>
        <w:pStyle w:val="FootnoteText"/>
      </w:pPr>
      <w:r>
        <w:rPr>
          <w:rStyle w:val="FootnoteReference"/>
        </w:rPr>
        <w:footnoteRef/>
      </w:r>
      <w:r>
        <w:t xml:space="preserve"> </w:t>
      </w:r>
      <w:r>
        <w:t xml:space="preserve">Torrini 2023, PMID 36858006.</w:t>
      </w:r>
    </w:p>
  </w:footnote>
  <w:footnote w:id="2308">
    <w:p>
      <w:pPr>
        <w:pStyle w:val="FootnoteText"/>
      </w:pPr>
      <w:r>
        <w:rPr>
          <w:rStyle w:val="FootnoteReference"/>
        </w:rPr>
        <w:footnoteRef/>
      </w:r>
      <w:r>
        <w:t xml:space="preserve"> </w:t>
      </w:r>
      <w:r>
        <w:t xml:space="preserve">NCT07152730.</w:t>
      </w:r>
    </w:p>
  </w:footnote>
  <w:footnote w:id="2309">
    <w:p>
      <w:pPr>
        <w:pStyle w:val="FootnoteText"/>
      </w:pPr>
      <w:r>
        <w:rPr>
          <w:rStyle w:val="FootnoteReference"/>
        </w:rPr>
        <w:footnoteRef/>
      </w:r>
      <w:r>
        <w:t xml:space="preserve"> </w:t>
      </w:r>
      <w:r>
        <w:t xml:space="preserve">NCT02310074.</w:t>
      </w:r>
    </w:p>
  </w:footnote>
  <w:footnote w:id="2310">
    <w:p>
      <w:pPr>
        <w:pStyle w:val="FootnoteText"/>
      </w:pPr>
      <w:r>
        <w:rPr>
          <w:rStyle w:val="FootnoteReference"/>
        </w:rPr>
        <w:footnoteRef/>
      </w:r>
      <w:r>
        <w:t xml:space="preserve"> </w:t>
      </w:r>
      <w:r>
        <w:t xml:space="preserve">NCT03989024.</w:t>
      </w:r>
    </w:p>
  </w:footnote>
  <w:footnote w:id="2315">
    <w:p>
      <w:pPr>
        <w:pStyle w:val="FootnoteText"/>
      </w:pPr>
      <w:r>
        <w:rPr>
          <w:rStyle w:val="FootnoteReference"/>
        </w:rPr>
        <w:footnoteRef/>
      </w:r>
      <w:r>
        <w:t xml:space="preserve"> </w:t>
      </w:r>
      <w:r>
        <w:t xml:space="preserve">Myung 2025, PMID 40324552.</w:t>
      </w:r>
    </w:p>
  </w:footnote>
  <w:footnote w:id="2321">
    <w:p>
      <w:pPr>
        <w:pStyle w:val="FootnoteText"/>
      </w:pPr>
      <w:r>
        <w:rPr>
          <w:rStyle w:val="FootnoteReference"/>
        </w:rPr>
        <w:footnoteRef/>
      </w:r>
      <w:r>
        <w:t xml:space="preserve"> </w:t>
      </w:r>
      <w:r>
        <w:t xml:space="preserve">Iwai 2005, PMID 16076145.</w:t>
      </w:r>
    </w:p>
  </w:footnote>
  <w:footnote w:id="2322">
    <w:p>
      <w:pPr>
        <w:pStyle w:val="FootnoteText"/>
      </w:pPr>
      <w:r>
        <w:rPr>
          <w:rStyle w:val="FootnoteReference"/>
        </w:rPr>
        <w:footnoteRef/>
      </w:r>
      <w:r>
        <w:t xml:space="preserve"> </w:t>
      </w:r>
      <w:r>
        <w:t xml:space="preserve">Yamamoto 2016, PMID 26934933.</w:t>
      </w:r>
    </w:p>
  </w:footnote>
  <w:footnote w:id="2323">
    <w:p>
      <w:pPr>
        <w:pStyle w:val="FootnoteText"/>
      </w:pPr>
      <w:r>
        <w:rPr>
          <w:rStyle w:val="FootnoteReference"/>
        </w:rPr>
        <w:footnoteRef/>
      </w:r>
      <w:r>
        <w:t xml:space="preserve"> </w:t>
      </w:r>
      <w:r>
        <w:t xml:space="preserve">Shaw 2017, PMID 27852613.</w:t>
      </w:r>
    </w:p>
  </w:footnote>
  <w:footnote w:id="2324">
    <w:p>
      <w:pPr>
        <w:pStyle w:val="FootnoteText"/>
      </w:pPr>
      <w:r>
        <w:rPr>
          <w:rStyle w:val="FootnoteReference"/>
        </w:rPr>
        <w:footnoteRef/>
      </w:r>
      <w:r>
        <w:t xml:space="preserve"> </w:t>
      </w:r>
      <w:r>
        <w:t xml:space="preserve">Stenbæk 2016, PMID 26655163.</w:t>
      </w:r>
    </w:p>
  </w:footnote>
  <w:footnote w:id="2326">
    <w:p>
      <w:pPr>
        <w:pStyle w:val="FootnoteText"/>
      </w:pPr>
      <w:r>
        <w:rPr>
          <w:rStyle w:val="FootnoteReference"/>
        </w:rPr>
        <w:footnoteRef/>
      </w:r>
      <w:r>
        <w:t xml:space="preserve"> </w:t>
      </w:r>
      <w:r>
        <w:t xml:space="preserve">Hexsel 2017, PMID 28786550.</w:t>
      </w:r>
    </w:p>
  </w:footnote>
  <w:footnote w:id="2327">
    <w:p>
      <w:pPr>
        <w:pStyle w:val="FootnoteText"/>
      </w:pPr>
      <w:r>
        <w:rPr>
          <w:rStyle w:val="FootnoteReference"/>
        </w:rPr>
        <w:footnoteRef/>
      </w:r>
      <w:r>
        <w:t xml:space="preserve"> </w:t>
      </w:r>
      <w:r>
        <w:t xml:space="preserve">Sugihara 2018, PMID 30061579.</w:t>
      </w:r>
    </w:p>
  </w:footnote>
  <w:footnote w:id="2329">
    <w:p>
      <w:pPr>
        <w:pStyle w:val="FootnoteText"/>
      </w:pPr>
      <w:r>
        <w:rPr>
          <w:rStyle w:val="FootnoteReference"/>
        </w:rPr>
        <w:footnoteRef/>
      </w:r>
      <w:r>
        <w:t xml:space="preserve"> </w:t>
      </w:r>
      <w:r>
        <w:t xml:space="preserve">de Miranda 2021, PMID 33742704.</w:t>
      </w:r>
    </w:p>
  </w:footnote>
  <w:footnote w:id="2330">
    <w:p>
      <w:pPr>
        <w:pStyle w:val="FootnoteText"/>
      </w:pPr>
      <w:r>
        <w:rPr>
          <w:rStyle w:val="FootnoteReference"/>
        </w:rPr>
        <w:footnoteRef/>
      </w:r>
      <w:r>
        <w:t xml:space="preserve"> </w:t>
      </w:r>
      <w:r>
        <w:t xml:space="preserve">Pu 2023, PMID 37432180.</w:t>
      </w:r>
    </w:p>
  </w:footnote>
  <w:footnote w:id="2331">
    <w:p>
      <w:pPr>
        <w:pStyle w:val="FootnoteText"/>
      </w:pPr>
      <w:r>
        <w:rPr>
          <w:rStyle w:val="FootnoteReference"/>
        </w:rPr>
        <w:footnoteRef/>
      </w:r>
      <w:r>
        <w:t xml:space="preserve"> </w:t>
      </w:r>
      <w:r>
        <w:t xml:space="preserve">Danessa 2025, PMID 40826844.</w:t>
      </w:r>
    </w:p>
  </w:footnote>
  <w:footnote w:id="2332">
    <w:p>
      <w:pPr>
        <w:pStyle w:val="FootnoteText"/>
      </w:pPr>
      <w:r>
        <w:rPr>
          <w:rStyle w:val="FootnoteReference"/>
        </w:rPr>
        <w:footnoteRef/>
      </w:r>
      <w:r>
        <w:t xml:space="preserve"> </w:t>
      </w:r>
      <w:r>
        <w:t xml:space="preserve">Myung 2025, PMID 40324552.</w:t>
      </w:r>
    </w:p>
  </w:footnote>
  <w:footnote w:id="2334">
    <w:p>
      <w:pPr>
        <w:pStyle w:val="FootnoteText"/>
      </w:pPr>
      <w:r>
        <w:rPr>
          <w:rStyle w:val="FootnoteReference"/>
        </w:rPr>
        <w:footnoteRef/>
      </w:r>
      <w:r>
        <w:t xml:space="preserve"> </w:t>
      </w:r>
      <w:r>
        <w:t xml:space="preserve">García-Coronado 2019, PMID 30368550.</w:t>
      </w:r>
    </w:p>
  </w:footnote>
  <w:footnote w:id="2335">
    <w:p>
      <w:pPr>
        <w:pStyle w:val="FootnoteText"/>
      </w:pPr>
      <w:r>
        <w:rPr>
          <w:rStyle w:val="FootnoteReference"/>
        </w:rPr>
        <w:footnoteRef/>
      </w:r>
      <w:r>
        <w:t xml:space="preserve"> </w:t>
      </w:r>
      <w:r>
        <w:t xml:space="preserve">Liang 2024, PMID 38218227.</w:t>
      </w:r>
    </w:p>
  </w:footnote>
  <w:footnote w:id="2336">
    <w:p>
      <w:pPr>
        <w:pStyle w:val="FootnoteText"/>
      </w:pPr>
      <w:r>
        <w:rPr>
          <w:rStyle w:val="FootnoteReference"/>
        </w:rPr>
        <w:footnoteRef/>
      </w:r>
      <w:r>
        <w:t xml:space="preserve"> </w:t>
      </w:r>
      <w:r>
        <w:t xml:space="preserve">Lin 2023, PMID 37717022.</w:t>
      </w:r>
    </w:p>
  </w:footnote>
  <w:footnote w:id="2337">
    <w:p>
      <w:pPr>
        <w:pStyle w:val="FootnoteText"/>
      </w:pPr>
      <w:r>
        <w:rPr>
          <w:rStyle w:val="FootnoteReference"/>
        </w:rPr>
        <w:footnoteRef/>
      </w:r>
      <w:r>
        <w:t xml:space="preserve"> </w:t>
      </w:r>
      <w:r>
        <w:t xml:space="preserve">Simental-Mendía 2025, PMID 39212129.</w:t>
      </w:r>
    </w:p>
  </w:footnote>
  <w:footnote w:id="2338">
    <w:p>
      <w:pPr>
        <w:pStyle w:val="FootnoteText"/>
      </w:pPr>
      <w:r>
        <w:rPr>
          <w:rStyle w:val="FootnoteReference"/>
        </w:rPr>
        <w:footnoteRef/>
      </w:r>
      <w:r>
        <w:t xml:space="preserve"> </w:t>
      </w:r>
      <w:r>
        <w:t xml:space="preserve">Liu 2018, PMID 29018060.</w:t>
      </w:r>
    </w:p>
  </w:footnote>
  <w:footnote w:id="2340">
    <w:p>
      <w:pPr>
        <w:pStyle w:val="FootnoteText"/>
      </w:pPr>
      <w:r>
        <w:rPr>
          <w:rStyle w:val="FootnoteReference"/>
        </w:rPr>
        <w:footnoteRef/>
      </w:r>
      <w:r>
        <w:t xml:space="preserve"> </w:t>
      </w:r>
      <w:r>
        <w:t xml:space="preserve">Trentham 1993, PMID 8378772.</w:t>
      </w:r>
    </w:p>
  </w:footnote>
  <w:footnote w:id="2341">
    <w:p>
      <w:pPr>
        <w:pStyle w:val="FootnoteText"/>
      </w:pPr>
      <w:r>
        <w:rPr>
          <w:rStyle w:val="FootnoteReference"/>
        </w:rPr>
        <w:footnoteRef/>
      </w:r>
      <w:r>
        <w:t xml:space="preserve"> </w:t>
      </w:r>
      <w:r>
        <w:t xml:space="preserve">Barnett 1998, PMID 9485087.</w:t>
      </w:r>
    </w:p>
  </w:footnote>
  <w:footnote w:id="2344">
    <w:p>
      <w:pPr>
        <w:pStyle w:val="FootnoteText"/>
      </w:pPr>
      <w:r>
        <w:rPr>
          <w:rStyle w:val="FootnoteReference"/>
        </w:rPr>
        <w:footnoteRef/>
      </w:r>
      <w:r>
        <w:t xml:space="preserve"> </w:t>
      </w:r>
      <w:r>
        <w:t xml:space="preserve">Zdzieblik 2015, PMID 26353786.</w:t>
      </w:r>
    </w:p>
  </w:footnote>
  <w:footnote w:id="2345">
    <w:p>
      <w:pPr>
        <w:pStyle w:val="FootnoteText"/>
      </w:pPr>
      <w:r>
        <w:rPr>
          <w:rStyle w:val="FootnoteReference"/>
        </w:rPr>
        <w:footnoteRef/>
      </w:r>
      <w:r>
        <w:t xml:space="preserve"> </w:t>
      </w:r>
      <w:r>
        <w:t xml:space="preserve">Oikawa 2020, PMID 31919527.</w:t>
      </w:r>
    </w:p>
  </w:footnote>
  <w:footnote w:id="2346">
    <w:p>
      <w:pPr>
        <w:pStyle w:val="FootnoteText"/>
      </w:pPr>
      <w:r>
        <w:rPr>
          <w:rStyle w:val="FootnoteReference"/>
        </w:rPr>
        <w:footnoteRef/>
      </w:r>
      <w:r>
        <w:t xml:space="preserve"> </w:t>
      </w:r>
      <w:r>
        <w:t xml:space="preserve">Jacinto 2022, PMID 35042187.</w:t>
      </w:r>
    </w:p>
  </w:footnote>
  <w:footnote w:id="2347">
    <w:p>
      <w:pPr>
        <w:pStyle w:val="FootnoteText"/>
      </w:pPr>
      <w:r>
        <w:rPr>
          <w:rStyle w:val="FootnoteReference"/>
        </w:rPr>
        <w:footnoteRef/>
      </w:r>
      <w:r>
        <w:t xml:space="preserve"> </w:t>
      </w:r>
      <w:r>
        <w:t xml:space="preserve">Kirmse 2024, PMID 39086044.</w:t>
      </w:r>
    </w:p>
  </w:footnote>
  <w:footnote w:id="2348">
    <w:p>
      <w:pPr>
        <w:pStyle w:val="FootnoteText"/>
      </w:pPr>
      <w:r>
        <w:rPr>
          <w:rStyle w:val="FootnoteReference"/>
        </w:rPr>
        <w:footnoteRef/>
      </w:r>
      <w:r>
        <w:t xml:space="preserve"> </w:t>
      </w:r>
      <w:r>
        <w:t xml:space="preserve">Bischof 2024, PMID 39060741.</w:t>
      </w:r>
    </w:p>
  </w:footnote>
  <w:footnote w:id="2349">
    <w:p>
      <w:pPr>
        <w:pStyle w:val="FootnoteText"/>
      </w:pPr>
      <w:r>
        <w:rPr>
          <w:rStyle w:val="FootnoteReference"/>
        </w:rPr>
        <w:footnoteRef/>
      </w:r>
      <w:r>
        <w:t xml:space="preserve"> </w:t>
      </w:r>
      <w:r>
        <w:t xml:space="preserve">Khatri 2021, PMID 34491424.</w:t>
      </w:r>
    </w:p>
  </w:footnote>
  <w:footnote w:id="2351">
    <w:p>
      <w:pPr>
        <w:pStyle w:val="FootnoteText"/>
      </w:pPr>
      <w:r>
        <w:rPr>
          <w:rStyle w:val="FootnoteReference"/>
        </w:rPr>
        <w:footnoteRef/>
      </w:r>
      <w:r>
        <w:t xml:space="preserve"> </w:t>
      </w:r>
      <w:r>
        <w:t xml:space="preserve">Jalili 2023, PMID 35658958.</w:t>
      </w:r>
    </w:p>
  </w:footnote>
  <w:footnote w:id="2354">
    <w:p>
      <w:pPr>
        <w:pStyle w:val="FootnoteText"/>
      </w:pPr>
      <w:r>
        <w:rPr>
          <w:rStyle w:val="FootnoteReference"/>
        </w:rPr>
        <w:footnoteRef/>
      </w:r>
      <w:r>
        <w:t xml:space="preserve"> </w:t>
      </w:r>
      <w:r>
        <w:t xml:space="preserve">Asserin 2015, PMID 26362110.</w:t>
      </w:r>
    </w:p>
  </w:footnote>
  <w:footnote w:id="2355">
    <w:p>
      <w:pPr>
        <w:pStyle w:val="FootnoteText"/>
      </w:pPr>
      <w:r>
        <w:rPr>
          <w:rStyle w:val="FootnoteReference"/>
        </w:rPr>
        <w:footnoteRef/>
      </w:r>
      <w:r>
        <w:t xml:space="preserve"> </w:t>
      </w:r>
      <w:r>
        <w:t xml:space="preserve">Inacio 2024, PMID 38892477.</w:t>
      </w:r>
    </w:p>
  </w:footnote>
  <w:footnote w:id="2356">
    <w:p>
      <w:pPr>
        <w:pStyle w:val="FootnoteText"/>
      </w:pPr>
      <w:r>
        <w:rPr>
          <w:rStyle w:val="FootnoteReference"/>
        </w:rPr>
        <w:footnoteRef/>
      </w:r>
      <w:r>
        <w:t xml:space="preserve"> </w:t>
      </w:r>
      <w:r>
        <w:t xml:space="preserve">Bischof 2026, PMID 41168365.</w:t>
      </w:r>
    </w:p>
  </w:footnote>
  <w:footnote w:id="2358">
    <w:p>
      <w:pPr>
        <w:pStyle w:val="FootnoteText"/>
      </w:pPr>
      <w:r>
        <w:rPr>
          <w:rStyle w:val="FootnoteReference"/>
        </w:rPr>
        <w:footnoteRef/>
      </w:r>
      <w:r>
        <w:t xml:space="preserve"> </w:t>
      </w:r>
      <w:r>
        <w:t xml:space="preserve">Liang 2024, PMID 38218227.</w:t>
      </w:r>
    </w:p>
  </w:footnote>
  <w:footnote w:id="2359">
    <w:p>
      <w:pPr>
        <w:pStyle w:val="FootnoteText"/>
      </w:pPr>
      <w:r>
        <w:rPr>
          <w:rStyle w:val="FootnoteReference"/>
        </w:rPr>
        <w:footnoteRef/>
      </w:r>
      <w:r>
        <w:t xml:space="preserve"> </w:t>
      </w:r>
      <w:r>
        <w:t xml:space="preserve">Knight 2006, PMID 17021603.</w:t>
      </w:r>
    </w:p>
  </w:footnote>
  <w:footnote w:id="2362">
    <w:p>
      <w:pPr>
        <w:pStyle w:val="FootnoteText"/>
      </w:pPr>
      <w:r>
        <w:rPr>
          <w:rStyle w:val="FootnoteReference"/>
        </w:rPr>
        <w:footnoteRef/>
      </w:r>
      <w:r>
        <w:t xml:space="preserve"> </w:t>
      </w:r>
      <w:r>
        <w:t xml:space="preserve">NCT04998188.</w:t>
      </w:r>
    </w:p>
  </w:footnote>
  <w:footnote w:id="2363">
    <w:p>
      <w:pPr>
        <w:pStyle w:val="FootnoteText"/>
      </w:pPr>
      <w:r>
        <w:rPr>
          <w:rStyle w:val="FootnoteReference"/>
        </w:rPr>
        <w:footnoteRef/>
      </w:r>
      <w:r>
        <w:t xml:space="preserve"> </w:t>
      </w:r>
      <w:r>
        <w:t xml:space="preserve">NCT07800780.</w:t>
      </w:r>
    </w:p>
  </w:footnote>
  <w:footnote w:id="2364">
    <w:p>
      <w:pPr>
        <w:pStyle w:val="FootnoteText"/>
      </w:pPr>
      <w:r>
        <w:rPr>
          <w:rStyle w:val="FootnoteReference"/>
        </w:rPr>
        <w:footnoteRef/>
      </w:r>
      <w:r>
        <w:t xml:space="preserve"> </w:t>
      </w:r>
      <w:r>
        <w:t xml:space="preserve">NCT05823727.</w:t>
      </w:r>
    </w:p>
  </w:footnote>
  <w:footnote w:id="2365">
    <w:p>
      <w:pPr>
        <w:pStyle w:val="FootnoteText"/>
      </w:pPr>
      <w:r>
        <w:rPr>
          <w:rStyle w:val="FootnoteReference"/>
        </w:rPr>
        <w:footnoteRef/>
      </w:r>
      <w:r>
        <w:t xml:space="preserve"> </w:t>
      </w:r>
      <w:r>
        <w:t xml:space="preserve">NCT07473037.</w:t>
      </w:r>
    </w:p>
  </w:footnote>
  <w:footnote w:id="2366">
    <w:p>
      <w:pPr>
        <w:pStyle w:val="FootnoteText"/>
      </w:pPr>
      <w:r>
        <w:rPr>
          <w:rStyle w:val="FootnoteReference"/>
        </w:rPr>
        <w:footnoteRef/>
      </w:r>
      <w:r>
        <w:t xml:space="preserve"> </w:t>
      </w:r>
      <w:r>
        <w:t xml:space="preserve">NCT07456449.</w:t>
      </w:r>
    </w:p>
  </w:footnote>
  <w:footnote w:id="2367">
    <w:p>
      <w:pPr>
        <w:pStyle w:val="FootnoteText"/>
      </w:pPr>
      <w:r>
        <w:rPr>
          <w:rStyle w:val="FootnoteReference"/>
        </w:rPr>
        <w:footnoteRef/>
      </w:r>
      <w:r>
        <w:t xml:space="preserve"> </w:t>
      </w:r>
      <w:r>
        <w:t xml:space="preserve">NCT07229014.</w:t>
      </w:r>
    </w:p>
  </w:footnote>
  <w:footnote w:id="2368">
    <w:p>
      <w:pPr>
        <w:pStyle w:val="FootnoteText"/>
      </w:pPr>
      <w:r>
        <w:rPr>
          <w:rStyle w:val="FootnoteReference"/>
        </w:rPr>
        <w:footnoteRef/>
      </w:r>
      <w:r>
        <w:t xml:space="preserve"> </w:t>
      </w:r>
      <w:r>
        <w:t xml:space="preserve">Myung 2025, PMID 40324552.</w:t>
      </w:r>
    </w:p>
  </w:footnote>
  <w:footnote w:id="2373">
    <w:p>
      <w:pPr>
        <w:pStyle w:val="FootnoteText"/>
      </w:pPr>
      <w:r>
        <w:rPr>
          <w:rStyle w:val="FootnoteReference"/>
        </w:rPr>
        <w:footnoteRef/>
      </w:r>
      <w:r>
        <w:t xml:space="preserve"> </w:t>
      </w:r>
      <w:r>
        <w:t xml:space="preserve">Nakamura 1995, PMID 7673515.</w:t>
      </w:r>
    </w:p>
  </w:footnote>
  <w:footnote w:id="2374">
    <w:p>
      <w:pPr>
        <w:pStyle w:val="FootnoteText"/>
      </w:pPr>
      <w:r>
        <w:rPr>
          <w:rStyle w:val="FootnoteReference"/>
        </w:rPr>
        <w:footnoteRef/>
      </w:r>
      <w:r>
        <w:t xml:space="preserve"> </w:t>
      </w:r>
      <w:r>
        <w:t xml:space="preserve">Foltz 2007, PMID 17374660.</w:t>
      </w:r>
    </w:p>
  </w:footnote>
  <w:footnote w:id="2375">
    <w:p>
      <w:pPr>
        <w:pStyle w:val="FootnoteText"/>
      </w:pPr>
      <w:r>
        <w:rPr>
          <w:rStyle w:val="FootnoteReference"/>
        </w:rPr>
        <w:footnoteRef/>
      </w:r>
      <w:r>
        <w:t xml:space="preserve"> </w:t>
      </w:r>
      <w:r>
        <w:t xml:space="preserve">Wuerzner 2009, PMID 19506528.</w:t>
      </w:r>
    </w:p>
  </w:footnote>
  <w:footnote w:id="2378">
    <w:p>
      <w:pPr>
        <w:pStyle w:val="FootnoteText"/>
      </w:pPr>
      <w:r>
        <w:rPr>
          <w:rStyle w:val="FootnoteReference"/>
        </w:rPr>
        <w:footnoteRef/>
      </w:r>
      <w:r>
        <w:t xml:space="preserve"> </w:t>
      </w:r>
      <w:r>
        <w:t xml:space="preserve">Geleijnse 2010, PMID 19884823.</w:t>
      </w:r>
    </w:p>
  </w:footnote>
  <w:footnote w:id="2380">
    <w:p>
      <w:pPr>
        <w:pStyle w:val="FootnoteText"/>
      </w:pPr>
      <w:r>
        <w:rPr>
          <w:rStyle w:val="FootnoteReference"/>
        </w:rPr>
        <w:footnoteRef/>
      </w:r>
      <w:r>
        <w:t xml:space="preserve"> </w:t>
      </w:r>
      <w:r>
        <w:t xml:space="preserve">Jauhiainen 2012, PMID 22617279.</w:t>
      </w:r>
    </w:p>
  </w:footnote>
  <w:footnote w:id="2381">
    <w:p>
      <w:pPr>
        <w:pStyle w:val="FootnoteText"/>
      </w:pPr>
      <w:r>
        <w:rPr>
          <w:rStyle w:val="FootnoteReference"/>
        </w:rPr>
        <w:footnoteRef/>
      </w:r>
      <w:r>
        <w:t xml:space="preserve"> </w:t>
      </w:r>
      <w:r>
        <w:t xml:space="preserve">Turpeinen 2012, PMID 22398753.</w:t>
      </w:r>
    </w:p>
  </w:footnote>
  <w:footnote w:id="2382">
    <w:p>
      <w:pPr>
        <w:pStyle w:val="FootnoteText"/>
      </w:pPr>
      <w:r>
        <w:rPr>
          <w:rStyle w:val="FootnoteReference"/>
        </w:rPr>
        <w:footnoteRef/>
      </w:r>
      <w:r>
        <w:t xml:space="preserve"> </w:t>
      </w:r>
      <w:r>
        <w:t xml:space="preserve">Cicero 2011, PMID 21753776 ; Cicero 2016, PMID 26683986.</w:t>
      </w:r>
    </w:p>
  </w:footnote>
  <w:footnote w:id="2383">
    <w:p>
      <w:pPr>
        <w:pStyle w:val="FootnoteText"/>
      </w:pPr>
      <w:r>
        <w:rPr>
          <w:rStyle w:val="FootnoteReference"/>
        </w:rPr>
        <w:footnoteRef/>
      </w:r>
      <w:r>
        <w:t xml:space="preserve"> </w:t>
      </w:r>
      <w:r>
        <w:t xml:space="preserve">Germino 2010, PMID 20433527.</w:t>
      </w:r>
    </w:p>
  </w:footnote>
  <w:footnote w:id="2384">
    <w:p>
      <w:pPr>
        <w:pStyle w:val="FootnoteText"/>
      </w:pPr>
      <w:r>
        <w:rPr>
          <w:rStyle w:val="FootnoteReference"/>
        </w:rPr>
        <w:footnoteRef/>
      </w:r>
      <w:r>
        <w:t xml:space="preserve"> </w:t>
      </w:r>
      <w:r>
        <w:t xml:space="preserve">par ex. Akazawa 2018, PMID 29703414.</w:t>
      </w:r>
    </w:p>
  </w:footnote>
  <w:footnote w:id="2386">
    <w:p>
      <w:pPr>
        <w:pStyle w:val="FootnoteText"/>
      </w:pPr>
      <w:r>
        <w:rPr>
          <w:rStyle w:val="FootnoteReference"/>
        </w:rPr>
        <w:footnoteRef/>
      </w:r>
      <w:r>
        <w:t xml:space="preserve"> </w:t>
      </w:r>
      <w:r>
        <w:t xml:space="preserve">Fekete 2015, PMID 25608938.</w:t>
      </w:r>
    </w:p>
  </w:footnote>
  <w:footnote w:id="2389">
    <w:p>
      <w:pPr>
        <w:pStyle w:val="FootnoteText"/>
      </w:pPr>
      <w:r>
        <w:rPr>
          <w:rStyle w:val="FootnoteReference"/>
        </w:rPr>
        <w:footnoteRef/>
      </w:r>
      <w:r>
        <w:t xml:space="preserve"> </w:t>
      </w:r>
      <w:r>
        <w:t xml:space="preserve">Nakamura 1995, PMID 7673515.</w:t>
      </w:r>
    </w:p>
  </w:footnote>
  <w:footnote w:id="2390">
    <w:p>
      <w:pPr>
        <w:pStyle w:val="FootnoteText"/>
      </w:pPr>
      <w:r>
        <w:rPr>
          <w:rStyle w:val="FootnoteReference"/>
        </w:rPr>
        <w:footnoteRef/>
      </w:r>
      <w:r>
        <w:t xml:space="preserve"> </w:t>
      </w:r>
      <w:r>
        <w:t xml:space="preserve">Hirota 2011, PMID 21221598.</w:t>
      </w:r>
    </w:p>
  </w:footnote>
  <w:footnote w:id="2391">
    <w:p>
      <w:pPr>
        <w:pStyle w:val="FootnoteText"/>
      </w:pPr>
      <w:r>
        <w:rPr>
          <w:rStyle w:val="FootnoteReference"/>
        </w:rPr>
        <w:footnoteRef/>
      </w:r>
      <w:r>
        <w:t xml:space="preserve"> </w:t>
      </w:r>
      <w:r>
        <w:t xml:space="preserve">Foltz 2007, PMID 17374660.</w:t>
      </w:r>
    </w:p>
  </w:footnote>
  <w:footnote w:id="2392">
    <w:p>
      <w:pPr>
        <w:pStyle w:val="FootnoteText"/>
      </w:pPr>
      <w:r>
        <w:rPr>
          <w:rStyle w:val="FootnoteReference"/>
        </w:rPr>
        <w:footnoteRef/>
      </w:r>
      <w:r>
        <w:t xml:space="preserve"> </w:t>
      </w:r>
      <w:r>
        <w:t xml:space="preserve">Gregory 2024, PMID 37904282.</w:t>
      </w:r>
    </w:p>
  </w:footnote>
  <w:footnote w:id="2393">
    <w:p>
      <w:pPr>
        <w:pStyle w:val="FootnoteText"/>
      </w:pPr>
      <w:r>
        <w:rPr>
          <w:rStyle w:val="FootnoteReference"/>
        </w:rPr>
        <w:footnoteRef/>
      </w:r>
      <w:r>
        <w:t xml:space="preserve"> </w:t>
      </w:r>
      <w:r>
        <w:t xml:space="preserve">Dent 2007, PMID 17383063.</w:t>
      </w:r>
    </w:p>
  </w:footnote>
  <w:footnote w:id="2394">
    <w:p>
      <w:pPr>
        <w:pStyle w:val="FootnoteText"/>
      </w:pPr>
      <w:r>
        <w:rPr>
          <w:rStyle w:val="FootnoteReference"/>
        </w:rPr>
        <w:footnoteRef/>
      </w:r>
      <w:r>
        <w:t xml:space="preserve"> </w:t>
      </w:r>
      <w:r>
        <w:t xml:space="preserve">Ponstein-Simarro Doorten 2009, PMID 18955104.</w:t>
      </w:r>
    </w:p>
  </w:footnote>
  <w:footnote w:id="2396">
    <w:p>
      <w:pPr>
        <w:pStyle w:val="FootnoteText"/>
      </w:pPr>
      <w:r>
        <w:rPr>
          <w:rStyle w:val="FootnoteReference"/>
        </w:rPr>
        <w:footnoteRef/>
      </w:r>
      <w:r>
        <w:t xml:space="preserve"> </w:t>
      </w:r>
      <w:r>
        <w:t xml:space="preserve">par ex. Jauhiainen 2005, PMID 16364832.</w:t>
      </w:r>
    </w:p>
  </w:footnote>
  <w:footnote w:id="2399">
    <w:p>
      <w:pPr>
        <w:pStyle w:val="FootnoteText"/>
      </w:pPr>
      <w:r>
        <w:rPr>
          <w:rStyle w:val="FootnoteReference"/>
        </w:rPr>
        <w:footnoteRef/>
      </w:r>
      <w:r>
        <w:t xml:space="preserve"> </w:t>
      </w:r>
      <w:r>
        <w:t xml:space="preserve">NCT00924157.</w:t>
      </w:r>
    </w:p>
  </w:footnote>
  <w:footnote w:id="2404">
    <w:p>
      <w:pPr>
        <w:pStyle w:val="FootnoteText"/>
      </w:pPr>
      <w:r>
        <w:rPr>
          <w:rStyle w:val="FootnoteReference"/>
        </w:rPr>
        <w:footnoteRef/>
      </w:r>
      <w:r>
        <w:t xml:space="preserve"> </w:t>
      </w:r>
      <w:r>
        <w:t xml:space="preserve">Baguet 2010, PMID 20671038.</w:t>
      </w:r>
    </w:p>
  </w:footnote>
  <w:footnote w:id="2405">
    <w:p>
      <w:pPr>
        <w:pStyle w:val="FootnoteText"/>
      </w:pPr>
      <w:r>
        <w:rPr>
          <w:rStyle w:val="FootnoteReference"/>
        </w:rPr>
        <w:footnoteRef/>
      </w:r>
      <w:r>
        <w:t xml:space="preserve"> </w:t>
      </w:r>
      <w:r>
        <w:t xml:space="preserve">Gardner 1991, PMID 1910085.</w:t>
      </w:r>
    </w:p>
  </w:footnote>
  <w:footnote w:id="2406">
    <w:p>
      <w:pPr>
        <w:pStyle w:val="FootnoteText"/>
      </w:pPr>
      <w:r>
        <w:rPr>
          <w:rStyle w:val="FootnoteReference"/>
        </w:rPr>
        <w:footnoteRef/>
      </w:r>
      <w:r>
        <w:t xml:space="preserve"> </w:t>
      </w:r>
      <w:r>
        <w:t xml:space="preserve">Baba 2024, PMID 39215872.</w:t>
      </w:r>
    </w:p>
  </w:footnote>
  <w:footnote w:id="2408">
    <w:p>
      <w:pPr>
        <w:pStyle w:val="FootnoteText"/>
      </w:pPr>
      <w:r>
        <w:rPr>
          <w:rStyle w:val="FootnoteReference"/>
        </w:rPr>
        <w:footnoteRef/>
      </w:r>
      <w:r>
        <w:t xml:space="preserve"> </w:t>
      </w:r>
      <w:r>
        <w:t xml:space="preserve">Harris 2006, PMID 16554972.</w:t>
      </w:r>
    </w:p>
  </w:footnote>
  <w:footnote w:id="2409">
    <w:p>
      <w:pPr>
        <w:pStyle w:val="FootnoteText"/>
      </w:pPr>
      <w:r>
        <w:rPr>
          <w:rStyle w:val="FootnoteReference"/>
        </w:rPr>
        <w:footnoteRef/>
      </w:r>
      <w:r>
        <w:t xml:space="preserve"> </w:t>
      </w:r>
      <w:r>
        <w:t xml:space="preserve">Yamaguchi 2021, PMID 33148972.</w:t>
      </w:r>
    </w:p>
  </w:footnote>
  <w:footnote w:id="2410">
    <w:p>
      <w:pPr>
        <w:pStyle w:val="FootnoteText"/>
      </w:pPr>
      <w:r>
        <w:rPr>
          <w:rStyle w:val="FootnoteReference"/>
        </w:rPr>
        <w:footnoteRef/>
      </w:r>
      <w:r>
        <w:t xml:space="preserve"> </w:t>
      </w:r>
      <w:r>
        <w:t xml:space="preserve">Rezende 2020, PMID 32922303.</w:t>
      </w:r>
    </w:p>
  </w:footnote>
  <w:footnote w:id="2413">
    <w:p>
      <w:pPr>
        <w:pStyle w:val="FootnoteText"/>
      </w:pPr>
      <w:r>
        <w:rPr>
          <w:rStyle w:val="FootnoteReference"/>
        </w:rPr>
        <w:footnoteRef/>
      </w:r>
      <w:r>
        <w:t xml:space="preserve"> </w:t>
      </w:r>
      <w:r>
        <w:t xml:space="preserve">Saunders 2017, PMID 27797728.</w:t>
      </w:r>
    </w:p>
  </w:footnote>
  <w:footnote w:id="2414">
    <w:p>
      <w:pPr>
        <w:pStyle w:val="FootnoteText"/>
      </w:pPr>
      <w:r>
        <w:rPr>
          <w:rStyle w:val="FootnoteReference"/>
        </w:rPr>
        <w:footnoteRef/>
      </w:r>
      <w:r>
        <w:t xml:space="preserve"> </w:t>
      </w:r>
      <w:r>
        <w:t xml:space="preserve">Derave 2007, PMID 17690198.</w:t>
      </w:r>
    </w:p>
  </w:footnote>
  <w:footnote w:id="2415">
    <w:p>
      <w:pPr>
        <w:pStyle w:val="FootnoteText"/>
      </w:pPr>
      <w:r>
        <w:rPr>
          <w:rStyle w:val="FootnoteReference"/>
        </w:rPr>
        <w:footnoteRef/>
      </w:r>
      <w:r>
        <w:t xml:space="preserve"> </w:t>
      </w:r>
      <w:r>
        <w:t xml:space="preserve">Chung 2014, PMID 24457999.</w:t>
      </w:r>
    </w:p>
  </w:footnote>
  <w:footnote w:id="2416">
    <w:p>
      <w:pPr>
        <w:pStyle w:val="FootnoteText"/>
      </w:pPr>
      <w:r>
        <w:rPr>
          <w:rStyle w:val="FootnoteReference"/>
        </w:rPr>
        <w:footnoteRef/>
      </w:r>
      <w:r>
        <w:t xml:space="preserve"> </w:t>
      </w:r>
      <w:r>
        <w:t xml:space="preserve">O’Toole 2026, PMID 42308284.</w:t>
      </w:r>
    </w:p>
  </w:footnote>
  <w:footnote w:id="2418">
    <w:p>
      <w:pPr>
        <w:pStyle w:val="FootnoteText"/>
      </w:pPr>
      <w:r>
        <w:rPr>
          <w:rStyle w:val="FootnoteReference"/>
        </w:rPr>
        <w:footnoteRef/>
      </w:r>
      <w:r>
        <w:t xml:space="preserve"> </w:t>
      </w:r>
      <w:r>
        <w:t xml:space="preserve">Peng 2020, PMID 31987255.</w:t>
      </w:r>
    </w:p>
  </w:footnote>
  <w:footnote w:id="2419">
    <w:p>
      <w:pPr>
        <w:pStyle w:val="FootnoteText"/>
      </w:pPr>
      <w:r>
        <w:rPr>
          <w:rStyle w:val="FootnoteReference"/>
        </w:rPr>
        <w:footnoteRef/>
      </w:r>
      <w:r>
        <w:t xml:space="preserve"> </w:t>
      </w:r>
      <w:r>
        <w:t xml:space="preserve">Matthews 2021, PMID 34333586.</w:t>
      </w:r>
    </w:p>
  </w:footnote>
  <w:footnote w:id="2420">
    <w:p>
      <w:pPr>
        <w:pStyle w:val="FootnoteText"/>
      </w:pPr>
      <w:r>
        <w:rPr>
          <w:rStyle w:val="FootnoteReference"/>
        </w:rPr>
        <w:footnoteRef/>
      </w:r>
      <w:r>
        <w:t xml:space="preserve"> </w:t>
      </w:r>
      <w:r>
        <w:t xml:space="preserve">Li 2025, PMID 40999397.</w:t>
      </w:r>
    </w:p>
  </w:footnote>
  <w:footnote w:id="2422">
    <w:p>
      <w:pPr>
        <w:pStyle w:val="FootnoteText"/>
      </w:pPr>
      <w:r>
        <w:rPr>
          <w:rStyle w:val="FootnoteReference"/>
        </w:rPr>
        <w:footnoteRef/>
      </w:r>
      <w:r>
        <w:t xml:space="preserve"> </w:t>
      </w:r>
      <w:r>
        <w:t xml:space="preserve">Saadati 2024, PMID 38086332.</w:t>
      </w:r>
    </w:p>
  </w:footnote>
  <w:footnote w:id="2424">
    <w:p>
      <w:pPr>
        <w:pStyle w:val="FootnoteText"/>
      </w:pPr>
      <w:r>
        <w:rPr>
          <w:rStyle w:val="FootnoteReference"/>
        </w:rPr>
        <w:footnoteRef/>
      </w:r>
      <w:r>
        <w:t xml:space="preserve"> </w:t>
      </w:r>
      <w:r>
        <w:t xml:space="preserve">Hisatsune 2016, PMID 26682691.</w:t>
      </w:r>
    </w:p>
  </w:footnote>
  <w:footnote w:id="2425">
    <w:p>
      <w:pPr>
        <w:pStyle w:val="FootnoteText"/>
      </w:pPr>
      <w:r>
        <w:rPr>
          <w:rStyle w:val="FootnoteReference"/>
        </w:rPr>
        <w:footnoteRef/>
      </w:r>
      <w:r>
        <w:t xml:space="preserve"> </w:t>
      </w:r>
      <w:r>
        <w:t xml:space="preserve">Masuoka 2019, PMID 31319510.</w:t>
      </w:r>
    </w:p>
  </w:footnote>
  <w:footnote w:id="2426">
    <w:p>
      <w:pPr>
        <w:pStyle w:val="FootnoteText"/>
      </w:pPr>
      <w:r>
        <w:rPr>
          <w:rStyle w:val="FootnoteReference"/>
        </w:rPr>
        <w:footnoteRef/>
      </w:r>
      <w:r>
        <w:t xml:space="preserve"> </w:t>
      </w:r>
      <w:r>
        <w:t xml:space="preserve">O’Toole 2025, PMID 39919936.</w:t>
      </w:r>
    </w:p>
  </w:footnote>
  <w:footnote w:id="2427">
    <w:p>
      <w:pPr>
        <w:pStyle w:val="FootnoteText"/>
      </w:pPr>
      <w:r>
        <w:rPr>
          <w:rStyle w:val="FootnoteReference"/>
        </w:rPr>
        <w:footnoteRef/>
      </w:r>
      <w:r>
        <w:t xml:space="preserve"> </w:t>
      </w:r>
      <w:r>
        <w:t xml:space="preserve">Hsiao 2026, PMID 42123986.</w:t>
      </w:r>
    </w:p>
  </w:footnote>
  <w:footnote w:id="2428">
    <w:p>
      <w:pPr>
        <w:pStyle w:val="FootnoteText"/>
      </w:pPr>
      <w:r>
        <w:rPr>
          <w:rStyle w:val="FootnoteReference"/>
        </w:rPr>
        <w:footnoteRef/>
      </w:r>
      <w:r>
        <w:t xml:space="preserve"> </w:t>
      </w:r>
      <w:r>
        <w:t xml:space="preserve">Kabthymer 2025, PMID 38545720.</w:t>
      </w:r>
    </w:p>
  </w:footnote>
  <w:footnote w:id="2429">
    <w:p>
      <w:pPr>
        <w:pStyle w:val="FootnoteText"/>
      </w:pPr>
      <w:r>
        <w:rPr>
          <w:rStyle w:val="FootnoteReference"/>
        </w:rPr>
        <w:footnoteRef/>
      </w:r>
      <w:r>
        <w:t xml:space="preserve"> </w:t>
      </w:r>
      <w:r>
        <w:t xml:space="preserve">Chez 2002, PMID 12585724.</w:t>
      </w:r>
    </w:p>
  </w:footnote>
  <w:footnote w:id="2430">
    <w:p>
      <w:pPr>
        <w:pStyle w:val="FootnoteText"/>
      </w:pPr>
      <w:r>
        <w:rPr>
          <w:rStyle w:val="FootnoteReference"/>
        </w:rPr>
        <w:footnoteRef/>
      </w:r>
      <w:r>
        <w:t xml:space="preserve"> </w:t>
      </w:r>
      <w:r>
        <w:t xml:space="preserve">Abraham 2020, PMID 33170378.</w:t>
      </w:r>
    </w:p>
  </w:footnote>
  <w:footnote w:id="2432">
    <w:p>
      <w:pPr>
        <w:pStyle w:val="FootnoteText"/>
      </w:pPr>
      <w:r>
        <w:rPr>
          <w:rStyle w:val="FootnoteReference"/>
        </w:rPr>
        <w:footnoteRef/>
      </w:r>
      <w:r>
        <w:t xml:space="preserve"> </w:t>
      </w:r>
      <w:r>
        <w:t xml:space="preserve">Yehia 2019, PMID 30592963.</w:t>
      </w:r>
    </w:p>
  </w:footnote>
  <w:footnote w:id="2433">
    <w:p>
      <w:pPr>
        <w:pStyle w:val="FootnoteText"/>
      </w:pPr>
      <w:r>
        <w:rPr>
          <w:rStyle w:val="FootnoteReference"/>
        </w:rPr>
        <w:footnoteRef/>
      </w:r>
      <w:r>
        <w:t xml:space="preserve"> </w:t>
      </w:r>
      <w:r>
        <w:t xml:space="preserve">Lombardi 2015, PMID 25287762.</w:t>
      </w:r>
    </w:p>
  </w:footnote>
  <w:footnote w:id="2434">
    <w:p>
      <w:pPr>
        <w:pStyle w:val="FootnoteText"/>
      </w:pPr>
      <w:r>
        <w:rPr>
          <w:rStyle w:val="FootnoteReference"/>
        </w:rPr>
        <w:footnoteRef/>
      </w:r>
      <w:r>
        <w:t xml:space="preserve"> </w:t>
      </w:r>
      <w:r>
        <w:t xml:space="preserve">Baraniuk 2013, PMID 23618477.</w:t>
      </w:r>
    </w:p>
  </w:footnote>
  <w:footnote w:id="2435">
    <w:p>
      <w:pPr>
        <w:pStyle w:val="FootnoteText"/>
      </w:pPr>
      <w:r>
        <w:rPr>
          <w:rStyle w:val="FootnoteReference"/>
        </w:rPr>
        <w:footnoteRef/>
      </w:r>
      <w:r>
        <w:t xml:space="preserve"> </w:t>
      </w:r>
      <w:r>
        <w:t xml:space="preserve">Babizhayev 2012, PMID 21756141.</w:t>
      </w:r>
    </w:p>
  </w:footnote>
  <w:footnote w:id="2437">
    <w:p>
      <w:pPr>
        <w:pStyle w:val="FootnoteText"/>
      </w:pPr>
      <w:r>
        <w:rPr>
          <w:rStyle w:val="FootnoteReference"/>
        </w:rPr>
        <w:footnoteRef/>
      </w:r>
      <w:r>
        <w:t xml:space="preserve"> </w:t>
      </w:r>
      <w:r>
        <w:t xml:space="preserve">Shen 2022, PMID 35999163.</w:t>
      </w:r>
    </w:p>
  </w:footnote>
  <w:footnote w:id="2438">
    <w:p>
      <w:pPr>
        <w:pStyle w:val="FootnoteText"/>
      </w:pPr>
      <w:r>
        <w:rPr>
          <w:rStyle w:val="FootnoteReference"/>
        </w:rPr>
        <w:footnoteRef/>
      </w:r>
      <w:r>
        <w:t xml:space="preserve"> </w:t>
      </w:r>
      <w:r>
        <w:t xml:space="preserve">Dubois 2017, PMID 28245346.</w:t>
      </w:r>
    </w:p>
  </w:footnote>
  <w:footnote w:id="2441">
    <w:p>
      <w:pPr>
        <w:pStyle w:val="FootnoteText"/>
      </w:pPr>
      <w:r>
        <w:rPr>
          <w:rStyle w:val="FootnoteReference"/>
        </w:rPr>
        <w:footnoteRef/>
      </w:r>
      <w:r>
        <w:t xml:space="preserve"> </w:t>
      </w:r>
      <w:r>
        <w:t xml:space="preserve">Matthews 2021, PMID 34333586.</w:t>
      </w:r>
    </w:p>
  </w:footnote>
  <w:footnote w:id="2442">
    <w:p>
      <w:pPr>
        <w:pStyle w:val="FootnoteText"/>
      </w:pPr>
      <w:r>
        <w:rPr>
          <w:rStyle w:val="FootnoteReference"/>
        </w:rPr>
        <w:footnoteRef/>
      </w:r>
      <w:r>
        <w:t xml:space="preserve"> </w:t>
      </w:r>
      <w:r>
        <w:t xml:space="preserve">Qiu 2020, PMID 32803273.</w:t>
      </w:r>
    </w:p>
  </w:footnote>
  <w:footnote w:id="2444">
    <w:p>
      <w:pPr>
        <w:pStyle w:val="FootnoteText"/>
      </w:pPr>
      <w:r>
        <w:rPr>
          <w:rStyle w:val="FootnoteReference"/>
        </w:rPr>
        <w:footnoteRef/>
      </w:r>
      <w:r>
        <w:t xml:space="preserve"> </w:t>
      </w:r>
      <w:r>
        <w:t xml:space="preserve">Baba 2024, PMID 39215872.</w:t>
      </w:r>
    </w:p>
  </w:footnote>
  <w:footnote w:id="2445">
    <w:p>
      <w:pPr>
        <w:pStyle w:val="FootnoteText"/>
      </w:pPr>
      <w:r>
        <w:rPr>
          <w:rStyle w:val="FootnoteReference"/>
        </w:rPr>
        <w:footnoteRef/>
      </w:r>
      <w:r>
        <w:t xml:space="preserve"> </w:t>
      </w:r>
      <w:r>
        <w:t xml:space="preserve">Dolan 2019, PMID 30980076.</w:t>
      </w:r>
    </w:p>
  </w:footnote>
  <w:footnote w:id="2448">
    <w:p>
      <w:pPr>
        <w:pStyle w:val="FootnoteText"/>
      </w:pPr>
      <w:r>
        <w:rPr>
          <w:rStyle w:val="FootnoteReference"/>
        </w:rPr>
        <w:footnoteRef/>
      </w:r>
      <w:r>
        <w:t xml:space="preserve"> </w:t>
      </w:r>
      <w:r>
        <w:t xml:space="preserve">NCT06480760.</w:t>
      </w:r>
    </w:p>
  </w:footnote>
  <w:footnote w:id="2449">
    <w:p>
      <w:pPr>
        <w:pStyle w:val="FootnoteText"/>
      </w:pPr>
      <w:r>
        <w:rPr>
          <w:rStyle w:val="FootnoteReference"/>
        </w:rPr>
        <w:footnoteRef/>
      </w:r>
      <w:r>
        <w:t xml:space="preserve"> </w:t>
      </w:r>
      <w:r>
        <w:t xml:space="preserve">NCT07475546.</w:t>
      </w:r>
    </w:p>
  </w:footnote>
  <w:footnote w:id="2450">
    <w:p>
      <w:pPr>
        <w:pStyle w:val="FootnoteText"/>
      </w:pPr>
      <w:r>
        <w:rPr>
          <w:rStyle w:val="FootnoteReference"/>
        </w:rPr>
        <w:footnoteRef/>
      </w:r>
      <w:r>
        <w:t xml:space="preserve"> </w:t>
      </w:r>
      <w:r>
        <w:t xml:space="preserve">NCT03314987.</w:t>
      </w:r>
    </w:p>
  </w:footnote>
  <w:footnote w:id="2454">
    <w:p>
      <w:pPr>
        <w:pStyle w:val="FootnoteText"/>
      </w:pPr>
      <w:r>
        <w:rPr>
          <w:rStyle w:val="FootnoteReference"/>
        </w:rPr>
        <w:footnoteRef/>
      </w:r>
      <w:r>
        <w:t xml:space="preserve"> </w:t>
      </w:r>
      <w:r>
        <w:t xml:space="preserve">Pickart 1973, PMID 4349963.</w:t>
      </w:r>
    </w:p>
  </w:footnote>
  <w:footnote w:id="2456">
    <w:p>
      <w:pPr>
        <w:pStyle w:val="FootnoteText"/>
      </w:pPr>
      <w:r>
        <w:rPr>
          <w:rStyle w:val="FootnoteReference"/>
        </w:rPr>
        <w:footnoteRef/>
      </w:r>
      <w:r>
        <w:t xml:space="preserve"> </w:t>
      </w:r>
      <w:r>
        <w:t xml:space="preserve">Pickart 1980, PMID 7453802.</w:t>
      </w:r>
    </w:p>
  </w:footnote>
  <w:footnote w:id="2457">
    <w:p>
      <w:pPr>
        <w:pStyle w:val="FootnoteText"/>
      </w:pPr>
      <w:r>
        <w:rPr>
          <w:rStyle w:val="FootnoteReference"/>
        </w:rPr>
        <w:footnoteRef/>
      </w:r>
      <w:r>
        <w:t xml:space="preserve"> </w:t>
      </w:r>
      <w:r>
        <w:t xml:space="preserve">Maquart 1988, PMID 3169264.</w:t>
      </w:r>
    </w:p>
  </w:footnote>
  <w:footnote w:id="2458">
    <w:p>
      <w:pPr>
        <w:pStyle w:val="FootnoteText"/>
      </w:pPr>
      <w:r>
        <w:rPr>
          <w:rStyle w:val="FootnoteReference"/>
        </w:rPr>
        <w:footnoteRef/>
      </w:r>
      <w:r>
        <w:t xml:space="preserve"> </w:t>
      </w:r>
      <w:r>
        <w:t xml:space="preserve">Pickart 2015, PMID 26236730 ; Pickart 2018, PMID 29986520.</w:t>
      </w:r>
    </w:p>
  </w:footnote>
  <w:footnote w:id="2459">
    <w:p>
      <w:pPr>
        <w:pStyle w:val="FootnoteText"/>
      </w:pPr>
      <w:r>
        <w:rPr>
          <w:rStyle w:val="FootnoteReference"/>
        </w:rPr>
        <w:footnoteRef/>
      </w:r>
      <w:r>
        <w:t xml:space="preserve"> </w:t>
      </w:r>
      <w:r>
        <w:t xml:space="preserve">Mortazavi 2025, PMID 39963574.</w:t>
      </w:r>
    </w:p>
  </w:footnote>
  <w:footnote w:id="2460">
    <w:p>
      <w:pPr>
        <w:pStyle w:val="FootnoteText"/>
      </w:pPr>
      <w:r>
        <w:rPr>
          <w:rStyle w:val="FootnoteReference"/>
        </w:rPr>
        <w:footnoteRef/>
      </w:r>
      <w:r>
        <w:t xml:space="preserve"> </w:t>
      </w:r>
      <w:r>
        <w:t xml:space="preserve">Trzaska 2026, PMID 42790608.</w:t>
      </w:r>
    </w:p>
  </w:footnote>
  <w:footnote w:id="2463">
    <w:p>
      <w:pPr>
        <w:pStyle w:val="FootnoteText"/>
      </w:pPr>
      <w:r>
        <w:rPr>
          <w:rStyle w:val="FootnoteReference"/>
        </w:rPr>
        <w:footnoteRef/>
      </w:r>
      <w:r>
        <w:t xml:space="preserve"> </w:t>
      </w:r>
      <w:r>
        <w:t xml:space="preserve">Nukaly 2026, PMID 41924746.</w:t>
      </w:r>
    </w:p>
  </w:footnote>
  <w:footnote w:id="2464">
    <w:p>
      <w:pPr>
        <w:pStyle w:val="FootnoteText"/>
      </w:pPr>
      <w:r>
        <w:rPr>
          <w:rStyle w:val="FootnoteReference"/>
        </w:rPr>
        <w:footnoteRef/>
      </w:r>
      <w:r>
        <w:t xml:space="preserve"> </w:t>
      </w:r>
      <w:r>
        <w:t xml:space="preserve">Mayfield 2026, PMID 41476424.</w:t>
      </w:r>
    </w:p>
  </w:footnote>
  <w:footnote w:id="2465">
    <w:p>
      <w:pPr>
        <w:pStyle w:val="FootnoteText"/>
      </w:pPr>
      <w:r>
        <w:rPr>
          <w:rStyle w:val="FootnoteReference"/>
        </w:rPr>
        <w:footnoteRef/>
      </w:r>
      <w:r>
        <w:t xml:space="preserve"> </w:t>
      </w:r>
      <w:r>
        <w:t xml:space="preserve">Mendias 2026, PMID 41966639.</w:t>
      </w:r>
    </w:p>
  </w:footnote>
  <w:footnote w:id="2467">
    <w:p>
      <w:pPr>
        <w:pStyle w:val="FootnoteText"/>
      </w:pPr>
      <w:r>
        <w:rPr>
          <w:rStyle w:val="FootnoteReference"/>
        </w:rPr>
        <w:footnoteRef/>
      </w:r>
      <w:r>
        <w:t xml:space="preserve"> </w:t>
      </w:r>
      <w:r>
        <w:t xml:space="preserve">Maquart 1988, PMID 3169264.</w:t>
      </w:r>
    </w:p>
  </w:footnote>
  <w:footnote w:id="2468">
    <w:p>
      <w:pPr>
        <w:pStyle w:val="FootnoteText"/>
      </w:pPr>
      <w:r>
        <w:rPr>
          <w:rStyle w:val="FootnoteReference"/>
        </w:rPr>
        <w:footnoteRef/>
      </w:r>
      <w:r>
        <w:t xml:space="preserve"> </w:t>
      </w:r>
      <w:r>
        <w:t xml:space="preserve">Canapp 2003, PMID 14648529.</w:t>
      </w:r>
    </w:p>
  </w:footnote>
  <w:footnote w:id="2469">
    <w:p>
      <w:pPr>
        <w:pStyle w:val="FootnoteText"/>
      </w:pPr>
      <w:r>
        <w:rPr>
          <w:rStyle w:val="FootnoteReference"/>
        </w:rPr>
        <w:footnoteRef/>
      </w:r>
      <w:r>
        <w:t xml:space="preserve"> </w:t>
      </w:r>
      <w:r>
        <w:t xml:space="preserve">Wang 2017, PMID 28370978.</w:t>
      </w:r>
    </w:p>
  </w:footnote>
  <w:footnote w:id="2470">
    <w:p>
      <w:pPr>
        <w:pStyle w:val="FootnoteText"/>
      </w:pPr>
      <w:r>
        <w:rPr>
          <w:rStyle w:val="FootnoteReference"/>
        </w:rPr>
        <w:footnoteRef/>
      </w:r>
      <w:r>
        <w:t xml:space="preserve"> </w:t>
      </w:r>
      <w:r>
        <w:t xml:space="preserve">Ma 2020, PMID 31809714.</w:t>
      </w:r>
    </w:p>
  </w:footnote>
  <w:footnote w:id="2471">
    <w:p>
      <w:pPr>
        <w:pStyle w:val="FootnoteText"/>
      </w:pPr>
      <w:r>
        <w:rPr>
          <w:rStyle w:val="FootnoteReference"/>
        </w:rPr>
        <w:footnoteRef/>
      </w:r>
      <w:r>
        <w:t xml:space="preserve"> </w:t>
      </w:r>
      <w:r>
        <w:t xml:space="preserve">Fu 2015, PMID 25731775.</w:t>
      </w:r>
    </w:p>
  </w:footnote>
  <w:footnote w:id="2472">
    <w:p>
      <w:pPr>
        <w:pStyle w:val="FootnoteText"/>
      </w:pPr>
      <w:r>
        <w:rPr>
          <w:rStyle w:val="FootnoteReference"/>
        </w:rPr>
        <w:footnoteRef/>
      </w:r>
      <w:r>
        <w:t xml:space="preserve"> </w:t>
      </w:r>
      <w:r>
        <w:t xml:space="preserve">Mazzola 2026, PMID 42245779.</w:t>
      </w:r>
    </w:p>
  </w:footnote>
  <w:footnote w:id="2474">
    <w:p>
      <w:pPr>
        <w:pStyle w:val="FootnoteText"/>
      </w:pPr>
      <w:r>
        <w:rPr>
          <w:rStyle w:val="FootnoteReference"/>
        </w:rPr>
        <w:footnoteRef/>
      </w:r>
      <w:r>
        <w:t xml:space="preserve"> </w:t>
      </w:r>
      <w:r>
        <w:t xml:space="preserve">Pickart 1980, PMID 7453802.</w:t>
      </w:r>
    </w:p>
  </w:footnote>
  <w:footnote w:id="2475">
    <w:p>
      <w:pPr>
        <w:pStyle w:val="FootnoteText"/>
      </w:pPr>
      <w:r>
        <w:rPr>
          <w:rStyle w:val="FootnoteReference"/>
        </w:rPr>
        <w:footnoteRef/>
      </w:r>
      <w:r>
        <w:t xml:space="preserve"> </w:t>
      </w:r>
      <w:r>
        <w:t xml:space="preserve">Moiz 2026, PMID 42757290.</w:t>
      </w:r>
    </w:p>
  </w:footnote>
  <w:footnote w:id="2478">
    <w:p>
      <w:pPr>
        <w:pStyle w:val="FootnoteText"/>
      </w:pPr>
      <w:r>
        <w:rPr>
          <w:rStyle w:val="FootnoteReference"/>
        </w:rPr>
        <w:footnoteRef/>
      </w:r>
      <w:r>
        <w:t xml:space="preserve"> </w:t>
      </w:r>
      <w:r>
        <w:t xml:space="preserve">NCT07706361.</w:t>
      </w:r>
    </w:p>
  </w:footnote>
  <w:footnote w:id="2483">
    <w:p>
      <w:pPr>
        <w:pStyle w:val="FootnoteText"/>
      </w:pPr>
      <w:r>
        <w:rPr>
          <w:rStyle w:val="FootnoteReference"/>
        </w:rPr>
        <w:footnoteRef/>
      </w:r>
      <w:r>
        <w:t xml:space="preserve"> </w:t>
      </w:r>
      <w:r>
        <w:t xml:space="preserve">Katayama 1993, PMID 8486721.</w:t>
      </w:r>
    </w:p>
  </w:footnote>
  <w:footnote w:id="2484">
    <w:p>
      <w:pPr>
        <w:pStyle w:val="FootnoteText"/>
      </w:pPr>
      <w:r>
        <w:rPr>
          <w:rStyle w:val="FootnoteReference"/>
        </w:rPr>
        <w:footnoteRef/>
      </w:r>
      <w:r>
        <w:t xml:space="preserve"> </w:t>
      </w:r>
      <w:r>
        <w:t xml:space="preserve">Jones 2013, PMID 23320752.</w:t>
      </w:r>
    </w:p>
  </w:footnote>
  <w:footnote w:id="2485">
    <w:p>
      <w:pPr>
        <w:pStyle w:val="FootnoteText"/>
      </w:pPr>
      <w:r>
        <w:rPr>
          <w:rStyle w:val="FootnoteReference"/>
        </w:rPr>
        <w:footnoteRef/>
      </w:r>
      <w:r>
        <w:t xml:space="preserve"> </w:t>
      </w:r>
      <w:r>
        <w:t xml:space="preserve">Trzaska 2026, PMID 42790608.</w:t>
      </w:r>
    </w:p>
  </w:footnote>
  <w:footnote w:id="2487">
    <w:p>
      <w:pPr>
        <w:pStyle w:val="FootnoteText"/>
      </w:pPr>
      <w:r>
        <w:rPr>
          <w:rStyle w:val="FootnoteReference"/>
        </w:rPr>
        <w:footnoteRef/>
      </w:r>
      <w:r>
        <w:t xml:space="preserve"> </w:t>
      </w:r>
      <w:r>
        <w:t xml:space="preserve">Kaczvinsky 2009, PMID 19735523.</w:t>
      </w:r>
    </w:p>
  </w:footnote>
  <w:footnote w:id="2488">
    <w:p>
      <w:pPr>
        <w:pStyle w:val="FootnoteText"/>
      </w:pPr>
      <w:r>
        <w:rPr>
          <w:rStyle w:val="FootnoteReference"/>
        </w:rPr>
        <w:footnoteRef/>
      </w:r>
      <w:r>
        <w:t xml:space="preserve"> </w:t>
      </w:r>
      <w:r>
        <w:t xml:space="preserve">Nukaly 2026, PMID 41924746.</w:t>
      </w:r>
    </w:p>
  </w:footnote>
  <w:footnote w:id="2490">
    <w:p>
      <w:pPr>
        <w:pStyle w:val="FootnoteText"/>
      </w:pPr>
      <w:r>
        <w:rPr>
          <w:rStyle w:val="FootnoteReference"/>
        </w:rPr>
        <w:footnoteRef/>
      </w:r>
      <w:r>
        <w:t xml:space="preserve"> </w:t>
      </w:r>
      <w:r>
        <w:t xml:space="preserve">Katayama 1993, PMID 8486721 ; Jones 2013, PMID 23320752.</w:t>
      </w:r>
    </w:p>
  </w:footnote>
  <w:footnote w:id="2491">
    <w:p>
      <w:pPr>
        <w:pStyle w:val="FootnoteText"/>
      </w:pPr>
      <w:r>
        <w:rPr>
          <w:rStyle w:val="FootnoteReference"/>
        </w:rPr>
        <w:footnoteRef/>
      </w:r>
      <w:r>
        <w:t xml:space="preserve"> </w:t>
      </w:r>
      <w:r>
        <w:t xml:space="preserve">Park 2017, PMID 30603464.</w:t>
      </w:r>
    </w:p>
  </w:footnote>
  <w:footnote w:id="2492">
    <w:p>
      <w:pPr>
        <w:pStyle w:val="FootnoteText"/>
      </w:pPr>
      <w:r>
        <w:rPr>
          <w:rStyle w:val="FootnoteReference"/>
        </w:rPr>
        <w:footnoteRef/>
      </w:r>
      <w:r>
        <w:t xml:space="preserve"> </w:t>
      </w:r>
      <w:r>
        <w:t xml:space="preserve">Kachooeian 2022, PMID 35874243.</w:t>
      </w:r>
    </w:p>
  </w:footnote>
  <w:footnote w:id="2494">
    <w:p>
      <w:pPr>
        <w:pStyle w:val="FootnoteText"/>
      </w:pPr>
      <w:r>
        <w:rPr>
          <w:rStyle w:val="FootnoteReference"/>
        </w:rPr>
        <w:footnoteRef/>
      </w:r>
      <w:r>
        <w:t xml:space="preserve"> </w:t>
      </w:r>
      <w:r>
        <w:t xml:space="preserve">Röper 2004, PMID 15127162.</w:t>
      </w:r>
    </w:p>
  </w:footnote>
  <w:footnote w:id="2495">
    <w:p>
      <w:pPr>
        <w:pStyle w:val="FootnoteText"/>
      </w:pPr>
      <w:r>
        <w:rPr>
          <w:rStyle w:val="FootnoteReference"/>
        </w:rPr>
        <w:footnoteRef/>
      </w:r>
      <w:r>
        <w:t xml:space="preserve"> </w:t>
      </w:r>
      <w:r>
        <w:t xml:space="preserve">Bjerke 2026, PMID 41953401.</w:t>
      </w:r>
    </w:p>
  </w:footnote>
  <w:footnote w:id="2502">
    <w:p>
      <w:pPr>
        <w:pStyle w:val="FootnoteText"/>
      </w:pPr>
      <w:r>
        <w:rPr>
          <w:rStyle w:val="FootnoteReference"/>
        </w:rPr>
        <w:footnoteRef/>
      </w:r>
      <w:r>
        <w:t xml:space="preserve"> </w:t>
      </w:r>
      <w:r>
        <w:t xml:space="preserve">Blanes-Mira 2002, PMID 18498523.</w:t>
      </w:r>
    </w:p>
  </w:footnote>
  <w:footnote w:id="2503">
    <w:p>
      <w:pPr>
        <w:pStyle w:val="FootnoteText"/>
      </w:pPr>
      <w:r>
        <w:rPr>
          <w:rStyle w:val="FootnoteReference"/>
        </w:rPr>
        <w:footnoteRef/>
      </w:r>
      <w:r>
        <w:t xml:space="preserve"> </w:t>
      </w:r>
      <w:r>
        <w:t xml:space="preserve">Kraeling 2015, PMID 24754410.</w:t>
      </w:r>
    </w:p>
  </w:footnote>
  <w:footnote w:id="2504">
    <w:p>
      <w:pPr>
        <w:pStyle w:val="FootnoteText"/>
      </w:pPr>
      <w:r>
        <w:rPr>
          <w:rStyle w:val="FootnoteReference"/>
        </w:rPr>
        <w:footnoteRef/>
      </w:r>
      <w:r>
        <w:t xml:space="preserve"> </w:t>
      </w:r>
      <w:r>
        <w:t xml:space="preserve">Zdrada-Nowak 2025, PMID 40565185.</w:t>
      </w:r>
    </w:p>
  </w:footnote>
  <w:footnote w:id="2506">
    <w:p>
      <w:pPr>
        <w:pStyle w:val="FootnoteText"/>
      </w:pPr>
      <w:r>
        <w:rPr>
          <w:rStyle w:val="FootnoteReference"/>
        </w:rPr>
        <w:footnoteRef/>
      </w:r>
      <w:r>
        <w:t xml:space="preserve"> </w:t>
      </w:r>
      <w:r>
        <w:t xml:space="preserve">Wang 2013, PMID 23607739.</w:t>
      </w:r>
    </w:p>
  </w:footnote>
  <w:footnote w:id="2507">
    <w:p>
      <w:pPr>
        <w:pStyle w:val="FootnoteText"/>
      </w:pPr>
      <w:r>
        <w:rPr>
          <w:rStyle w:val="FootnoteReference"/>
        </w:rPr>
        <w:footnoteRef/>
      </w:r>
      <w:r>
        <w:t xml:space="preserve"> </w:t>
      </w:r>
      <w:r>
        <w:t xml:space="preserve">NCT01750346.</w:t>
      </w:r>
    </w:p>
  </w:footnote>
  <w:footnote w:id="2508">
    <w:p>
      <w:pPr>
        <w:pStyle w:val="FootnoteText"/>
      </w:pPr>
      <w:r>
        <w:rPr>
          <w:rStyle w:val="FootnoteReference"/>
        </w:rPr>
        <w:footnoteRef/>
      </w:r>
      <w:r>
        <w:t xml:space="preserve"> </w:t>
      </w:r>
      <w:r>
        <w:t xml:space="preserve">An 2019, PMID 33911590.</w:t>
      </w:r>
    </w:p>
  </w:footnote>
  <w:footnote w:id="2509">
    <w:p>
      <w:pPr>
        <w:pStyle w:val="FootnoteText"/>
      </w:pPr>
      <w:r>
        <w:rPr>
          <w:rStyle w:val="FootnoteReference"/>
        </w:rPr>
        <w:footnoteRef/>
      </w:r>
      <w:r>
        <w:t xml:space="preserve"> </w:t>
      </w:r>
      <w:r>
        <w:t xml:space="preserve">NCT02597777.</w:t>
      </w:r>
    </w:p>
  </w:footnote>
  <w:footnote w:id="2510">
    <w:p>
      <w:pPr>
        <w:pStyle w:val="FootnoteText"/>
      </w:pPr>
      <w:r>
        <w:rPr>
          <w:rStyle w:val="FootnoteReference"/>
        </w:rPr>
        <w:footnoteRef/>
      </w:r>
      <w:r>
        <w:t xml:space="preserve"> </w:t>
      </w:r>
      <w:r>
        <w:t xml:space="preserve">NCT01381484.</w:t>
      </w:r>
    </w:p>
  </w:footnote>
  <w:footnote w:id="2513">
    <w:p>
      <w:pPr>
        <w:pStyle w:val="FootnoteText"/>
      </w:pPr>
      <w:r>
        <w:rPr>
          <w:rStyle w:val="FootnoteReference"/>
        </w:rPr>
        <w:footnoteRef/>
      </w:r>
      <w:r>
        <w:t xml:space="preserve"> </w:t>
      </w:r>
      <w:r>
        <w:t xml:space="preserve">Blanes-Mira 2002, PMID 18498523.</w:t>
      </w:r>
    </w:p>
  </w:footnote>
  <w:footnote w:id="2514">
    <w:p>
      <w:pPr>
        <w:pStyle w:val="FootnoteText"/>
      </w:pPr>
      <w:r>
        <w:rPr>
          <w:rStyle w:val="FootnoteReference"/>
        </w:rPr>
        <w:footnoteRef/>
      </w:r>
      <w:r>
        <w:t xml:space="preserve"> </w:t>
      </w:r>
      <w:r>
        <w:t xml:space="preserve">Grosicki 2014, PMID 24644551.</w:t>
      </w:r>
    </w:p>
  </w:footnote>
  <w:footnote w:id="2515">
    <w:p>
      <w:pPr>
        <w:pStyle w:val="FootnoteText"/>
      </w:pPr>
      <w:r>
        <w:rPr>
          <w:rStyle w:val="FootnoteReference"/>
        </w:rPr>
        <w:footnoteRef/>
      </w:r>
      <w:r>
        <w:t xml:space="preserve"> </w:t>
      </w:r>
      <w:r>
        <w:t xml:space="preserve">Wang 2013, PMID 23464592.</w:t>
      </w:r>
    </w:p>
  </w:footnote>
  <w:footnote w:id="2516">
    <w:p>
      <w:pPr>
        <w:pStyle w:val="FootnoteText"/>
      </w:pPr>
      <w:r>
        <w:rPr>
          <w:rStyle w:val="FootnoteReference"/>
        </w:rPr>
        <w:footnoteRef/>
      </w:r>
      <w:r>
        <w:t xml:space="preserve"> </w:t>
      </w:r>
      <w:r>
        <w:t xml:space="preserve">Kraeling 2015, PMID 24754410.</w:t>
      </w:r>
    </w:p>
  </w:footnote>
  <w:footnote w:id="2518">
    <w:p>
      <w:pPr>
        <w:pStyle w:val="FootnoteText"/>
      </w:pPr>
      <w:r>
        <w:rPr>
          <w:rStyle w:val="FootnoteReference"/>
        </w:rPr>
        <w:footnoteRef/>
      </w:r>
      <w:r>
        <w:t xml:space="preserve"> </w:t>
      </w:r>
      <w:r>
        <w:t xml:space="preserve">Johnson 2025, PMID 40673537.</w:t>
      </w:r>
    </w:p>
  </w:footnote>
  <w:footnote w:id="2519">
    <w:p>
      <w:pPr>
        <w:pStyle w:val="FootnoteText"/>
      </w:pPr>
      <w:r>
        <w:rPr>
          <w:rStyle w:val="FootnoteReference"/>
        </w:rPr>
        <w:footnoteRef/>
      </w:r>
      <w:r>
        <w:t xml:space="preserve"> </w:t>
      </w:r>
      <w:r>
        <w:t xml:space="preserve">Chen 2021, PMID 33748252.</w:t>
      </w:r>
    </w:p>
  </w:footnote>
  <w:footnote w:id="2540">
    <w:p>
      <w:pPr>
        <w:pStyle w:val="FootnoteText"/>
      </w:pPr>
      <w:r>
        <w:rPr>
          <w:rStyle w:val="FootnoteReference"/>
        </w:rPr>
        <w:footnoteRef/>
      </w:r>
      <w:r>
        <w:t xml:space="preserve"> </w:t>
      </w:r>
      <w:r>
        <w:t xml:space="preserve">Gao 2026, PMID 42251595.</w:t>
      </w:r>
    </w:p>
  </w:footnote>
  <w:footnote w:id="2541">
    <w:p>
      <w:pPr>
        <w:pStyle w:val="FootnoteText"/>
      </w:pPr>
      <w:r>
        <w:rPr>
          <w:rStyle w:val="FootnoteReference"/>
        </w:rPr>
        <w:footnoteRef/>
      </w:r>
      <w:r>
        <w:t xml:space="preserve"> </w:t>
      </w:r>
      <w:r>
        <w:t xml:space="preserve">NCT06662383.</w:t>
      </w:r>
    </w:p>
  </w:footnote>
  <w:footnote w:id="2543">
    <w:p>
      <w:pPr>
        <w:pStyle w:val="FootnoteText"/>
      </w:pPr>
      <w:r>
        <w:rPr>
          <w:rStyle w:val="FootnoteReference"/>
        </w:rPr>
        <w:footnoteRef/>
      </w:r>
      <w:r>
        <w:t xml:space="preserve"> </w:t>
      </w:r>
      <w:r>
        <w:t xml:space="preserve">Rubino 2021, PMID 33755728.</w:t>
      </w:r>
    </w:p>
  </w:footnote>
  <w:footnote w:id="2544">
    <w:p>
      <w:pPr>
        <w:pStyle w:val="FootnoteText"/>
      </w:pPr>
      <w:r>
        <w:rPr>
          <w:rStyle w:val="FootnoteReference"/>
        </w:rPr>
        <w:footnoteRef/>
      </w:r>
      <w:r>
        <w:t xml:space="preserve"> </w:t>
      </w:r>
      <w:r>
        <w:t xml:space="preserve">Aronne 2024, PMID 38078870.</w:t>
      </w:r>
    </w:p>
  </w:footnote>
  <w:footnote w:id="2547">
    <w:p>
      <w:pPr>
        <w:pStyle w:val="FootnoteText"/>
      </w:pPr>
      <w:r>
        <w:rPr>
          <w:rStyle w:val="FootnoteReference"/>
        </w:rPr>
        <w:footnoteRef/>
      </w:r>
      <w:r>
        <w:t xml:space="preserve"> </w:t>
      </w:r>
      <w:r>
        <w:t xml:space="preserve">Edelman 2006, PMID 17003291.</w:t>
      </w:r>
    </w:p>
  </w:footnote>
  <w:footnote w:id="2549">
    <w:p>
      <w:pPr>
        <w:pStyle w:val="FootnoteText"/>
      </w:pPr>
      <w:r>
        <w:rPr>
          <w:rStyle w:val="FootnoteReference"/>
        </w:rPr>
        <w:footnoteRef/>
      </w:r>
      <w:r>
        <w:t xml:space="preserve"> </w:t>
      </w:r>
      <w:r>
        <w:t xml:space="preserve">Kristensen 2019, PMID 31422062.</w:t>
      </w:r>
    </w:p>
  </w:footnote>
  <w:footnote w:id="2550">
    <w:p>
      <w:pPr>
        <w:pStyle w:val="FootnoteText"/>
      </w:pPr>
      <w:r>
        <w:rPr>
          <w:rStyle w:val="FootnoteReference"/>
        </w:rPr>
        <w:footnoteRef/>
      </w:r>
      <w:r>
        <w:t xml:space="preserve"> </w:t>
      </w:r>
      <w:r>
        <w:t xml:space="preserve">Kosiborod 2023, PMID 37622681.</w:t>
      </w:r>
    </w:p>
  </w:footnote>
  <w:footnote w:id="2551">
    <w:p>
      <w:pPr>
        <w:pStyle w:val="FootnoteText"/>
      </w:pPr>
      <w:r>
        <w:rPr>
          <w:rStyle w:val="FootnoteReference"/>
        </w:rPr>
        <w:footnoteRef/>
      </w:r>
      <w:r>
        <w:t xml:space="preserve"> </w:t>
      </w:r>
      <w:r>
        <w:t xml:space="preserve">NCT05556512.</w:t>
      </w:r>
    </w:p>
  </w:footnote>
  <w:footnote w:id="2552">
    <w:p>
      <w:pPr>
        <w:pStyle w:val="FootnoteText"/>
      </w:pPr>
      <w:r>
        <w:rPr>
          <w:rStyle w:val="FootnoteReference"/>
        </w:rPr>
        <w:footnoteRef/>
      </w:r>
      <w:r>
        <w:t xml:space="preserve"> </w:t>
      </w:r>
      <w:r>
        <w:t xml:space="preserve">NCT06383390.</w:t>
      </w:r>
    </w:p>
  </w:footnote>
  <w:footnote w:id="2553">
    <w:p>
      <w:pPr>
        <w:pStyle w:val="FootnoteText"/>
      </w:pPr>
      <w:r>
        <w:rPr>
          <w:rStyle w:val="FootnoteReference"/>
        </w:rPr>
        <w:footnoteRef/>
      </w:r>
      <w:r>
        <w:t xml:space="preserve"> </w:t>
      </w:r>
      <w:r>
        <w:t xml:space="preserve">NCT05669755.</w:t>
      </w:r>
    </w:p>
  </w:footnote>
  <w:footnote w:id="2554">
    <w:p>
      <w:pPr>
        <w:pStyle w:val="FootnoteText"/>
      </w:pPr>
      <w:r>
        <w:rPr>
          <w:rStyle w:val="FootnoteReference"/>
        </w:rPr>
        <w:footnoteRef/>
      </w:r>
      <w:r>
        <w:t xml:space="preserve"> </w:t>
      </w:r>
      <w:r>
        <w:t xml:space="preserve">NCT07037433.</w:t>
      </w:r>
    </w:p>
  </w:footnote>
  <w:footnote w:id="2555">
    <w:p>
      <w:pPr>
        <w:pStyle w:val="FootnoteText"/>
      </w:pPr>
      <w:r>
        <w:rPr>
          <w:rStyle w:val="FootnoteReference"/>
        </w:rPr>
        <w:footnoteRef/>
      </w:r>
      <w:r>
        <w:t xml:space="preserve"> </w:t>
      </w:r>
      <w:r>
        <w:t xml:space="preserve">NCT07241390.</w:t>
      </w:r>
    </w:p>
  </w:footnote>
  <w:footnote w:id="2557">
    <w:p>
      <w:pPr>
        <w:pStyle w:val="FootnoteText"/>
      </w:pPr>
      <w:r>
        <w:rPr>
          <w:rStyle w:val="FootnoteReference"/>
        </w:rPr>
        <w:footnoteRef/>
      </w:r>
      <w:r>
        <w:t xml:space="preserve"> </w:t>
      </w:r>
      <w:r>
        <w:t xml:space="preserve">Perkovic 2024, PMID 38785209.</w:t>
      </w:r>
    </w:p>
  </w:footnote>
  <w:footnote w:id="2558">
    <w:p>
      <w:pPr>
        <w:pStyle w:val="FootnoteText"/>
      </w:pPr>
      <w:r>
        <w:rPr>
          <w:rStyle w:val="FootnoteReference"/>
        </w:rPr>
        <w:footnoteRef/>
      </w:r>
      <w:r>
        <w:t xml:space="preserve"> </w:t>
      </w:r>
      <w:r>
        <w:t xml:space="preserve">Mann 2017, PMID 28854085.</w:t>
      </w:r>
    </w:p>
  </w:footnote>
  <w:footnote w:id="2559">
    <w:p>
      <w:pPr>
        <w:pStyle w:val="FootnoteText"/>
      </w:pPr>
      <w:r>
        <w:rPr>
          <w:rStyle w:val="FootnoteReference"/>
        </w:rPr>
        <w:footnoteRef/>
      </w:r>
      <w:r>
        <w:t xml:space="preserve"> </w:t>
      </w:r>
      <w:r>
        <w:t xml:space="preserve">Gerstein 2019, PMID 31189509.</w:t>
      </w:r>
    </w:p>
  </w:footnote>
  <w:footnote w:id="2560">
    <w:p>
      <w:pPr>
        <w:pStyle w:val="FootnoteText"/>
      </w:pPr>
      <w:r>
        <w:rPr>
          <w:rStyle w:val="FootnoteReference"/>
        </w:rPr>
        <w:footnoteRef/>
      </w:r>
      <w:r>
        <w:t xml:space="preserve"> </w:t>
      </w:r>
      <w:r>
        <w:t xml:space="preserve">Kristensen 2019, PMID 31422062.</w:t>
      </w:r>
    </w:p>
  </w:footnote>
  <w:footnote w:id="2561">
    <w:p>
      <w:pPr>
        <w:pStyle w:val="FootnoteText"/>
      </w:pPr>
      <w:r>
        <w:rPr>
          <w:rStyle w:val="FootnoteReference"/>
        </w:rPr>
        <w:footnoteRef/>
      </w:r>
      <w:r>
        <w:t xml:space="preserve"> </w:t>
      </w:r>
      <w:r>
        <w:t xml:space="preserve">McGuire 2025, PMID 40162642.</w:t>
      </w:r>
    </w:p>
  </w:footnote>
  <w:footnote w:id="2562">
    <w:p>
      <w:pPr>
        <w:pStyle w:val="FootnoteText"/>
      </w:pPr>
      <w:r>
        <w:rPr>
          <w:rStyle w:val="FootnoteReference"/>
        </w:rPr>
        <w:footnoteRef/>
      </w:r>
      <w:r>
        <w:t xml:space="preserve"> </w:t>
      </w:r>
      <w:r>
        <w:t xml:space="preserve">NCT06632444.</w:t>
      </w:r>
    </w:p>
  </w:footnote>
  <w:footnote w:id="2563">
    <w:p>
      <w:pPr>
        <w:pStyle w:val="FootnoteText"/>
      </w:pPr>
      <w:r>
        <w:rPr>
          <w:rStyle w:val="FootnoteReference"/>
        </w:rPr>
        <w:footnoteRef/>
      </w:r>
      <w:r>
        <w:t xml:space="preserve"> </w:t>
      </w:r>
      <w:r>
        <w:t xml:space="preserve">NCT06632457.</w:t>
      </w:r>
    </w:p>
  </w:footnote>
  <w:footnote w:id="2565">
    <w:p>
      <w:pPr>
        <w:pStyle w:val="FootnoteText"/>
      </w:pPr>
      <w:r>
        <w:rPr>
          <w:rStyle w:val="FootnoteReference"/>
        </w:rPr>
        <w:footnoteRef/>
      </w:r>
      <w:r>
        <w:t xml:space="preserve"> </w:t>
      </w:r>
      <w:r>
        <w:t xml:space="preserve">Buse 2013, PMID 23141817.</w:t>
      </w:r>
    </w:p>
  </w:footnote>
  <w:footnote w:id="2566">
    <w:p>
      <w:pPr>
        <w:pStyle w:val="FootnoteText"/>
      </w:pPr>
      <w:r>
        <w:rPr>
          <w:rStyle w:val="FootnoteReference"/>
        </w:rPr>
        <w:footnoteRef/>
      </w:r>
      <w:r>
        <w:t xml:space="preserve"> </w:t>
      </w:r>
      <w:r>
        <w:t xml:space="preserve">Rubino 2022, PMID 35015037.</w:t>
      </w:r>
    </w:p>
  </w:footnote>
  <w:footnote w:id="2567">
    <w:p>
      <w:pPr>
        <w:pStyle w:val="FootnoteText"/>
      </w:pPr>
      <w:r>
        <w:rPr>
          <w:rStyle w:val="FootnoteReference"/>
        </w:rPr>
        <w:footnoteRef/>
      </w:r>
      <w:r>
        <w:t xml:space="preserve"> </w:t>
      </w:r>
      <w:r>
        <w:t xml:space="preserve">Frías 2021, PMID 34170647.</w:t>
      </w:r>
    </w:p>
  </w:footnote>
  <w:footnote w:id="2568">
    <w:p>
      <w:pPr>
        <w:pStyle w:val="FootnoteText"/>
      </w:pPr>
      <w:r>
        <w:rPr>
          <w:rStyle w:val="FootnoteReference"/>
        </w:rPr>
        <w:footnoteRef/>
      </w:r>
      <w:r>
        <w:t xml:space="preserve"> </w:t>
      </w:r>
      <w:r>
        <w:t xml:space="preserve">Yamauchi 2026, PMID 42009015.</w:t>
      </w:r>
    </w:p>
  </w:footnote>
  <w:footnote w:id="2569">
    <w:p>
      <w:pPr>
        <w:pStyle w:val="FootnoteText"/>
      </w:pPr>
      <w:r>
        <w:rPr>
          <w:rStyle w:val="FootnoteReference"/>
        </w:rPr>
        <w:footnoteRef/>
      </w:r>
      <w:r>
        <w:t xml:space="preserve"> </w:t>
      </w:r>
      <w:r>
        <w:t xml:space="preserve">Hsia 2026, PMID 42628555.</w:t>
      </w:r>
    </w:p>
  </w:footnote>
  <w:footnote w:id="2570">
    <w:p>
      <w:pPr>
        <w:pStyle w:val="FootnoteText"/>
      </w:pPr>
      <w:r>
        <w:rPr>
          <w:rStyle w:val="FootnoteReference"/>
        </w:rPr>
        <w:footnoteRef/>
      </w:r>
      <w:r>
        <w:t xml:space="preserve"> </w:t>
      </w:r>
      <w:r>
        <w:t xml:space="preserve">Kristensen 2019, PMID 31422062.</w:t>
      </w:r>
    </w:p>
  </w:footnote>
  <w:footnote w:id="2571">
    <w:p>
      <w:pPr>
        <w:pStyle w:val="FootnoteText"/>
      </w:pPr>
      <w:r>
        <w:rPr>
          <w:rStyle w:val="FootnoteReference"/>
        </w:rPr>
        <w:footnoteRef/>
      </w:r>
      <w:r>
        <w:t xml:space="preserve"> </w:t>
      </w:r>
      <w:r>
        <w:t xml:space="preserve">Sodhi 2023, PMID 37796527.</w:t>
      </w:r>
    </w:p>
  </w:footnote>
  <w:footnote w:id="2572">
    <w:p>
      <w:pPr>
        <w:pStyle w:val="FootnoteText"/>
      </w:pPr>
      <w:r>
        <w:rPr>
          <w:rStyle w:val="FootnoteReference"/>
        </w:rPr>
        <w:footnoteRef/>
      </w:r>
      <w:r>
        <w:t xml:space="preserve"> </w:t>
      </w:r>
      <w:r>
        <w:t xml:space="preserve">Silverii 2025, PMID 40437949.</w:t>
      </w:r>
    </w:p>
  </w:footnote>
  <w:footnote w:id="2573">
    <w:p>
      <w:pPr>
        <w:pStyle w:val="FootnoteText"/>
      </w:pPr>
      <w:r>
        <w:rPr>
          <w:rStyle w:val="FootnoteReference"/>
        </w:rPr>
        <w:footnoteRef/>
      </w:r>
      <w:r>
        <w:t xml:space="preserve"> </w:t>
      </w:r>
      <w:r>
        <w:t xml:space="preserve">Simonsen 2025, PMID 40098249.</w:t>
      </w:r>
    </w:p>
  </w:footnote>
  <w:footnote w:id="2574">
    <w:p>
      <w:pPr>
        <w:pStyle w:val="FootnoteText"/>
      </w:pPr>
      <w:r>
        <w:rPr>
          <w:rStyle w:val="FootnoteReference"/>
        </w:rPr>
        <w:footnoteRef/>
      </w:r>
      <w:r>
        <w:t xml:space="preserve"> </w:t>
      </w:r>
      <w:r>
        <w:t xml:space="preserve">Look 2025, PMID 39996356.</w:t>
      </w:r>
    </w:p>
  </w:footnote>
  <w:footnote w:id="2576">
    <w:p>
      <w:pPr>
        <w:pStyle w:val="FootnoteText"/>
      </w:pPr>
      <w:r>
        <w:rPr>
          <w:rStyle w:val="FootnoteReference"/>
        </w:rPr>
        <w:footnoteRef/>
      </w:r>
      <w:r>
        <w:t xml:space="preserve"> </w:t>
      </w:r>
      <w:r>
        <w:t xml:space="preserve">NCT06662383.</w:t>
      </w:r>
    </w:p>
  </w:footnote>
  <w:footnote w:id="2577">
    <w:p>
      <w:pPr>
        <w:pStyle w:val="FootnoteText"/>
      </w:pPr>
      <w:r>
        <w:rPr>
          <w:rStyle w:val="FootnoteReference"/>
        </w:rPr>
        <w:footnoteRef/>
      </w:r>
      <w:r>
        <w:t xml:space="preserve"> </w:t>
      </w:r>
      <w:r>
        <w:t xml:space="preserve">NCT06184568, NCT06884293.</w:t>
      </w:r>
    </w:p>
  </w:footnote>
  <w:footnote w:id="2582">
    <w:p>
      <w:pPr>
        <w:pStyle w:val="FootnoteText"/>
      </w:pPr>
      <w:r>
        <w:rPr>
          <w:rStyle w:val="FootnoteReference"/>
        </w:rPr>
        <w:footnoteRef/>
      </w:r>
      <w:r>
        <w:t xml:space="preserve"> </w:t>
      </w:r>
      <w:r>
        <w:t xml:space="preserve">Porsteinsson 2025, PMID 41393340.</w:t>
      </w:r>
    </w:p>
  </w:footnote>
  <w:footnote w:id="2584">
    <w:p>
      <w:pPr>
        <w:pStyle w:val="FootnoteText"/>
      </w:pPr>
      <w:r>
        <w:rPr>
          <w:rStyle w:val="FootnoteReference"/>
        </w:rPr>
        <w:footnoteRef/>
      </w:r>
      <w:r>
        <w:t xml:space="preserve"> </w:t>
      </w:r>
      <w:r>
        <w:t xml:space="preserve">Nass 2008, PMID 18981485.</w:t>
      </w:r>
    </w:p>
  </w:footnote>
  <w:footnote w:id="2586">
    <w:p>
      <w:pPr>
        <w:pStyle w:val="FootnoteText"/>
      </w:pPr>
      <w:r>
        <w:rPr>
          <w:rStyle w:val="FootnoteReference"/>
        </w:rPr>
        <w:footnoteRef/>
      </w:r>
      <w:r>
        <w:t xml:space="preserve"> </w:t>
      </w:r>
      <w:r>
        <w:t xml:space="preserve">Gajda 2019, PMID 30136411.</w:t>
      </w:r>
    </w:p>
  </w:footnote>
  <w:footnote w:id="2588">
    <w:p>
      <w:pPr>
        <w:pStyle w:val="FootnoteText"/>
      </w:pPr>
      <w:r>
        <w:rPr>
          <w:rStyle w:val="FootnoteReference"/>
        </w:rPr>
        <w:footnoteRef/>
      </w:r>
      <w:r>
        <w:t xml:space="preserve"> </w:t>
      </w:r>
      <w:r>
        <w:t xml:space="preserve">Beck 2014, PMID 25331030.</w:t>
      </w:r>
    </w:p>
  </w:footnote>
  <w:footnote w:id="2589">
    <w:p>
      <w:pPr>
        <w:pStyle w:val="FootnoteText"/>
      </w:pPr>
      <w:r>
        <w:rPr>
          <w:rStyle w:val="FootnoteReference"/>
        </w:rPr>
        <w:footnoteRef/>
      </w:r>
      <w:r>
        <w:t xml:space="preserve"> </w:t>
      </w:r>
      <w:r>
        <w:t xml:space="preserve">Leal 2014, PMID 24619793.</w:t>
      </w:r>
    </w:p>
  </w:footnote>
  <w:footnote w:id="2590">
    <w:p>
      <w:pPr>
        <w:pStyle w:val="FootnoteText"/>
      </w:pPr>
      <w:r>
        <w:rPr>
          <w:rStyle w:val="FootnoteReference"/>
        </w:rPr>
        <w:footnoteRef/>
      </w:r>
      <w:r>
        <w:t xml:space="preserve"> </w:t>
      </w:r>
      <w:r>
        <w:t xml:space="preserve">Myung 2025, PMID 40324552.</w:t>
      </w:r>
    </w:p>
  </w:footnote>
  <w:footnote w:id="2593">
    <w:p>
      <w:pPr>
        <w:pStyle w:val="FootnoteText"/>
      </w:pPr>
      <w:r>
        <w:rPr>
          <w:rStyle w:val="FootnoteReference"/>
        </w:rPr>
        <w:footnoteRef/>
      </w:r>
      <w:r>
        <w:t xml:space="preserve"> </w:t>
      </w:r>
      <w:r>
        <w:t xml:space="preserve">Breindahl 2015, PMID 24771717.</w:t>
      </w:r>
    </w:p>
  </w:footnote>
  <w:footnote w:id="2605">
    <w:p>
      <w:pPr>
        <w:pStyle w:val="FootnoteText"/>
      </w:pPr>
      <w:r>
        <w:rPr>
          <w:rStyle w:val="FootnoteReference"/>
        </w:rPr>
        <w:footnoteRef/>
      </w:r>
      <w:r>
        <w:t xml:space="preserve"> </w:t>
      </w:r>
      <w:r>
        <w:t xml:space="preserve">Simonsen 2025, PMID 40098249.</w:t>
      </w:r>
    </w:p>
  </w:footnote>
  <w:footnote w:id="2606">
    <w:p>
      <w:pPr>
        <w:pStyle w:val="FootnoteText"/>
      </w:pPr>
      <w:r>
        <w:rPr>
          <w:rStyle w:val="FootnoteReference"/>
        </w:rPr>
        <w:footnoteRef/>
      </w:r>
      <w:r>
        <w:t xml:space="preserve"> </w:t>
      </w:r>
      <w:r>
        <w:t xml:space="preserve">Yang 2026, PMID 41915388.</w:t>
      </w:r>
    </w:p>
  </w:footnote>
  <w:footnote w:id="2607">
    <w:p>
      <w:pPr>
        <w:pStyle w:val="FootnoteText"/>
      </w:pPr>
      <w:r>
        <w:rPr>
          <w:rStyle w:val="FootnoteReference"/>
        </w:rPr>
        <w:footnoteRef/>
      </w:r>
      <w:r>
        <w:t xml:space="preserve"> </w:t>
      </w:r>
      <w:r>
        <w:t xml:space="preserve">Ismaiel 2025, PMID 40804463.</w:t>
      </w:r>
    </w:p>
  </w:footnote>
  <w:footnote w:id="2608">
    <w:p>
      <w:pPr>
        <w:pStyle w:val="FootnoteText"/>
      </w:pPr>
      <w:r>
        <w:rPr>
          <w:rStyle w:val="FootnoteReference"/>
        </w:rPr>
        <w:footnoteRef/>
      </w:r>
      <w:r>
        <w:t xml:space="preserve"> </w:t>
      </w:r>
      <w:r>
        <w:t xml:space="preserve">Sanyal 2024, PMID 38847460.</w:t>
      </w:r>
    </w:p>
  </w:footnote>
  <w:footnote w:id="2609">
    <w:p>
      <w:pPr>
        <w:pStyle w:val="FootnoteText"/>
      </w:pPr>
      <w:r>
        <w:rPr>
          <w:rStyle w:val="FootnoteReference"/>
        </w:rPr>
        <w:footnoteRef/>
      </w:r>
      <w:r>
        <w:t xml:space="preserve"> </w:t>
      </w:r>
      <w:r>
        <w:t xml:space="preserve">Clayton 2022, PMID 35147466.</w:t>
      </w:r>
    </w:p>
  </w:footnote>
  <w:footnote w:id="2610">
    <w:p>
      <w:pPr>
        <w:pStyle w:val="FootnoteText"/>
      </w:pPr>
      <w:r>
        <w:rPr>
          <w:rStyle w:val="FootnoteReference"/>
        </w:rPr>
        <w:footnoteRef/>
      </w:r>
      <w:r>
        <w:t xml:space="preserve"> </w:t>
      </w:r>
      <w:r>
        <w:t xml:space="preserve">Edelman 2006, PMID 17003291.</w:t>
      </w:r>
    </w:p>
  </w:footnote>
  <w:footnote w:id="2611">
    <w:p>
      <w:pPr>
        <w:pStyle w:val="FootnoteText"/>
      </w:pPr>
      <w:r>
        <w:rPr>
          <w:rStyle w:val="FootnoteReference"/>
        </w:rPr>
        <w:footnoteRef/>
      </w:r>
      <w:r>
        <w:t xml:space="preserve"> </w:t>
      </w:r>
      <w:r>
        <w:t xml:space="preserve">Sridharan 2026, PMID 39924461.</w:t>
      </w:r>
    </w:p>
  </w:footnote>
  <w:footnote w:id="2612">
    <w:p>
      <w:pPr>
        <w:pStyle w:val="FootnoteText"/>
      </w:pPr>
      <w:r>
        <w:rPr>
          <w:rStyle w:val="FootnoteReference"/>
        </w:rPr>
        <w:footnoteRef/>
      </w:r>
      <w:r>
        <w:t xml:space="preserve"> </w:t>
      </w:r>
      <w:r>
        <w:t xml:space="preserve">Sodhi 2023, PMID 37796527.</w:t>
      </w:r>
    </w:p>
  </w:footnote>
  <w:footnote w:id="2613">
    <w:p>
      <w:pPr>
        <w:pStyle w:val="FootnoteText"/>
      </w:pPr>
      <w:r>
        <w:rPr>
          <w:rStyle w:val="FootnoteReference"/>
        </w:rPr>
        <w:footnoteRef/>
      </w:r>
      <w:r>
        <w:t xml:space="preserve"> </w:t>
      </w:r>
      <w:r>
        <w:t xml:space="preserve">Chiang 2025, PMID 40499738.</w:t>
      </w:r>
    </w:p>
  </w:footnote>
  <w:footnote w:id="2614">
    <w:p>
      <w:pPr>
        <w:pStyle w:val="FootnoteText"/>
      </w:pPr>
      <w:r>
        <w:rPr>
          <w:rStyle w:val="FootnoteReference"/>
        </w:rPr>
        <w:footnoteRef/>
      </w:r>
      <w:r>
        <w:t xml:space="preserve"> </w:t>
      </w:r>
      <w:r>
        <w:t xml:space="preserve">Crisafulli 2026, PMID 41183330.</w:t>
      </w:r>
    </w:p>
  </w:footnote>
  <w:footnote w:id="2616">
    <w:p>
      <w:pPr>
        <w:pStyle w:val="FootnoteText"/>
      </w:pPr>
      <w:r>
        <w:rPr>
          <w:rStyle w:val="FootnoteReference"/>
        </w:rPr>
        <w:footnoteRef/>
      </w:r>
      <w:r>
        <w:t xml:space="preserve"> </w:t>
      </w:r>
      <w:r>
        <w:t xml:space="preserve">He 2022, PMID 35344001.</w:t>
      </w:r>
    </w:p>
  </w:footnote>
  <w:footnote w:id="2617">
    <w:p>
      <w:pPr>
        <w:pStyle w:val="FootnoteText"/>
      </w:pPr>
      <w:r>
        <w:rPr>
          <w:rStyle w:val="FootnoteReference"/>
        </w:rPr>
        <w:footnoteRef/>
      </w:r>
      <w:r>
        <w:t xml:space="preserve"> </w:t>
      </w:r>
      <w:r>
        <w:t xml:space="preserve">Weghuber 2022, PMID 36322838.</w:t>
      </w:r>
    </w:p>
  </w:footnote>
  <w:footnote w:id="2618">
    <w:p>
      <w:pPr>
        <w:pStyle w:val="FootnoteText"/>
      </w:pPr>
      <w:r>
        <w:rPr>
          <w:rStyle w:val="FootnoteReference"/>
        </w:rPr>
        <w:footnoteRef/>
      </w:r>
      <w:r>
        <w:t xml:space="preserve"> </w:t>
      </w:r>
      <w:r>
        <w:t xml:space="preserve">Wen 2025, PMID 40988099.</w:t>
      </w:r>
    </w:p>
  </w:footnote>
  <w:footnote w:id="2620">
    <w:p>
      <w:pPr>
        <w:pStyle w:val="FootnoteText"/>
      </w:pPr>
      <w:r>
        <w:rPr>
          <w:rStyle w:val="FootnoteReference"/>
        </w:rPr>
        <w:footnoteRef/>
      </w:r>
      <w:r>
        <w:t xml:space="preserve"> </w:t>
      </w:r>
      <w:r>
        <w:t xml:space="preserve">Hegedüs 2018, PMID 29279300.</w:t>
      </w:r>
    </w:p>
  </w:footnote>
  <w:footnote w:id="2622">
    <w:p>
      <w:pPr>
        <w:pStyle w:val="FootnoteText"/>
      </w:pPr>
      <w:r>
        <w:rPr>
          <w:rStyle w:val="FootnoteReference"/>
        </w:rPr>
        <w:footnoteRef/>
      </w:r>
      <w:r>
        <w:t xml:space="preserve"> </w:t>
      </w:r>
      <w:r>
        <w:t xml:space="preserve">Marso 2016, PMID 27633186.</w:t>
      </w:r>
    </w:p>
  </w:footnote>
  <w:footnote w:id="2623">
    <w:p>
      <w:pPr>
        <w:pStyle w:val="FootnoteText"/>
      </w:pPr>
      <w:r>
        <w:rPr>
          <w:rStyle w:val="FootnoteReference"/>
        </w:rPr>
        <w:footnoteRef/>
      </w:r>
      <w:r>
        <w:t xml:space="preserve"> </w:t>
      </w:r>
      <w:r>
        <w:t xml:space="preserve">Natividade 2025, PMID 40810985.</w:t>
      </w:r>
    </w:p>
  </w:footnote>
  <w:footnote w:id="2624">
    <w:p>
      <w:pPr>
        <w:pStyle w:val="FootnoteText"/>
      </w:pPr>
      <w:r>
        <w:rPr>
          <w:rStyle w:val="FootnoteReference"/>
        </w:rPr>
        <w:footnoteRef/>
      </w:r>
      <w:r>
        <w:t xml:space="preserve"> </w:t>
      </w:r>
      <w:r>
        <w:t xml:space="preserve">Hathaway 2024, PMID 38958939.</w:t>
      </w:r>
    </w:p>
  </w:footnote>
  <w:footnote w:id="2625">
    <w:p>
      <w:pPr>
        <w:pStyle w:val="FootnoteText"/>
      </w:pPr>
      <w:r>
        <w:rPr>
          <w:rStyle w:val="FootnoteReference"/>
        </w:rPr>
        <w:footnoteRef/>
      </w:r>
      <w:r>
        <w:t xml:space="preserve"> </w:t>
      </w:r>
      <w:r>
        <w:t xml:space="preserve">Simonsen 2025, PMID 40098249.</w:t>
      </w:r>
    </w:p>
  </w:footnote>
  <w:footnote w:id="2626">
    <w:p>
      <w:pPr>
        <w:pStyle w:val="FootnoteText"/>
      </w:pPr>
      <w:r>
        <w:rPr>
          <w:rStyle w:val="FootnoteReference"/>
        </w:rPr>
        <w:footnoteRef/>
      </w:r>
      <w:r>
        <w:t xml:space="preserve"> </w:t>
      </w:r>
      <w:r>
        <w:t xml:space="preserve">Wang 2025, PMID 40788646.</w:t>
      </w:r>
    </w:p>
  </w:footnote>
  <w:footnote w:id="2627">
    <w:p>
      <w:pPr>
        <w:pStyle w:val="FootnoteText"/>
      </w:pPr>
      <w:r>
        <w:rPr>
          <w:rStyle w:val="FootnoteReference"/>
        </w:rPr>
        <w:footnoteRef/>
      </w:r>
      <w:r>
        <w:t xml:space="preserve"> </w:t>
      </w:r>
      <w:r>
        <w:t xml:space="preserve">Chou 2025, PMID 39491755.</w:t>
      </w:r>
    </w:p>
  </w:footnote>
  <w:footnote w:id="2628">
    <w:p>
      <w:pPr>
        <w:pStyle w:val="FootnoteText"/>
      </w:pPr>
      <w:r>
        <w:rPr>
          <w:rStyle w:val="FootnoteReference"/>
        </w:rPr>
        <w:footnoteRef/>
      </w:r>
      <w:r>
        <w:t xml:space="preserve"> </w:t>
      </w:r>
      <w:r>
        <w:t xml:space="preserve">Liu 2026, PMID 41475544.</w:t>
      </w:r>
    </w:p>
  </w:footnote>
  <w:footnote w:id="2630">
    <w:p>
      <w:pPr>
        <w:pStyle w:val="FootnoteText"/>
      </w:pPr>
      <w:r>
        <w:rPr>
          <w:rStyle w:val="FootnoteReference"/>
        </w:rPr>
        <w:footnoteRef/>
      </w:r>
      <w:r>
        <w:t xml:space="preserve"> </w:t>
      </w:r>
      <w:r>
        <w:t xml:space="preserve">Marso 2016, PMID 27633186.</w:t>
      </w:r>
    </w:p>
  </w:footnote>
  <w:footnote w:id="2631">
    <w:p>
      <w:pPr>
        <w:pStyle w:val="FootnoteText"/>
      </w:pPr>
      <w:r>
        <w:rPr>
          <w:rStyle w:val="FootnoteReference"/>
        </w:rPr>
        <w:footnoteRef/>
      </w:r>
      <w:r>
        <w:t xml:space="preserve"> </w:t>
      </w:r>
      <w:r>
        <w:t xml:space="preserve">Bellido 2026, PMID 42810372.</w:t>
      </w:r>
    </w:p>
  </w:footnote>
  <w:footnote w:id="2632">
    <w:p>
      <w:pPr>
        <w:pStyle w:val="FootnoteText"/>
      </w:pPr>
      <w:r>
        <w:rPr>
          <w:rStyle w:val="FootnoteReference"/>
        </w:rPr>
        <w:footnoteRef/>
      </w:r>
      <w:r>
        <w:t xml:space="preserve"> </w:t>
      </w:r>
      <w:r>
        <w:t xml:space="preserve">Liu 2007, PMID 17227934.</w:t>
      </w:r>
    </w:p>
  </w:footnote>
  <w:footnote w:id="2633">
    <w:p>
      <w:pPr>
        <w:pStyle w:val="FootnoteText"/>
      </w:pPr>
      <w:r>
        <w:rPr>
          <w:rStyle w:val="FootnoteReference"/>
        </w:rPr>
        <w:footnoteRef/>
      </w:r>
      <w:r>
        <w:t xml:space="preserve"> </w:t>
      </w:r>
      <w:r>
        <w:t xml:space="preserve">Adunsky 2011, PMID 21067829.</w:t>
      </w:r>
    </w:p>
  </w:footnote>
  <w:footnote w:id="2634">
    <w:p>
      <w:pPr>
        <w:pStyle w:val="FootnoteText"/>
      </w:pPr>
      <w:r>
        <w:rPr>
          <w:rStyle w:val="FootnoteReference"/>
        </w:rPr>
        <w:footnoteRef/>
      </w:r>
      <w:r>
        <w:t xml:space="preserve"> </w:t>
      </w:r>
      <w:r>
        <w:t xml:space="preserve">White 2017, PMID 27977473.</w:t>
      </w:r>
    </w:p>
  </w:footnote>
  <w:footnote w:id="2635">
    <w:p>
      <w:pPr>
        <w:pStyle w:val="FootnoteText"/>
      </w:pPr>
      <w:r>
        <w:rPr>
          <w:rStyle w:val="FootnoteReference"/>
        </w:rPr>
        <w:footnoteRef/>
      </w:r>
      <w:r>
        <w:t xml:space="preserve"> </w:t>
      </w:r>
      <w:r>
        <w:t xml:space="preserve">Lissy 2021, PMID 32961034.</w:t>
      </w:r>
    </w:p>
  </w:footnote>
  <w:footnote w:id="2636">
    <w:p>
      <w:pPr>
        <w:pStyle w:val="FootnoteText"/>
      </w:pPr>
      <w:r>
        <w:rPr>
          <w:rStyle w:val="FootnoteReference"/>
        </w:rPr>
        <w:footnoteRef/>
      </w:r>
      <w:r>
        <w:t xml:space="preserve"> </w:t>
      </w:r>
      <w:r>
        <w:t xml:space="preserve">Mayer-Hubner 1996, PMID 8596357.</w:t>
      </w:r>
    </w:p>
  </w:footnote>
  <w:footnote w:id="2637">
    <w:p>
      <w:pPr>
        <w:pStyle w:val="FootnoteText"/>
      </w:pPr>
      <w:r>
        <w:rPr>
          <w:rStyle w:val="FootnoteReference"/>
        </w:rPr>
        <w:footnoteRef/>
      </w:r>
      <w:r>
        <w:t xml:space="preserve"> </w:t>
      </w:r>
      <w:r>
        <w:t xml:space="preserve">Nelson 2012, PMID 23121206.</w:t>
      </w:r>
    </w:p>
  </w:footnote>
  <w:footnote w:id="2639">
    <w:p>
      <w:pPr>
        <w:pStyle w:val="FootnoteText"/>
      </w:pPr>
      <w:r>
        <w:rPr>
          <w:rStyle w:val="FootnoteReference"/>
        </w:rPr>
        <w:footnoteRef/>
      </w:r>
      <w:r>
        <w:t xml:space="preserve"> </w:t>
      </w:r>
      <w:r>
        <w:t xml:space="preserve">Han 2026, PMID 41852258.</w:t>
      </w:r>
    </w:p>
  </w:footnote>
  <w:footnote w:id="2640">
    <w:p>
      <w:pPr>
        <w:pStyle w:val="FootnoteText"/>
      </w:pPr>
      <w:r>
        <w:rPr>
          <w:rStyle w:val="FootnoteReference"/>
        </w:rPr>
        <w:footnoteRef/>
      </w:r>
      <w:r>
        <w:t xml:space="preserve"> </w:t>
      </w:r>
      <w:r>
        <w:t xml:space="preserve">Ueda 2024, PMID 39226030.</w:t>
      </w:r>
    </w:p>
  </w:footnote>
  <w:footnote w:id="2641">
    <w:p>
      <w:pPr>
        <w:pStyle w:val="FootnoteText"/>
      </w:pPr>
      <w:r>
        <w:rPr>
          <w:rStyle w:val="FootnoteReference"/>
        </w:rPr>
        <w:footnoteRef/>
      </w:r>
      <w:r>
        <w:t xml:space="preserve"> </w:t>
      </w:r>
      <w:r>
        <w:t xml:space="preserve">Wadden 2026, PMID 41537305.</w:t>
      </w:r>
    </w:p>
  </w:footnote>
  <w:footnote w:id="2642">
    <w:p>
      <w:pPr>
        <w:pStyle w:val="FootnoteText"/>
      </w:pPr>
      <w:r>
        <w:rPr>
          <w:rStyle w:val="FootnoteReference"/>
        </w:rPr>
        <w:footnoteRef/>
      </w:r>
      <w:r>
        <w:t xml:space="preserve"> </w:t>
      </w:r>
      <w:r>
        <w:t xml:space="preserve">Silva 2026, PMID 42115753.</w:t>
      </w:r>
    </w:p>
  </w:footnote>
  <w:footnote w:id="2644">
    <w:p>
      <w:pPr>
        <w:pStyle w:val="FootnoteText"/>
      </w:pPr>
      <w:r>
        <w:rPr>
          <w:rStyle w:val="FootnoteReference"/>
        </w:rPr>
        <w:footnoteRef/>
      </w:r>
      <w:r>
        <w:t xml:space="preserve"> </w:t>
      </w:r>
      <w:r>
        <w:t xml:space="preserve">Sridharan 2026, PMID 39924461.</w:t>
      </w:r>
    </w:p>
  </w:footnote>
  <w:footnote w:id="2645">
    <w:p>
      <w:pPr>
        <w:pStyle w:val="FootnoteText"/>
      </w:pPr>
      <w:r>
        <w:rPr>
          <w:rStyle w:val="FootnoteReference"/>
        </w:rPr>
        <w:footnoteRef/>
      </w:r>
      <w:r>
        <w:t xml:space="preserve"> </w:t>
      </w:r>
      <w:r>
        <w:t xml:space="preserve">Kanti 2021, PMID 34058738.</w:t>
      </w:r>
    </w:p>
  </w:footnote>
  <w:footnote w:id="2646">
    <w:p>
      <w:pPr>
        <w:pStyle w:val="FootnoteText"/>
      </w:pPr>
      <w:r>
        <w:rPr>
          <w:rStyle w:val="FootnoteReference"/>
        </w:rPr>
        <w:footnoteRef/>
      </w:r>
      <w:r>
        <w:t xml:space="preserve"> </w:t>
      </w:r>
      <w:r>
        <w:t xml:space="preserve">Clayton 2022, PMID 35147466.</w:t>
      </w:r>
    </w:p>
  </w:footnote>
  <w:footnote w:id="2647">
    <w:p>
      <w:pPr>
        <w:pStyle w:val="FootnoteText"/>
      </w:pPr>
      <w:r>
        <w:rPr>
          <w:rStyle w:val="FootnoteReference"/>
        </w:rPr>
        <w:footnoteRef/>
      </w:r>
      <w:r>
        <w:t xml:space="preserve"> </w:t>
      </w:r>
      <w:r>
        <w:t xml:space="preserve">Burian 2019, PMID 31119650.</w:t>
      </w:r>
    </w:p>
  </w:footnote>
  <w:footnote w:id="2648">
    <w:p>
      <w:pPr>
        <w:pStyle w:val="FootnoteText"/>
      </w:pPr>
      <w:r>
        <w:rPr>
          <w:rStyle w:val="FootnoteReference"/>
        </w:rPr>
        <w:footnoteRef/>
      </w:r>
      <w:r>
        <w:t xml:space="preserve"> </w:t>
      </w:r>
      <w:r>
        <w:t xml:space="preserve">Gupta 2026, PMID 42930571.</w:t>
      </w:r>
    </w:p>
  </w:footnote>
  <w:footnote w:id="2649">
    <w:p>
      <w:pPr>
        <w:pStyle w:val="FootnoteText"/>
      </w:pPr>
      <w:r>
        <w:rPr>
          <w:rStyle w:val="FootnoteReference"/>
        </w:rPr>
        <w:footnoteRef/>
      </w:r>
      <w:r>
        <w:t xml:space="preserve"> </w:t>
      </w:r>
      <w:r>
        <w:t xml:space="preserve">Bellido 2026, PMID 42810372.</w:t>
      </w:r>
    </w:p>
  </w:footnote>
  <w:footnote w:id="2650">
    <w:p>
      <w:pPr>
        <w:pStyle w:val="FootnoteText"/>
      </w:pPr>
      <w:r>
        <w:rPr>
          <w:rStyle w:val="FootnoteReference"/>
        </w:rPr>
        <w:footnoteRef/>
      </w:r>
      <w:r>
        <w:t xml:space="preserve"> </w:t>
      </w:r>
      <w:r>
        <w:t xml:space="preserve">Dolkar 2018, PMID 29665030.</w:t>
      </w:r>
    </w:p>
  </w:footnote>
  <w:footnote w:id="2652">
    <w:p>
      <w:pPr>
        <w:pStyle w:val="FootnoteText"/>
      </w:pPr>
      <w:r>
        <w:rPr>
          <w:rStyle w:val="FootnoteReference"/>
        </w:rPr>
        <w:footnoteRef/>
      </w:r>
      <w:r>
        <w:t xml:space="preserve"> </w:t>
      </w:r>
      <w:r>
        <w:t xml:space="preserve">Arimura 2016, PMID 27020037.</w:t>
      </w:r>
    </w:p>
  </w:footnote>
  <w:footnote w:id="2653">
    <w:p>
      <w:pPr>
        <w:pStyle w:val="FootnoteText"/>
      </w:pPr>
      <w:r>
        <w:rPr>
          <w:rStyle w:val="FootnoteReference"/>
        </w:rPr>
        <w:footnoteRef/>
      </w:r>
      <w:r>
        <w:t xml:space="preserve"> </w:t>
      </w:r>
      <w:r>
        <w:t xml:space="preserve">MacLean 2014, PMID 24762108.</w:t>
      </w:r>
    </w:p>
  </w:footnote>
  <w:footnote w:id="2654">
    <w:p>
      <w:pPr>
        <w:pStyle w:val="FootnoteText"/>
      </w:pPr>
      <w:r>
        <w:rPr>
          <w:rStyle w:val="FootnoteReference"/>
        </w:rPr>
        <w:footnoteRef/>
      </w:r>
      <w:r>
        <w:t xml:space="preserve"> </w:t>
      </w:r>
      <w:r>
        <w:t xml:space="preserve">Liu 2007, PMID 17227934.</w:t>
      </w:r>
    </w:p>
  </w:footnote>
  <w:footnote w:id="2656">
    <w:p>
      <w:pPr>
        <w:pStyle w:val="FootnoteText"/>
      </w:pPr>
      <w:r>
        <w:rPr>
          <w:rStyle w:val="FootnoteReference"/>
        </w:rPr>
        <w:footnoteRef/>
      </w:r>
      <w:r>
        <w:t xml:space="preserve"> </w:t>
      </w:r>
      <w:r>
        <w:t xml:space="preserve">Chernausek 2007, PMID 17192294.</w:t>
      </w:r>
    </w:p>
  </w:footnote>
  <w:footnote w:id="2657">
    <w:p>
      <w:pPr>
        <w:pStyle w:val="FootnoteText"/>
      </w:pPr>
      <w:r>
        <w:rPr>
          <w:rStyle w:val="FootnoteReference"/>
        </w:rPr>
        <w:footnoteRef/>
      </w:r>
      <w:r>
        <w:t xml:space="preserve"> </w:t>
      </w:r>
      <w:r>
        <w:t xml:space="preserve">Edelman 2006, PMID 17003291.</w:t>
      </w:r>
    </w:p>
  </w:footnote>
  <w:footnote w:id="2658">
    <w:p>
      <w:pPr>
        <w:pStyle w:val="FootnoteText"/>
      </w:pPr>
      <w:r>
        <w:rPr>
          <w:rStyle w:val="FootnoteReference"/>
        </w:rPr>
        <w:footnoteRef/>
      </w:r>
      <w:r>
        <w:t xml:space="preserve"> </w:t>
      </w:r>
      <w:r>
        <w:t xml:space="preserve">Kendall 2005, PMID 15855571.</w:t>
      </w:r>
    </w:p>
  </w:footnote>
  <w:footnote w:id="2659">
    <w:p>
      <w:pPr>
        <w:pStyle w:val="FootnoteText"/>
      </w:pPr>
      <w:r>
        <w:rPr>
          <w:rStyle w:val="FootnoteReference"/>
        </w:rPr>
        <w:footnoteRef/>
      </w:r>
      <w:r>
        <w:t xml:space="preserve"> </w:t>
      </w:r>
      <w:r>
        <w:t xml:space="preserve">Nass 2008, PMID 18981485.</w:t>
      </w:r>
    </w:p>
  </w:footnote>
  <w:footnote w:id="2660">
    <w:p>
      <w:pPr>
        <w:pStyle w:val="FootnoteText"/>
      </w:pPr>
      <w:r>
        <w:rPr>
          <w:rStyle w:val="FootnoteReference"/>
        </w:rPr>
        <w:footnoteRef/>
      </w:r>
      <w:r>
        <w:t xml:space="preserve"> </w:t>
      </w:r>
      <w:r>
        <w:t xml:space="preserve">Liu 2007, PMID 17227934.</w:t>
      </w:r>
    </w:p>
  </w:footnote>
  <w:footnote w:id="2664">
    <w:p>
      <w:pPr>
        <w:pStyle w:val="FootnoteText"/>
      </w:pPr>
      <w:r>
        <w:rPr>
          <w:rStyle w:val="FootnoteReference"/>
        </w:rPr>
        <w:footnoteRef/>
      </w:r>
      <w:r>
        <w:t xml:space="preserve"> </w:t>
      </w:r>
      <w:r>
        <w:t xml:space="preserve">Silverii 2025, PMID 40437949.</w:t>
      </w:r>
    </w:p>
  </w:footnote>
  <w:footnote w:id="2666">
    <w:p>
      <w:pPr>
        <w:pStyle w:val="FootnoteText"/>
      </w:pPr>
      <w:r>
        <w:rPr>
          <w:rStyle w:val="FootnoteReference"/>
        </w:rPr>
        <w:footnoteRef/>
      </w:r>
      <w:r>
        <w:t xml:space="preserve"> </w:t>
      </w:r>
      <w:r>
        <w:t xml:space="preserve">Renehan 2004, PMID 15110491.</w:t>
      </w:r>
    </w:p>
  </w:footnote>
  <w:footnote w:id="2667">
    <w:p>
      <w:pPr>
        <w:pStyle w:val="FootnoteText"/>
      </w:pPr>
      <w:r>
        <w:rPr>
          <w:rStyle w:val="FootnoteReference"/>
        </w:rPr>
        <w:footnoteRef/>
      </w:r>
      <w:r>
        <w:t xml:space="preserve"> </w:t>
      </w:r>
      <w:r>
        <w:t xml:space="preserve">Murphy 2020, PMID 32169310.</w:t>
      </w:r>
    </w:p>
  </w:footnote>
  <w:footnote w:id="2668">
    <w:p>
      <w:pPr>
        <w:pStyle w:val="FootnoteText"/>
      </w:pPr>
      <w:r>
        <w:rPr>
          <w:rStyle w:val="FootnoteReference"/>
        </w:rPr>
        <w:footnoteRef/>
      </w:r>
      <w:r>
        <w:t xml:space="preserve"> </w:t>
      </w:r>
      <w:r>
        <w:t xml:space="preserve">Murphy 2020, PMID 31884074.</w:t>
      </w:r>
    </w:p>
  </w:footnote>
  <w:footnote w:id="2669">
    <w:p>
      <w:pPr>
        <w:pStyle w:val="FootnoteText"/>
      </w:pPr>
      <w:r>
        <w:rPr>
          <w:rStyle w:val="FootnoteReference"/>
        </w:rPr>
        <w:footnoteRef/>
      </w:r>
      <w:r>
        <w:t xml:space="preserve"> </w:t>
      </w:r>
      <w:r>
        <w:t xml:space="preserve">Murphy 2020, PMID 32169310.</w:t>
      </w:r>
    </w:p>
  </w:footnote>
  <w:footnote w:id="2670">
    <w:p>
      <w:pPr>
        <w:pStyle w:val="FootnoteText"/>
      </w:pPr>
      <w:r>
        <w:rPr>
          <w:rStyle w:val="FootnoteReference"/>
        </w:rPr>
        <w:footnoteRef/>
      </w:r>
      <w:r>
        <w:t xml:space="preserve"> </w:t>
      </w:r>
      <w:r>
        <w:t xml:space="preserve">Dal 2018, PMID 29590449.</w:t>
      </w:r>
    </w:p>
  </w:footnote>
  <w:footnote w:id="2671">
    <w:p>
      <w:pPr>
        <w:pStyle w:val="FootnoteText"/>
      </w:pPr>
      <w:r>
        <w:rPr>
          <w:rStyle w:val="FootnoteReference"/>
        </w:rPr>
        <w:footnoteRef/>
      </w:r>
      <w:r>
        <w:t xml:space="preserve"> </w:t>
      </w:r>
      <w:r>
        <w:t xml:space="preserve">Guevara-Aguirre 2011, PMID 21325617.</w:t>
      </w:r>
    </w:p>
  </w:footnote>
  <w:footnote w:id="2672">
    <w:p>
      <w:pPr>
        <w:pStyle w:val="FootnoteText"/>
      </w:pPr>
      <w:r>
        <w:rPr>
          <w:rStyle w:val="FootnoteReference"/>
        </w:rPr>
        <w:footnoteRef/>
      </w:r>
      <w:r>
        <w:t xml:space="preserve"> </w:t>
      </w:r>
      <w:r>
        <w:t xml:space="preserve">Swerdlow 2017, PMID 28187225.</w:t>
      </w:r>
    </w:p>
  </w:footnote>
  <w:footnote w:id="2673">
    <w:p>
      <w:pPr>
        <w:pStyle w:val="FootnoteText"/>
      </w:pPr>
      <w:r>
        <w:rPr>
          <w:rStyle w:val="FootnoteReference"/>
        </w:rPr>
        <w:footnoteRef/>
      </w:r>
      <w:r>
        <w:t xml:space="preserve"> </w:t>
      </w:r>
      <w:r>
        <w:t xml:space="preserve">Child 2015, PMID 25810462.</w:t>
      </w:r>
    </w:p>
  </w:footnote>
  <w:footnote w:id="2674">
    <w:p>
      <w:pPr>
        <w:pStyle w:val="FootnoteText"/>
      </w:pPr>
      <w:r>
        <w:rPr>
          <w:rStyle w:val="FootnoteReference"/>
        </w:rPr>
        <w:footnoteRef/>
      </w:r>
      <w:r>
        <w:t xml:space="preserve"> </w:t>
      </w:r>
      <w:r>
        <w:t xml:space="preserve">Nass 2008, PMID 18981485.</w:t>
      </w:r>
    </w:p>
  </w:footnote>
  <w:footnote w:id="2676">
    <w:p>
      <w:pPr>
        <w:pStyle w:val="FootnoteText"/>
      </w:pPr>
      <w:r>
        <w:rPr>
          <w:rStyle w:val="FootnoteReference"/>
        </w:rPr>
        <w:footnoteRef/>
      </w:r>
      <w:r>
        <w:t xml:space="preserve"> </w:t>
      </w:r>
      <w:r>
        <w:t xml:space="preserve">Hsieh 2017, PMID 27847966.</w:t>
      </w:r>
    </w:p>
  </w:footnote>
  <w:footnote w:id="2677">
    <w:p>
      <w:pPr>
        <w:pStyle w:val="FootnoteText"/>
      </w:pPr>
      <w:r>
        <w:rPr>
          <w:rStyle w:val="FootnoteReference"/>
        </w:rPr>
        <w:footnoteRef/>
      </w:r>
      <w:r>
        <w:t xml:space="preserve"> </w:t>
      </w:r>
      <w:r>
        <w:t xml:space="preserve">Sikiric 2025, PMID 40573323.</w:t>
      </w:r>
    </w:p>
  </w:footnote>
  <w:footnote w:id="2678">
    <w:p>
      <w:pPr>
        <w:pStyle w:val="FootnoteText"/>
      </w:pPr>
      <w:r>
        <w:rPr>
          <w:rStyle w:val="FootnoteReference"/>
        </w:rPr>
        <w:footnoteRef/>
      </w:r>
      <w:r>
        <w:t xml:space="preserve"> </w:t>
      </w:r>
      <w:r>
        <w:t xml:space="preserve">Wang 2016, PMID 27596300.</w:t>
      </w:r>
    </w:p>
  </w:footnote>
  <w:footnote w:id="2679">
    <w:p>
      <w:pPr>
        <w:pStyle w:val="FootnoteText"/>
      </w:pPr>
      <w:r>
        <w:rPr>
          <w:rStyle w:val="FootnoteReference"/>
        </w:rPr>
        <w:footnoteRef/>
      </w:r>
      <w:r>
        <w:t xml:space="preserve"> </w:t>
      </w:r>
      <w:r>
        <w:t xml:space="preserve">Larsson 2007, PMID 17495241.</w:t>
      </w:r>
    </w:p>
  </w:footnote>
  <w:footnote w:id="2680">
    <w:p>
      <w:pPr>
        <w:pStyle w:val="FootnoteText"/>
      </w:pPr>
      <w:r>
        <w:rPr>
          <w:rStyle w:val="FootnoteReference"/>
        </w:rPr>
        <w:footnoteRef/>
      </w:r>
      <w:r>
        <w:t xml:space="preserve"> </w:t>
      </w:r>
      <w:r>
        <w:t xml:space="preserve">Moreno Ayala 2020, PMID 32444831.</w:t>
      </w:r>
    </w:p>
  </w:footnote>
  <w:footnote w:id="2681">
    <w:p>
      <w:pPr>
        <w:pStyle w:val="FootnoteText"/>
      </w:pPr>
      <w:r>
        <w:rPr>
          <w:rStyle w:val="FootnoteReference"/>
        </w:rPr>
        <w:footnoteRef/>
      </w:r>
      <w:r>
        <w:t xml:space="preserve"> </w:t>
      </w:r>
      <w:r>
        <w:t xml:space="preserve">Al-Dulaimi 2025, PMID 40908429.</w:t>
      </w:r>
    </w:p>
  </w:footnote>
  <w:footnote w:id="2682">
    <w:p>
      <w:pPr>
        <w:pStyle w:val="FootnoteText"/>
      </w:pPr>
      <w:r>
        <w:rPr>
          <w:rStyle w:val="FootnoteReference"/>
        </w:rPr>
        <w:footnoteRef/>
      </w:r>
      <w:r>
        <w:t xml:space="preserve"> </w:t>
      </w:r>
      <w:r>
        <w:t xml:space="preserve">Anisimov 2003, PMID 14501183.</w:t>
      </w:r>
    </w:p>
  </w:footnote>
  <w:footnote w:id="2683">
    <w:p>
      <w:pPr>
        <w:pStyle w:val="FootnoteText"/>
      </w:pPr>
      <w:r>
        <w:rPr>
          <w:rStyle w:val="FootnoteReference"/>
        </w:rPr>
        <w:footnoteRef/>
      </w:r>
      <w:r>
        <w:t xml:space="preserve"> </w:t>
      </w:r>
      <w:r>
        <w:t xml:space="preserve">Chen 2018, PMID 29843147.</w:t>
      </w:r>
    </w:p>
  </w:footnote>
  <w:footnote w:id="2684">
    <w:p>
      <w:pPr>
        <w:pStyle w:val="FootnoteText"/>
      </w:pPr>
      <w:r>
        <w:rPr>
          <w:rStyle w:val="FootnoteReference"/>
        </w:rPr>
        <w:footnoteRef/>
      </w:r>
      <w:r>
        <w:t xml:space="preserve"> </w:t>
      </w:r>
      <w:r>
        <w:t xml:space="preserve">Wright 2015, PMID 25649658.</w:t>
      </w:r>
    </w:p>
  </w:footnote>
  <w:footnote w:id="2686">
    <w:p>
      <w:pPr>
        <w:pStyle w:val="FootnoteText"/>
      </w:pPr>
      <w:r>
        <w:rPr>
          <w:rStyle w:val="FootnoteReference"/>
        </w:rPr>
        <w:footnoteRef/>
      </w:r>
      <w:r>
        <w:t xml:space="preserve"> </w:t>
      </w:r>
      <w:r>
        <w:t xml:space="preserve">Habbema 2017, PMID 28266027.</w:t>
      </w:r>
    </w:p>
  </w:footnote>
  <w:footnote w:id="2687">
    <w:p>
      <w:pPr>
        <w:pStyle w:val="FootnoteText"/>
      </w:pPr>
      <w:r>
        <w:rPr>
          <w:rStyle w:val="FootnoteReference"/>
        </w:rPr>
        <w:footnoteRef/>
      </w:r>
      <w:r>
        <w:t xml:space="preserve"> </w:t>
      </w:r>
      <w:r>
        <w:t xml:space="preserve">Burian 2019, PMID 31119650.</w:t>
      </w:r>
    </w:p>
  </w:footnote>
  <w:footnote w:id="2688">
    <w:p>
      <w:pPr>
        <w:pStyle w:val="FootnoteText"/>
      </w:pPr>
      <w:r>
        <w:rPr>
          <w:rStyle w:val="FootnoteReference"/>
        </w:rPr>
        <w:footnoteRef/>
      </w:r>
      <w:r>
        <w:t xml:space="preserve"> </w:t>
      </w:r>
      <w:r>
        <w:t xml:space="preserve">Arisi 2021, PMID 33721252.</w:t>
      </w:r>
    </w:p>
  </w:footnote>
  <w:footnote w:id="2689">
    <w:p>
      <w:pPr>
        <w:pStyle w:val="FootnoteText"/>
      </w:pPr>
      <w:r>
        <w:rPr>
          <w:rStyle w:val="FootnoteReference"/>
        </w:rPr>
        <w:footnoteRef/>
      </w:r>
      <w:r>
        <w:t xml:space="preserve"> </w:t>
      </w:r>
      <w:r>
        <w:t xml:space="preserve">Kanti 2021, PMID 34058738.</w:t>
      </w:r>
    </w:p>
  </w:footnote>
  <w:footnote w:id="2691">
    <w:p>
      <w:pPr>
        <w:pStyle w:val="FootnoteText"/>
      </w:pPr>
      <w:r>
        <w:rPr>
          <w:rStyle w:val="FootnoteReference"/>
        </w:rPr>
        <w:footnoteRef/>
      </w:r>
      <w:r>
        <w:t xml:space="preserve"> </w:t>
      </w:r>
      <w:r>
        <w:t xml:space="preserve">Bjerre Knudsen 2010, PMID 20203154.</w:t>
      </w:r>
    </w:p>
  </w:footnote>
  <w:footnote w:id="2692">
    <w:p>
      <w:pPr>
        <w:pStyle w:val="FootnoteText"/>
      </w:pPr>
      <w:r>
        <w:rPr>
          <w:rStyle w:val="FootnoteReference"/>
        </w:rPr>
        <w:footnoteRef/>
      </w:r>
      <w:r>
        <w:t xml:space="preserve"> </w:t>
      </w:r>
      <w:r>
        <w:t xml:space="preserve">Gier 2012, PMID 22031513.</w:t>
      </w:r>
    </w:p>
  </w:footnote>
  <w:footnote w:id="2693">
    <w:p>
      <w:pPr>
        <w:pStyle w:val="FootnoteText"/>
      </w:pPr>
      <w:r>
        <w:rPr>
          <w:rStyle w:val="FootnoteReference"/>
        </w:rPr>
        <w:footnoteRef/>
      </w:r>
      <w:r>
        <w:t xml:space="preserve"> </w:t>
      </w:r>
      <w:r>
        <w:t xml:space="preserve">Hegedüs 2018, PMID 29279300.</w:t>
      </w:r>
    </w:p>
  </w:footnote>
  <w:footnote w:id="2694">
    <w:p>
      <w:pPr>
        <w:pStyle w:val="FootnoteText"/>
      </w:pPr>
      <w:r>
        <w:rPr>
          <w:rStyle w:val="FootnoteReference"/>
        </w:rPr>
        <w:footnoteRef/>
      </w:r>
      <w:r>
        <w:t xml:space="preserve"> </w:t>
      </w:r>
      <w:r>
        <w:t xml:space="preserve">Bezin 2023, PMID 36356111.</w:t>
      </w:r>
    </w:p>
  </w:footnote>
  <w:footnote w:id="2695">
    <w:p>
      <w:pPr>
        <w:pStyle w:val="FootnoteText"/>
      </w:pPr>
      <w:r>
        <w:rPr>
          <w:rStyle w:val="FootnoteReference"/>
        </w:rPr>
        <w:footnoteRef/>
      </w:r>
      <w:r>
        <w:t xml:space="preserve"> </w:t>
      </w:r>
      <w:r>
        <w:t xml:space="preserve">Pasternak 2024, PMID 38683947.</w:t>
      </w:r>
    </w:p>
  </w:footnote>
  <w:footnote w:id="2696">
    <w:p>
      <w:pPr>
        <w:pStyle w:val="FootnoteText"/>
      </w:pPr>
      <w:r>
        <w:rPr>
          <w:rStyle w:val="FootnoteReference"/>
        </w:rPr>
        <w:footnoteRef/>
      </w:r>
      <w:r>
        <w:t xml:space="preserve"> </w:t>
      </w:r>
      <w:r>
        <w:t xml:space="preserve">Silverii 2025, PMID 40437949.</w:t>
      </w:r>
    </w:p>
  </w:footnote>
  <w:footnote w:id="2698">
    <w:p>
      <w:pPr>
        <w:pStyle w:val="FootnoteText"/>
      </w:pPr>
      <w:r>
        <w:rPr>
          <w:rStyle w:val="FootnoteReference"/>
        </w:rPr>
        <w:footnoteRef/>
      </w:r>
      <w:r>
        <w:t xml:space="preserve"> </w:t>
      </w:r>
      <w:r>
        <w:t xml:space="preserve">Wen 2025, PMID 40988099.</w:t>
      </w:r>
    </w:p>
  </w:footnote>
  <w:footnote w:id="2699">
    <w:p>
      <w:pPr>
        <w:pStyle w:val="FootnoteText"/>
      </w:pPr>
      <w:r>
        <w:rPr>
          <w:rStyle w:val="FootnoteReference"/>
        </w:rPr>
        <w:footnoteRef/>
      </w:r>
      <w:r>
        <w:t xml:space="preserve"> </w:t>
      </w:r>
      <w:r>
        <w:t xml:space="preserve">Wang 2024, PMID 38967919.</w:t>
      </w:r>
    </w:p>
  </w:footnote>
  <w:footnote w:id="2700">
    <w:p>
      <w:pPr>
        <w:pStyle w:val="FootnoteText"/>
      </w:pPr>
      <w:r>
        <w:rPr>
          <w:rStyle w:val="FootnoteReference"/>
        </w:rPr>
        <w:footnoteRef/>
      </w:r>
      <w:r>
        <w:t xml:space="preserve"> </w:t>
      </w:r>
      <w:r>
        <w:t xml:space="preserve">Rajan 2026, PMID 42541759.</w:t>
      </w:r>
    </w:p>
  </w:footnote>
  <w:footnote w:id="2705">
    <w:p>
      <w:pPr>
        <w:pStyle w:val="FootnoteText"/>
      </w:pPr>
      <w:r>
        <w:rPr>
          <w:rStyle w:val="FootnoteReference"/>
        </w:rPr>
        <w:footnoteRef/>
      </w:r>
      <w:r>
        <w:t xml:space="preserve"> </w:t>
      </w:r>
      <w:r>
        <w:t xml:space="preserve">Shankar 2014, PMID 24764037.</w:t>
      </w:r>
    </w:p>
  </w:footnote>
  <w:footnote w:id="2707">
    <w:p>
      <w:pPr>
        <w:pStyle w:val="FootnoteText"/>
      </w:pPr>
      <w:r>
        <w:rPr>
          <w:rStyle w:val="FootnoteReference"/>
        </w:rPr>
        <w:footnoteRef/>
      </w:r>
      <w:r>
        <w:t xml:space="preserve"> </w:t>
      </w:r>
      <w:r>
        <w:t xml:space="preserve">Buse 2011, PMID 21450987.</w:t>
      </w:r>
    </w:p>
  </w:footnote>
  <w:footnote w:id="2708">
    <w:p>
      <w:pPr>
        <w:pStyle w:val="FootnoteText"/>
      </w:pPr>
      <w:r>
        <w:rPr>
          <w:rStyle w:val="FootnoteReference"/>
        </w:rPr>
        <w:footnoteRef/>
      </w:r>
      <w:r>
        <w:t xml:space="preserve"> </w:t>
      </w:r>
      <w:r>
        <w:t xml:space="preserve">Mullins 2024, PMID 37700637.</w:t>
      </w:r>
    </w:p>
  </w:footnote>
  <w:footnote w:id="2710">
    <w:p>
      <w:pPr>
        <w:pStyle w:val="FootnoteText"/>
      </w:pPr>
      <w:r>
        <w:rPr>
          <w:rStyle w:val="FootnoteReference"/>
        </w:rPr>
        <w:footnoteRef/>
      </w:r>
      <w:r>
        <w:t xml:space="preserve"> </w:t>
      </w:r>
      <w:r>
        <w:t xml:space="preserve">Taj 2026, PMID 41395692.</w:t>
      </w:r>
    </w:p>
  </w:footnote>
  <w:footnote w:id="2711">
    <w:p>
      <w:pPr>
        <w:pStyle w:val="FootnoteText"/>
      </w:pPr>
      <w:r>
        <w:rPr>
          <w:rStyle w:val="FootnoteReference"/>
        </w:rPr>
        <w:footnoteRef/>
      </w:r>
      <w:r>
        <w:t xml:space="preserve"> </w:t>
      </w:r>
      <w:r>
        <w:t xml:space="preserve">Wysham 2015, PMID 25744115.</w:t>
      </w:r>
    </w:p>
  </w:footnote>
  <w:footnote w:id="2712">
    <w:p>
      <w:pPr>
        <w:pStyle w:val="FootnoteText"/>
      </w:pPr>
      <w:r>
        <w:rPr>
          <w:rStyle w:val="FootnoteReference"/>
        </w:rPr>
        <w:footnoteRef/>
      </w:r>
      <w:r>
        <w:t xml:space="preserve"> </w:t>
      </w:r>
      <w:r>
        <w:t xml:space="preserve">Chen 2021, PMID 33748252.</w:t>
      </w:r>
    </w:p>
  </w:footnote>
  <w:footnote w:id="2714">
    <w:p>
      <w:pPr>
        <w:pStyle w:val="FootnoteText"/>
      </w:pPr>
      <w:r>
        <w:rPr>
          <w:rStyle w:val="FootnoteReference"/>
        </w:rPr>
        <w:footnoteRef/>
      </w:r>
      <w:r>
        <w:t xml:space="preserve"> </w:t>
      </w:r>
      <w:r>
        <w:t xml:space="preserve">Anthony 2024, PMID 38363873.</w:t>
      </w:r>
    </w:p>
  </w:footnote>
  <w:footnote w:id="2715">
    <w:p>
      <w:pPr>
        <w:pStyle w:val="FootnoteText"/>
      </w:pPr>
      <w:r>
        <w:rPr>
          <w:rStyle w:val="FootnoteReference"/>
        </w:rPr>
        <w:footnoteRef/>
      </w:r>
      <w:r>
        <w:t xml:space="preserve"> </w:t>
      </w:r>
      <w:r>
        <w:t xml:space="preserve">Pradhan 2022, PMID 35136902.</w:t>
      </w:r>
    </w:p>
  </w:footnote>
  <w:footnote w:id="2716">
    <w:p>
      <w:pPr>
        <w:pStyle w:val="FootnoteText"/>
      </w:pPr>
      <w:r>
        <w:rPr>
          <w:rStyle w:val="FootnoteReference"/>
        </w:rPr>
        <w:footnoteRef/>
      </w:r>
      <w:r>
        <w:t xml:space="preserve"> </w:t>
      </w:r>
      <w:r>
        <w:t xml:space="preserve">Ornelas 2018, PMID 30350785.</w:t>
      </w:r>
    </w:p>
  </w:footnote>
  <w:footnote w:id="2717">
    <w:p>
      <w:pPr>
        <w:pStyle w:val="FootnoteText"/>
      </w:pPr>
      <w:r>
        <w:rPr>
          <w:rStyle w:val="FootnoteReference"/>
        </w:rPr>
        <w:footnoteRef/>
      </w:r>
      <w:r>
        <w:t xml:space="preserve"> </w:t>
      </w:r>
      <w:r>
        <w:t xml:space="preserve">Shamriz 2019, PMID 31296642.</w:t>
      </w:r>
    </w:p>
  </w:footnote>
  <w:footnote w:id="2718">
    <w:p>
      <w:pPr>
        <w:pStyle w:val="FootnoteText"/>
      </w:pPr>
      <w:r>
        <w:rPr>
          <w:rStyle w:val="FootnoteReference"/>
        </w:rPr>
        <w:footnoteRef/>
      </w:r>
      <w:r>
        <w:t xml:space="preserve"> </w:t>
      </w:r>
      <w:r>
        <w:t xml:space="preserve">He 2023, PMID 38186543.</w:t>
      </w:r>
    </w:p>
  </w:footnote>
  <w:footnote w:id="2719">
    <w:p>
      <w:pPr>
        <w:pStyle w:val="FootnoteText"/>
      </w:pPr>
      <w:r>
        <w:rPr>
          <w:rStyle w:val="FootnoteReference"/>
        </w:rPr>
        <w:footnoteRef/>
      </w:r>
      <w:r>
        <w:t xml:space="preserve"> </w:t>
      </w:r>
      <w:r>
        <w:t xml:space="preserve">Kraft 2026, PMID 42194666.</w:t>
      </w:r>
    </w:p>
  </w:footnote>
  <w:footnote w:id="2720">
    <w:p>
      <w:pPr>
        <w:pStyle w:val="FootnoteText"/>
      </w:pPr>
      <w:r>
        <w:rPr>
          <w:rStyle w:val="FootnoteReference"/>
        </w:rPr>
        <w:footnoteRef/>
      </w:r>
      <w:r>
        <w:t xml:space="preserve"> </w:t>
      </w:r>
      <w:r>
        <w:t xml:space="preserve">Trimmel 2024, PMID 39055722.</w:t>
      </w:r>
    </w:p>
  </w:footnote>
  <w:footnote w:id="2721">
    <w:p>
      <w:pPr>
        <w:pStyle w:val="FootnoteText"/>
      </w:pPr>
      <w:r>
        <w:rPr>
          <w:rStyle w:val="FootnoteReference"/>
        </w:rPr>
        <w:footnoteRef/>
      </w:r>
      <w:r>
        <w:t xml:space="preserve"> </w:t>
      </w:r>
      <w:r>
        <w:t xml:space="preserve">Röper 2004, PMID 15127162.</w:t>
      </w:r>
    </w:p>
  </w:footnote>
  <w:footnote w:id="2723">
    <w:p>
      <w:pPr>
        <w:pStyle w:val="FootnoteText"/>
      </w:pPr>
      <w:r>
        <w:rPr>
          <w:rStyle w:val="FootnoteReference"/>
        </w:rPr>
        <w:footnoteRef/>
      </w:r>
      <w:r>
        <w:t xml:space="preserve"> </w:t>
      </w:r>
      <w:r>
        <w:t xml:space="preserve">Lande 2007, PMID 17873860.</w:t>
      </w:r>
    </w:p>
  </w:footnote>
  <w:footnote w:id="2724">
    <w:p>
      <w:pPr>
        <w:pStyle w:val="FootnoteText"/>
      </w:pPr>
      <w:r>
        <w:rPr>
          <w:rStyle w:val="FootnoteReference"/>
        </w:rPr>
        <w:footnoteRef/>
      </w:r>
      <w:r>
        <w:t xml:space="preserve"> </w:t>
      </w:r>
      <w:r>
        <w:t xml:space="preserve">Lande 2014, PMID 25470744.</w:t>
      </w:r>
    </w:p>
  </w:footnote>
  <w:footnote w:id="2725">
    <w:p>
      <w:pPr>
        <w:pStyle w:val="FootnoteText"/>
      </w:pPr>
      <w:r>
        <w:rPr>
          <w:rStyle w:val="FootnoteReference"/>
        </w:rPr>
        <w:footnoteRef/>
      </w:r>
      <w:r>
        <w:t xml:space="preserve"> </w:t>
      </w:r>
      <w:r>
        <w:t xml:space="preserve">Dolkar 2018, PMID 29665030.</w:t>
      </w:r>
    </w:p>
  </w:footnote>
  <w:footnote w:id="2726">
    <w:p>
      <w:pPr>
        <w:pStyle w:val="FootnoteText"/>
      </w:pPr>
      <w:r>
        <w:rPr>
          <w:rStyle w:val="FootnoteReference"/>
        </w:rPr>
        <w:footnoteRef/>
      </w:r>
      <w:r>
        <w:t xml:space="preserve"> </w:t>
      </w:r>
      <w:r>
        <w:t xml:space="preserve">Gupta 2026, PMID 42930571.</w:t>
      </w:r>
    </w:p>
  </w:footnote>
  <w:footnote w:id="2728">
    <w:p>
      <w:pPr>
        <w:pStyle w:val="FootnoteText"/>
      </w:pPr>
      <w:r>
        <w:rPr>
          <w:rStyle w:val="FootnoteReference"/>
        </w:rPr>
        <w:footnoteRef/>
      </w:r>
      <w:r>
        <w:t xml:space="preserve"> </w:t>
      </w:r>
      <w:r>
        <w:t xml:space="preserve">De Groot 2023, PMID 37467878.</w:t>
      </w:r>
    </w:p>
  </w:footnote>
  <w:footnote w:id="2729">
    <w:p>
      <w:pPr>
        <w:pStyle w:val="FootnoteText"/>
      </w:pPr>
      <w:r>
        <w:rPr>
          <w:rStyle w:val="FootnoteReference"/>
        </w:rPr>
        <w:footnoteRef/>
      </w:r>
      <w:r>
        <w:t xml:space="preserve"> </w:t>
      </w:r>
      <w:r>
        <w:t xml:space="preserve">Mattei 2025, PMID 41445733.</w:t>
      </w:r>
    </w:p>
  </w:footnote>
  <w:footnote w:id="2730">
    <w:p>
      <w:pPr>
        <w:pStyle w:val="FootnoteText"/>
      </w:pPr>
      <w:r>
        <w:rPr>
          <w:rStyle w:val="FootnoteReference"/>
        </w:rPr>
        <w:footnoteRef/>
      </w:r>
      <w:r>
        <w:t xml:space="preserve"> </w:t>
      </w:r>
      <w:r>
        <w:t xml:space="preserve">Hach 2024, PMID 39379664.</w:t>
      </w:r>
    </w:p>
  </w:footnote>
  <w:footnote w:id="2731">
    <w:p>
      <w:pPr>
        <w:pStyle w:val="FootnoteText"/>
      </w:pPr>
      <w:r>
        <w:rPr>
          <w:rStyle w:val="FootnoteReference"/>
        </w:rPr>
        <w:footnoteRef/>
      </w:r>
      <w:r>
        <w:t xml:space="preserve"> </w:t>
      </w:r>
      <w:r>
        <w:t xml:space="preserve">Tang 2025, PMID 40398094.</w:t>
      </w:r>
    </w:p>
  </w:footnote>
  <w:footnote w:id="2732">
    <w:p>
      <w:pPr>
        <w:pStyle w:val="FootnoteText"/>
      </w:pPr>
      <w:r>
        <w:rPr>
          <w:rStyle w:val="FootnoteReference"/>
        </w:rPr>
        <w:footnoteRef/>
      </w:r>
      <w:r>
        <w:t xml:space="preserve"> </w:t>
      </w:r>
      <w:r>
        <w:t xml:space="preserve">Janvier 2018, PMID 28941153.</w:t>
      </w:r>
    </w:p>
  </w:footnote>
  <w:footnote w:id="2736">
    <w:p>
      <w:pPr>
        <w:pStyle w:val="FootnoteText"/>
      </w:pPr>
      <w:r>
        <w:rPr>
          <w:rStyle w:val="FootnoteReference"/>
        </w:rPr>
        <w:footnoteRef/>
      </w:r>
      <w:r>
        <w:t xml:space="preserve"> </w:t>
      </w:r>
      <w:r>
        <w:t xml:space="preserve">Vanhee 2015, PMID 26003685.</w:t>
      </w:r>
    </w:p>
  </w:footnote>
  <w:footnote w:id="2738">
    <w:p>
      <w:pPr>
        <w:pStyle w:val="FootnoteText"/>
      </w:pPr>
      <w:r>
        <w:rPr>
          <w:rStyle w:val="FootnoteReference"/>
        </w:rPr>
        <w:footnoteRef/>
      </w:r>
      <w:r>
        <w:t xml:space="preserve"> </w:t>
      </w:r>
      <w:r>
        <w:t xml:space="preserve">Høj 2021, PMID 33686802.</w:t>
      </w:r>
    </w:p>
  </w:footnote>
  <w:footnote w:id="2739">
    <w:p>
      <w:pPr>
        <w:pStyle w:val="FootnoteText"/>
      </w:pPr>
      <w:r>
        <w:rPr>
          <w:rStyle w:val="FootnoteReference"/>
        </w:rPr>
        <w:footnoteRef/>
      </w:r>
      <w:r>
        <w:t xml:space="preserve"> </w:t>
      </w:r>
      <w:r>
        <w:t xml:space="preserve">Venhuis 2016, PMID 26456392.</w:t>
      </w:r>
    </w:p>
  </w:footnote>
  <w:footnote w:id="2740">
    <w:p>
      <w:pPr>
        <w:pStyle w:val="FootnoteText"/>
      </w:pPr>
      <w:r>
        <w:rPr>
          <w:rStyle w:val="FootnoteReference"/>
        </w:rPr>
        <w:footnoteRef/>
      </w:r>
      <w:r>
        <w:t xml:space="preserve"> </w:t>
      </w:r>
      <w:r>
        <w:t xml:space="preserve">Vanhee 2017, PMID 27390261.</w:t>
      </w:r>
    </w:p>
  </w:footnote>
  <w:footnote w:id="2741">
    <w:p>
      <w:pPr>
        <w:pStyle w:val="FootnoteText"/>
      </w:pPr>
      <w:r>
        <w:rPr>
          <w:rStyle w:val="FootnoteReference"/>
        </w:rPr>
        <w:footnoteRef/>
      </w:r>
      <w:r>
        <w:t xml:space="preserve"> </w:t>
      </w:r>
      <w:r>
        <w:t xml:space="preserve">Delcourt 2023, PMID 36482504.</w:t>
      </w:r>
    </w:p>
  </w:footnote>
  <w:footnote w:id="2742">
    <w:p>
      <w:pPr>
        <w:pStyle w:val="FootnoteText"/>
      </w:pPr>
      <w:r>
        <w:rPr>
          <w:rStyle w:val="FootnoteReference"/>
        </w:rPr>
        <w:footnoteRef/>
      </w:r>
      <w:r>
        <w:t xml:space="preserve"> </w:t>
      </w:r>
      <w:r>
        <w:t xml:space="preserve">Van Wagoner 2017, PMID 29183075.</w:t>
      </w:r>
    </w:p>
  </w:footnote>
  <w:footnote w:id="2744">
    <w:p>
      <w:pPr>
        <w:pStyle w:val="FootnoteText"/>
      </w:pPr>
      <w:r>
        <w:rPr>
          <w:rStyle w:val="FootnoteReference"/>
        </w:rPr>
        <w:footnoteRef/>
      </w:r>
      <w:r>
        <w:t xml:space="preserve"> </w:t>
      </w:r>
      <w:r>
        <w:t xml:space="preserve">Van Wagoner 2017, PMID 29183075.</w:t>
      </w:r>
    </w:p>
  </w:footnote>
  <w:footnote w:id="2745">
    <w:p>
      <w:pPr>
        <w:pStyle w:val="FootnoteText"/>
      </w:pPr>
      <w:r>
        <w:rPr>
          <w:rStyle w:val="FootnoteReference"/>
        </w:rPr>
        <w:footnoteRef/>
      </w:r>
      <w:r>
        <w:t xml:space="preserve"> </w:t>
      </w:r>
      <w:r>
        <w:t xml:space="preserve">Fabresse 2021, PMID 33838562.</w:t>
      </w:r>
    </w:p>
  </w:footnote>
  <w:footnote w:id="2746">
    <w:p>
      <w:pPr>
        <w:pStyle w:val="FootnoteText"/>
      </w:pPr>
      <w:r>
        <w:rPr>
          <w:rStyle w:val="FootnoteReference"/>
        </w:rPr>
        <w:footnoteRef/>
      </w:r>
      <w:r>
        <w:t xml:space="preserve"> </w:t>
      </w:r>
      <w:r>
        <w:t xml:space="preserve">Barrios 2025, PMID 40551438.</w:t>
      </w:r>
    </w:p>
  </w:footnote>
  <w:footnote w:id="2748">
    <w:p>
      <w:pPr>
        <w:pStyle w:val="FootnoteText"/>
      </w:pPr>
      <w:r>
        <w:rPr>
          <w:rStyle w:val="FootnoteReference"/>
        </w:rPr>
        <w:footnoteRef/>
      </w:r>
      <w:r>
        <w:t xml:space="preserve"> </w:t>
      </w:r>
      <w:r>
        <w:t xml:space="preserve">Janvier 2018, PMID 30029448.</w:t>
      </w:r>
    </w:p>
  </w:footnote>
  <w:footnote w:id="2749">
    <w:p>
      <w:pPr>
        <w:pStyle w:val="FootnoteText"/>
      </w:pPr>
      <w:r>
        <w:rPr>
          <w:rStyle w:val="FootnoteReference"/>
        </w:rPr>
        <w:footnoteRef/>
      </w:r>
      <w:r>
        <w:t xml:space="preserve"> </w:t>
      </w:r>
      <w:r>
        <w:t xml:space="preserve">Mongongu 2021, PMID 33587816.</w:t>
      </w:r>
    </w:p>
  </w:footnote>
  <w:footnote w:id="2750">
    <w:p>
      <w:pPr>
        <w:pStyle w:val="FootnoteText"/>
      </w:pPr>
      <w:r>
        <w:rPr>
          <w:rStyle w:val="FootnoteReference"/>
        </w:rPr>
        <w:footnoteRef/>
      </w:r>
      <w:r>
        <w:t xml:space="preserve"> </w:t>
      </w:r>
      <w:r>
        <w:t xml:space="preserve">Deville 2024, PMID 39302005.</w:t>
      </w:r>
    </w:p>
  </w:footnote>
  <w:footnote w:id="2751">
    <w:p>
      <w:pPr>
        <w:pStyle w:val="FootnoteText"/>
      </w:pPr>
      <w:r>
        <w:rPr>
          <w:rStyle w:val="FootnoteReference"/>
        </w:rPr>
        <w:footnoteRef/>
      </w:r>
      <w:r>
        <w:t xml:space="preserve"> </w:t>
      </w:r>
      <w:r>
        <w:t xml:space="preserve">Gajda 2019, PMID 30136411.</w:t>
      </w:r>
    </w:p>
  </w:footnote>
  <w:footnote w:id="2753">
    <w:p>
      <w:pPr>
        <w:pStyle w:val="FootnoteText"/>
      </w:pPr>
      <w:r>
        <w:rPr>
          <w:rStyle w:val="FootnoteReference"/>
        </w:rPr>
        <w:footnoteRef/>
      </w:r>
      <w:r>
        <w:t xml:space="preserve"> </w:t>
      </w:r>
      <w:r>
        <w:t xml:space="preserve">Janvier 2018, PMID 30029448.</w:t>
      </w:r>
    </w:p>
  </w:footnote>
  <w:footnote w:id="2754">
    <w:p>
      <w:pPr>
        <w:pStyle w:val="FootnoteText"/>
      </w:pPr>
      <w:r>
        <w:rPr>
          <w:rStyle w:val="FootnoteReference"/>
        </w:rPr>
        <w:footnoteRef/>
      </w:r>
      <w:r>
        <w:t xml:space="preserve"> </w:t>
      </w:r>
      <w:r>
        <w:t xml:space="preserve">Janvier 2018, PMID 28941153.</w:t>
      </w:r>
    </w:p>
  </w:footnote>
  <w:footnote w:id="2755">
    <w:p>
      <w:pPr>
        <w:pStyle w:val="FootnoteText"/>
      </w:pPr>
      <w:r>
        <w:rPr>
          <w:rStyle w:val="FootnoteReference"/>
        </w:rPr>
        <w:footnoteRef/>
      </w:r>
      <w:r>
        <w:t xml:space="preserve"> </w:t>
      </w:r>
      <w:r>
        <w:t xml:space="preserve">Ashraf 2024, PMID 39509151.</w:t>
      </w:r>
    </w:p>
  </w:footnote>
  <w:footnote w:id="2758">
    <w:p>
      <w:pPr>
        <w:pStyle w:val="FootnoteText"/>
      </w:pPr>
      <w:r>
        <w:rPr>
          <w:rStyle w:val="FootnoteReference"/>
        </w:rPr>
        <w:footnoteRef/>
      </w:r>
      <w:r>
        <w:t xml:space="preserve"> </w:t>
      </w:r>
      <w:r>
        <w:t xml:space="preserve">Deconinck 2021, PMID 33453144.</w:t>
      </w:r>
    </w:p>
  </w:footnote>
  <w:footnote w:id="2759">
    <w:p>
      <w:pPr>
        <w:pStyle w:val="FootnoteText"/>
      </w:pPr>
      <w:r>
        <w:rPr>
          <w:rStyle w:val="FootnoteReference"/>
        </w:rPr>
        <w:footnoteRef/>
      </w:r>
      <w:r>
        <w:t xml:space="preserve"> </w:t>
      </w:r>
      <w:r>
        <w:t xml:space="preserve">Vanhee 2015, PMID 25535022.</w:t>
      </w:r>
    </w:p>
  </w:footnote>
  <w:footnote w:id="2760">
    <w:p>
      <w:pPr>
        <w:pStyle w:val="FootnoteText"/>
      </w:pPr>
      <w:r>
        <w:rPr>
          <w:rStyle w:val="FootnoteReference"/>
        </w:rPr>
        <w:footnoteRef/>
      </w:r>
      <w:r>
        <w:t xml:space="preserve"> </w:t>
      </w:r>
      <w:r>
        <w:t xml:space="preserve">Vanhee 2020, PMID 31667971.</w:t>
      </w:r>
    </w:p>
  </w:footnote>
  <w:footnote w:id="2761">
    <w:p>
      <w:pPr>
        <w:pStyle w:val="FootnoteText"/>
      </w:pPr>
      <w:r>
        <w:rPr>
          <w:rStyle w:val="FootnoteReference"/>
        </w:rPr>
        <w:footnoteRef/>
      </w:r>
      <w:r>
        <w:t xml:space="preserve"> </w:t>
      </w:r>
      <w:r>
        <w:t xml:space="preserve">White 2026, PMID 41480958.</w:t>
      </w:r>
    </w:p>
  </w:footnote>
  <w:footnote w:id="2762">
    <w:p>
      <w:pPr>
        <w:pStyle w:val="FootnoteText"/>
      </w:pPr>
      <w:r>
        <w:rPr>
          <w:rStyle w:val="FootnoteReference"/>
        </w:rPr>
        <w:footnoteRef/>
      </w:r>
      <w:r>
        <w:t xml:space="preserve"> </w:t>
      </w:r>
      <w:r>
        <w:t xml:space="preserve">Barrios 2025, PMID 40551438.</w:t>
      </w:r>
    </w:p>
  </w:footnote>
  <w:footnote w:id="2765">
    <w:p>
      <w:pPr>
        <w:pStyle w:val="FootnoteText"/>
      </w:pPr>
      <w:r>
        <w:rPr>
          <w:rStyle w:val="FootnoteReference"/>
        </w:rPr>
        <w:footnoteRef/>
      </w:r>
      <w:r>
        <w:t xml:space="preserve"> </w:t>
      </w:r>
      <w:r>
        <w:t xml:space="preserve">Gaw 2024, PMID 38421490.</w:t>
      </w:r>
    </w:p>
  </w:footnote>
  <w:footnote w:id="2766">
    <w:p>
      <w:pPr>
        <w:pStyle w:val="FootnoteText"/>
      </w:pPr>
      <w:r>
        <w:rPr>
          <w:rStyle w:val="FootnoteReference"/>
        </w:rPr>
        <w:footnoteRef/>
      </w:r>
      <w:r>
        <w:t xml:space="preserve"> </w:t>
      </w:r>
      <w:r>
        <w:t xml:space="preserve">Senthilkumar 2026, PMID 41784916.</w:t>
      </w:r>
    </w:p>
  </w:footnote>
  <w:footnote w:id="2767">
    <w:p>
      <w:pPr>
        <w:pStyle w:val="FootnoteText"/>
      </w:pPr>
      <w:r>
        <w:rPr>
          <w:rStyle w:val="FootnoteReference"/>
        </w:rPr>
        <w:footnoteRef/>
      </w:r>
      <w:r>
        <w:t xml:space="preserve"> </w:t>
      </w:r>
      <w:r>
        <w:t xml:space="preserve">Gaw 2024, PMID 38421490 ; Ho 2025, PMID 40371098.</w:t>
      </w:r>
    </w:p>
  </w:footnote>
  <w:footnote w:id="2768">
    <w:p>
      <w:pPr>
        <w:pStyle w:val="FootnoteText"/>
      </w:pPr>
      <w:r>
        <w:rPr>
          <w:rStyle w:val="FootnoteReference"/>
        </w:rPr>
        <w:footnoteRef/>
      </w:r>
      <w:r>
        <w:t xml:space="preserve"> </w:t>
      </w:r>
      <w:r>
        <w:t xml:space="preserve">Marshall 2024, PMID 38861153.</w:t>
      </w:r>
    </w:p>
  </w:footnote>
  <w:footnote w:id="2769">
    <w:p>
      <w:pPr>
        <w:pStyle w:val="FootnoteText"/>
      </w:pPr>
      <w:r>
        <w:rPr>
          <w:rStyle w:val="FootnoteReference"/>
        </w:rPr>
        <w:footnoteRef/>
      </w:r>
      <w:r>
        <w:t xml:space="preserve"> </w:t>
      </w:r>
      <w:r>
        <w:t xml:space="preserve">Ho 2025, PMID 40371098.</w:t>
      </w:r>
    </w:p>
  </w:footnote>
  <w:footnote w:id="2770">
    <w:p>
      <w:pPr>
        <w:pStyle w:val="FootnoteText"/>
      </w:pPr>
      <w:r>
        <w:rPr>
          <w:rStyle w:val="FootnoteReference"/>
        </w:rPr>
        <w:footnoteRef/>
      </w:r>
      <w:r>
        <w:t xml:space="preserve"> </w:t>
      </w:r>
      <w:r>
        <w:t xml:space="preserve">Gaw 2024, PMID 38421490 ; Senthilkumar 2026, PMID 41784916.</w:t>
      </w:r>
    </w:p>
  </w:footnote>
  <w:footnote w:id="2771">
    <w:p>
      <w:pPr>
        <w:pStyle w:val="FootnoteText"/>
      </w:pPr>
      <w:r>
        <w:rPr>
          <w:rStyle w:val="FootnoteReference"/>
        </w:rPr>
        <w:footnoteRef/>
      </w:r>
      <w:r>
        <w:t xml:space="preserve"> </w:t>
      </w:r>
      <w:r>
        <w:t xml:space="preserve">Muschler 2025, PMID 39803696.</w:t>
      </w:r>
    </w:p>
  </w:footnote>
  <w:footnote w:id="2772">
    <w:p>
      <w:pPr>
        <w:pStyle w:val="FootnoteText"/>
      </w:pPr>
      <w:r>
        <w:rPr>
          <w:rStyle w:val="FootnoteReference"/>
        </w:rPr>
        <w:footnoteRef/>
      </w:r>
      <w:r>
        <w:t xml:space="preserve"> </w:t>
      </w:r>
      <w:r>
        <w:t xml:space="preserve">Ho 2025, PMID 40371098.</w:t>
      </w:r>
    </w:p>
  </w:footnote>
  <w:footnote w:id="2773">
    <w:p>
      <w:pPr>
        <w:pStyle w:val="FootnoteText"/>
      </w:pPr>
      <w:r>
        <w:rPr>
          <w:rStyle w:val="FootnoteReference"/>
        </w:rPr>
        <w:footnoteRef/>
      </w:r>
      <w:r>
        <w:t xml:space="preserve"> </w:t>
      </w:r>
      <w:r>
        <w:t xml:space="preserve">Marshall 2024, PMID 38861153.</w:t>
      </w:r>
    </w:p>
  </w:footnote>
  <w:footnote w:id="2774">
    <w:p>
      <w:pPr>
        <w:pStyle w:val="FootnoteText"/>
      </w:pPr>
      <w:r>
        <w:rPr>
          <w:rStyle w:val="FootnoteReference"/>
        </w:rPr>
        <w:footnoteRef/>
      </w:r>
      <w:r>
        <w:t xml:space="preserve"> </w:t>
      </w:r>
      <w:r>
        <w:t xml:space="preserve">Kraft 2026, PMID 42194666.</w:t>
      </w:r>
    </w:p>
  </w:footnote>
  <w:footnote w:id="2775">
    <w:p>
      <w:pPr>
        <w:pStyle w:val="FootnoteText"/>
      </w:pPr>
      <w:r>
        <w:rPr>
          <w:rStyle w:val="FootnoteReference"/>
        </w:rPr>
        <w:footnoteRef/>
      </w:r>
      <w:r>
        <w:t xml:space="preserve"> </w:t>
      </w:r>
      <w:r>
        <w:t xml:space="preserve">Senthilkumar 2026, PMID 41784916.</w:t>
      </w:r>
    </w:p>
  </w:footnote>
  <w:footnote w:id="2780">
    <w:p>
      <w:pPr>
        <w:pStyle w:val="FootnoteText"/>
      </w:pPr>
      <w:r>
        <w:rPr>
          <w:rStyle w:val="FootnoteReference"/>
        </w:rPr>
        <w:footnoteRef/>
      </w:r>
      <w:r>
        <w:t xml:space="preserve"> </w:t>
      </w:r>
      <w:r>
        <w:t xml:space="preserve">Cesta 2024, PMID 38079178.</w:t>
      </w:r>
    </w:p>
  </w:footnote>
  <w:footnote w:id="2781">
    <w:p>
      <w:pPr>
        <w:pStyle w:val="FootnoteText"/>
      </w:pPr>
      <w:r>
        <w:rPr>
          <w:rStyle w:val="FootnoteReference"/>
        </w:rPr>
        <w:footnoteRef/>
      </w:r>
      <w:r>
        <w:t xml:space="preserve"> </w:t>
      </w:r>
      <w:r>
        <w:t xml:space="preserve">Dao 2024, PMID 38663923.</w:t>
      </w:r>
    </w:p>
  </w:footnote>
  <w:footnote w:id="2782">
    <w:p>
      <w:pPr>
        <w:pStyle w:val="FootnoteText"/>
      </w:pPr>
      <w:r>
        <w:rPr>
          <w:rStyle w:val="FootnoteReference"/>
        </w:rPr>
        <w:footnoteRef/>
      </w:r>
      <w:r>
        <w:t xml:space="preserve"> </w:t>
      </w:r>
      <w:r>
        <w:t xml:space="preserve">Brown 2026, PMID 42258827.</w:t>
      </w:r>
    </w:p>
  </w:footnote>
  <w:footnote w:id="2783">
    <w:p>
      <w:pPr>
        <w:pStyle w:val="FootnoteText"/>
      </w:pPr>
      <w:r>
        <w:rPr>
          <w:rStyle w:val="FootnoteReference"/>
        </w:rPr>
        <w:footnoteRef/>
      </w:r>
      <w:r>
        <w:t xml:space="preserve"> </w:t>
      </w:r>
      <w:r>
        <w:t xml:space="preserve">Uysal 2026, PMID 42420519.</w:t>
      </w:r>
    </w:p>
  </w:footnote>
  <w:footnote w:id="2784">
    <w:p>
      <w:pPr>
        <w:pStyle w:val="FootnoteText"/>
      </w:pPr>
      <w:r>
        <w:rPr>
          <w:rStyle w:val="FootnoteReference"/>
        </w:rPr>
        <w:footnoteRef/>
      </w:r>
      <w:r>
        <w:t xml:space="preserve"> </w:t>
      </w:r>
      <w:r>
        <w:t xml:space="preserve">NCT06867835.</w:t>
      </w:r>
    </w:p>
  </w:footnote>
  <w:footnote w:id="2786">
    <w:p>
      <w:pPr>
        <w:pStyle w:val="FootnoteText"/>
      </w:pPr>
      <w:r>
        <w:rPr>
          <w:rStyle w:val="FootnoteReference"/>
        </w:rPr>
        <w:footnoteRef/>
      </w:r>
      <w:r>
        <w:t xml:space="preserve"> </w:t>
      </w:r>
      <w:r>
        <w:t xml:space="preserve">Kapitza 2015, PMID 25475122.</w:t>
      </w:r>
    </w:p>
  </w:footnote>
  <w:footnote w:id="2787">
    <w:p>
      <w:pPr>
        <w:pStyle w:val="FootnoteText"/>
      </w:pPr>
      <w:r>
        <w:rPr>
          <w:rStyle w:val="FootnoteReference"/>
        </w:rPr>
        <w:footnoteRef/>
      </w:r>
      <w:r>
        <w:t xml:space="preserve"> </w:t>
      </w:r>
      <w:r>
        <w:t xml:space="preserve">Skelley 2024, PMID 37940101.</w:t>
      </w:r>
    </w:p>
  </w:footnote>
  <w:footnote w:id="2788">
    <w:p>
      <w:pPr>
        <w:pStyle w:val="FootnoteText"/>
      </w:pPr>
      <w:r>
        <w:rPr>
          <w:rStyle w:val="FootnoteReference"/>
        </w:rPr>
        <w:footnoteRef/>
      </w:r>
      <w:r>
        <w:t xml:space="preserve"> </w:t>
      </w:r>
      <w:r>
        <w:t xml:space="preserve">Clayton 2022, PMID 35147466.</w:t>
      </w:r>
    </w:p>
  </w:footnote>
  <w:footnote w:id="2789">
    <w:p>
      <w:pPr>
        <w:pStyle w:val="FootnoteText"/>
      </w:pPr>
      <w:r>
        <w:rPr>
          <w:rStyle w:val="FootnoteReference"/>
        </w:rPr>
        <w:footnoteRef/>
      </w:r>
      <w:r>
        <w:t xml:space="preserve"> </w:t>
      </w:r>
      <w:r>
        <w:t xml:space="preserve">Lissy 2021, PMID 32961034.</w:t>
      </w:r>
    </w:p>
  </w:footnote>
  <w:footnote w:id="2791">
    <w:p>
      <w:pPr>
        <w:pStyle w:val="FootnoteText"/>
      </w:pPr>
      <w:r>
        <w:rPr>
          <w:rStyle w:val="FootnoteReference"/>
        </w:rPr>
        <w:footnoteRef/>
      </w:r>
      <w:r>
        <w:t xml:space="preserve"> </w:t>
      </w:r>
      <w:r>
        <w:t xml:space="preserve">Baig 2025, PMID 39694296.</w:t>
      </w:r>
    </w:p>
  </w:footnote>
  <w:footnote w:id="2792">
    <w:p>
      <w:pPr>
        <w:pStyle w:val="FootnoteText"/>
      </w:pPr>
      <w:r>
        <w:rPr>
          <w:rStyle w:val="FootnoteReference"/>
        </w:rPr>
        <w:footnoteRef/>
      </w:r>
      <w:r>
        <w:t xml:space="preserve"> </w:t>
      </w:r>
      <w:r>
        <w:t xml:space="preserve">Vlaeminck 2026, PMID 41631344.</w:t>
      </w:r>
    </w:p>
  </w:footnote>
  <w:footnote w:id="2793">
    <w:p>
      <w:pPr>
        <w:pStyle w:val="FootnoteText"/>
      </w:pPr>
      <w:r>
        <w:rPr>
          <w:rStyle w:val="FootnoteReference"/>
        </w:rPr>
        <w:footnoteRef/>
      </w:r>
      <w:r>
        <w:t xml:space="preserve"> </w:t>
      </w:r>
      <w:r>
        <w:t xml:space="preserve">Wu 2026, PMID 40940281.</w:t>
      </w:r>
    </w:p>
  </w:footnote>
  <w:footnote w:id="2794">
    <w:p>
      <w:pPr>
        <w:pStyle w:val="FootnoteText"/>
      </w:pPr>
      <w:r>
        <w:rPr>
          <w:rStyle w:val="FootnoteReference"/>
        </w:rPr>
        <w:footnoteRef/>
      </w:r>
      <w:r>
        <w:t xml:space="preserve"> </w:t>
      </w:r>
      <w:r>
        <w:t xml:space="preserve">NCT07276763.</w:t>
      </w:r>
    </w:p>
  </w:footnote>
  <w:footnote w:id="2796">
    <w:p>
      <w:pPr>
        <w:pStyle w:val="FootnoteText"/>
      </w:pPr>
      <w:r>
        <w:rPr>
          <w:rStyle w:val="FootnoteReference"/>
        </w:rPr>
        <w:footnoteRef/>
      </w:r>
      <w:r>
        <w:t xml:space="preserve"> </w:t>
      </w:r>
      <w:r>
        <w:t xml:space="preserve">Kendall 2005, PMID 15855571.</w:t>
      </w:r>
    </w:p>
  </w:footnote>
  <w:footnote w:id="2797">
    <w:p>
      <w:pPr>
        <w:pStyle w:val="FootnoteText"/>
      </w:pPr>
      <w:r>
        <w:rPr>
          <w:rStyle w:val="FootnoteReference"/>
        </w:rPr>
        <w:footnoteRef/>
      </w:r>
      <w:r>
        <w:t xml:space="preserve"> </w:t>
      </w:r>
      <w:r>
        <w:t xml:space="preserve">Edelman 2006, PMID 17003291.</w:t>
      </w:r>
    </w:p>
  </w:footnote>
  <w:footnote w:id="2799">
    <w:p>
      <w:pPr>
        <w:pStyle w:val="FootnoteText"/>
      </w:pPr>
      <w:r>
        <w:rPr>
          <w:rStyle w:val="FootnoteReference"/>
        </w:rPr>
        <w:footnoteRef/>
      </w:r>
      <w:r>
        <w:t xml:space="preserve"> </w:t>
      </w:r>
      <w:r>
        <w:t xml:space="preserve">Kelly 2020, PMID 32233338.</w:t>
      </w:r>
    </w:p>
  </w:footnote>
  <w:footnote w:id="2800">
    <w:p>
      <w:pPr>
        <w:pStyle w:val="FootnoteText"/>
      </w:pPr>
      <w:r>
        <w:rPr>
          <w:rStyle w:val="FootnoteReference"/>
        </w:rPr>
        <w:footnoteRef/>
      </w:r>
      <w:r>
        <w:t xml:space="preserve"> </w:t>
      </w:r>
      <w:r>
        <w:t xml:space="preserve">Silva 2026, PMID 42115753.</w:t>
      </w:r>
    </w:p>
  </w:footnote>
  <w:footnote w:id="2801">
    <w:p>
      <w:pPr>
        <w:pStyle w:val="FootnoteText"/>
      </w:pPr>
      <w:r>
        <w:rPr>
          <w:rStyle w:val="FootnoteReference"/>
        </w:rPr>
        <w:footnoteRef/>
      </w:r>
      <w:r>
        <w:t xml:space="preserve"> </w:t>
      </w:r>
      <w:r>
        <w:t xml:space="preserve">Senthilkumar 2026, PMID 41784916.</w:t>
      </w:r>
    </w:p>
  </w:footnote>
  <w:footnote w:id="2802">
    <w:p>
      <w:pPr>
        <w:pStyle w:val="FootnoteText"/>
      </w:pPr>
      <w:r>
        <w:rPr>
          <w:rStyle w:val="FootnoteReference"/>
        </w:rPr>
        <w:footnoteRef/>
      </w:r>
      <w:r>
        <w:t xml:space="preserve"> </w:t>
      </w:r>
      <w:r>
        <w:t xml:space="preserve">Coutinho 2026, PMID 41880199.</w:t>
      </w:r>
    </w:p>
  </w:footnote>
  <w:footnote w:id="2804">
    <w:p>
      <w:pPr>
        <w:pStyle w:val="FootnoteText"/>
      </w:pPr>
      <w:r>
        <w:rPr>
          <w:rStyle w:val="FootnoteReference"/>
        </w:rPr>
        <w:footnoteRef/>
      </w:r>
      <w:r>
        <w:t xml:space="preserve"> </w:t>
      </w:r>
      <w:r>
        <w:t xml:space="preserve">Liu 2007, PMID 17227934.</w:t>
      </w:r>
    </w:p>
  </w:footnote>
  <w:footnote w:id="2805">
    <w:p>
      <w:pPr>
        <w:pStyle w:val="FootnoteText"/>
      </w:pPr>
      <w:r>
        <w:rPr>
          <w:rStyle w:val="FootnoteReference"/>
        </w:rPr>
        <w:footnoteRef/>
      </w:r>
      <w:r>
        <w:t xml:space="preserve"> </w:t>
      </w:r>
      <w:r>
        <w:t xml:space="preserve">Adunsky 2011, PMID 21067829.</w:t>
      </w:r>
    </w:p>
  </w:footnote>
  <w:footnote w:id="2807">
    <w:p>
      <w:pPr>
        <w:pStyle w:val="FootnoteText"/>
      </w:pPr>
      <w:r>
        <w:rPr>
          <w:rStyle w:val="FootnoteReference"/>
        </w:rPr>
        <w:footnoteRef/>
      </w:r>
      <w:r>
        <w:t xml:space="preserve"> </w:t>
      </w:r>
      <w:r>
        <w:t xml:space="preserve">Look 2025, PMID 39996356.</w:t>
      </w:r>
    </w:p>
  </w:footnote>
  <w:footnote w:id="2808">
    <w:p>
      <w:pPr>
        <w:pStyle w:val="FootnoteText"/>
      </w:pPr>
      <w:r>
        <w:rPr>
          <w:rStyle w:val="FootnoteReference"/>
        </w:rPr>
        <w:footnoteRef/>
      </w:r>
      <w:r>
        <w:t xml:space="preserve"> </w:t>
      </w:r>
      <w:r>
        <w:t xml:space="preserve">Karakasis 2025, PMID 39719170.</w:t>
      </w:r>
    </w:p>
  </w:footnote>
  <w:footnote w:id="2809">
    <w:p>
      <w:pPr>
        <w:pStyle w:val="FootnoteText"/>
      </w:pPr>
      <w:r>
        <w:rPr>
          <w:rStyle w:val="FootnoteReference"/>
        </w:rPr>
        <w:footnoteRef/>
      </w:r>
      <w:r>
        <w:t xml:space="preserve"> </w:t>
      </w:r>
      <w:r>
        <w:t xml:space="preserve">Batsis 2026, PMID 41996180.</w:t>
      </w:r>
    </w:p>
  </w:footnote>
  <w:footnote w:id="2810">
    <w:p>
      <w:pPr>
        <w:pStyle w:val="FootnoteText"/>
      </w:pPr>
      <w:r>
        <w:rPr>
          <w:rStyle w:val="FootnoteReference"/>
        </w:rPr>
        <w:footnoteRef/>
      </w:r>
      <w:r>
        <w:t xml:space="preserve"> </w:t>
      </w:r>
      <w:r>
        <w:t xml:space="preserve">Laverde 2026, PMID 42321502.</w:t>
      </w:r>
    </w:p>
  </w:footnote>
  <w:footnote w:id="2812">
    <w:p>
      <w:pPr>
        <w:pStyle w:val="FootnoteText"/>
      </w:pPr>
      <w:r>
        <w:rPr>
          <w:rStyle w:val="FootnoteReference"/>
        </w:rPr>
        <w:footnoteRef/>
      </w:r>
      <w:r>
        <w:t xml:space="preserve"> </w:t>
      </w:r>
      <w:r>
        <w:t xml:space="preserve">Guerdjikova 2024, PMID 38329147.</w:t>
      </w:r>
    </w:p>
  </w:footnote>
  <w:footnote w:id="2813">
    <w:p>
      <w:pPr>
        <w:pStyle w:val="FootnoteText"/>
      </w:pPr>
      <w:r>
        <w:rPr>
          <w:rStyle w:val="FootnoteReference"/>
        </w:rPr>
        <w:footnoteRef/>
      </w:r>
      <w:r>
        <w:t xml:space="preserve"> </w:t>
      </w:r>
      <w:r>
        <w:t xml:space="preserve">Peiper 2026, PMID 42340738.</w:t>
      </w:r>
    </w:p>
  </w:footnote>
  <w:footnote w:id="2814">
    <w:p>
      <w:pPr>
        <w:pStyle w:val="FootnoteText"/>
      </w:pPr>
      <w:r>
        <w:rPr>
          <w:rStyle w:val="FootnoteReference"/>
        </w:rPr>
        <w:footnoteRef/>
      </w:r>
      <w:r>
        <w:t xml:space="preserve"> </w:t>
      </w:r>
      <w:r>
        <w:t xml:space="preserve">Keshen 2026, PMID 42742590.</w:t>
      </w:r>
    </w:p>
  </w:footnote>
  <w:footnote w:id="2815">
    <w:p>
      <w:pPr>
        <w:pStyle w:val="FootnoteText"/>
      </w:pPr>
      <w:r>
        <w:rPr>
          <w:rStyle w:val="FootnoteReference"/>
        </w:rPr>
        <w:footnoteRef/>
      </w:r>
      <w:r>
        <w:t xml:space="preserve"> </w:t>
      </w:r>
      <w:r>
        <w:t xml:space="preserve">Keshen 2026, PMID 42742590.</w:t>
      </w:r>
    </w:p>
  </w:footnote>
  <w:footnote w:id="2817">
    <w:p>
      <w:pPr>
        <w:pStyle w:val="FootnoteText"/>
      </w:pPr>
      <w:r>
        <w:rPr>
          <w:rStyle w:val="FootnoteReference"/>
        </w:rPr>
        <w:footnoteRef/>
      </w:r>
      <w:r>
        <w:t xml:space="preserve"> </w:t>
      </w:r>
      <w:r>
        <w:t xml:space="preserve">Borschel 2026, PMID 42874322.</w:t>
      </w:r>
    </w:p>
  </w:footnote>
  <w:footnote w:id="2818">
    <w:p>
      <w:pPr>
        <w:pStyle w:val="FootnoteText"/>
      </w:pPr>
      <w:r>
        <w:rPr>
          <w:rStyle w:val="FootnoteReference"/>
        </w:rPr>
        <w:footnoteRef/>
      </w:r>
      <w:r>
        <w:t xml:space="preserve"> </w:t>
      </w:r>
      <w:r>
        <w:t xml:space="preserve">Barrios 2025, PMID 40551438.</w:t>
      </w:r>
    </w:p>
  </w:footnote>
  <w:footnote w:id="2819">
    <w:p>
      <w:pPr>
        <w:pStyle w:val="FootnoteText"/>
      </w:pPr>
      <w:r>
        <w:rPr>
          <w:rStyle w:val="FootnoteReference"/>
        </w:rPr>
        <w:footnoteRef/>
      </w:r>
      <w:r>
        <w:t xml:space="preserve"> </w:t>
      </w:r>
      <w:r>
        <w:t xml:space="preserve">Gajda 2019, PMID 30136411.</w:t>
      </w:r>
    </w:p>
  </w:footnote>
  <w:footnote w:id="2820">
    <w:p>
      <w:pPr>
        <w:pStyle w:val="FootnoteText"/>
      </w:pPr>
      <w:r>
        <w:rPr>
          <w:rStyle w:val="FootnoteReference"/>
        </w:rPr>
        <w:footnoteRef/>
      </w:r>
      <w:r>
        <w:t xml:space="preserve"> </w:t>
      </w:r>
      <w:r>
        <w:t xml:space="preserve">La Vignera 2026, PMID 42511463.</w:t>
      </w:r>
    </w:p>
  </w:footnote>
  <w:footnote w:id="2821">
    <w:p>
      <w:pPr>
        <w:pStyle w:val="FootnoteText"/>
      </w:pPr>
      <w:r>
        <w:rPr>
          <w:rStyle w:val="FootnoteReference"/>
        </w:rPr>
        <w:footnoteRef/>
      </w:r>
      <w:r>
        <w:t xml:space="preserve"> </w:t>
      </w:r>
      <w:r>
        <w:t xml:space="preserve">Villegas Meza 2026, PMID 42160466.</w:t>
      </w:r>
    </w:p>
  </w:footnote>
  <w:footnote w:id="2826">
    <w:p>
      <w:pPr>
        <w:pStyle w:val="FootnoteText"/>
      </w:pPr>
      <w:r>
        <w:rPr>
          <w:rStyle w:val="FootnoteReference"/>
        </w:rPr>
        <w:footnoteRef/>
      </w:r>
      <w:r>
        <w:t xml:space="preserve"> </w:t>
      </w:r>
      <w:r>
        <w:t xml:space="preserve">NCT07543458.</w:t>
      </w:r>
    </w:p>
  </w:footnote>
  <w:footnote w:id="2827">
    <w:p>
      <w:pPr>
        <w:pStyle w:val="FootnoteText"/>
      </w:pPr>
      <w:r>
        <w:rPr>
          <w:rStyle w:val="FootnoteReference"/>
        </w:rPr>
        <w:footnoteRef/>
      </w:r>
      <w:r>
        <w:t xml:space="preserve"> </w:t>
      </w:r>
      <w:r>
        <w:t xml:space="preserve">NCT04020055, NCT06904261.</w:t>
      </w:r>
    </w:p>
  </w:footnote>
  <w:footnote w:id="2829">
    <w:p>
      <w:pPr>
        <w:pStyle w:val="FootnoteText"/>
      </w:pPr>
      <w:r>
        <w:rPr>
          <w:rStyle w:val="FootnoteReference"/>
        </w:rPr>
        <w:footnoteRef/>
      </w:r>
      <w:r>
        <w:t xml:space="preserve"> </w:t>
      </w:r>
      <w:r>
        <w:t xml:space="preserve">NCT05086614.</w:t>
      </w:r>
    </w:p>
  </w:footnote>
  <w:footnote w:id="2830">
    <w:p>
      <w:pPr>
        <w:pStyle w:val="FootnoteText"/>
      </w:pPr>
      <w:r>
        <w:rPr>
          <w:rStyle w:val="FootnoteReference"/>
        </w:rPr>
        <w:footnoteRef/>
      </w:r>
      <w:r>
        <w:t xml:space="preserve"> </w:t>
      </w:r>
      <w:r>
        <w:t xml:space="preserve">NCT05555589.</w:t>
      </w:r>
    </w:p>
  </w:footnote>
  <w:footnote w:id="2831">
    <w:p>
      <w:pPr>
        <w:pStyle w:val="FootnoteText"/>
      </w:pPr>
      <w:r>
        <w:rPr>
          <w:rStyle w:val="FootnoteReference"/>
        </w:rPr>
        <w:footnoteRef/>
      </w:r>
      <w:r>
        <w:t xml:space="preserve"> </w:t>
      </w:r>
      <w:r>
        <w:t xml:space="preserve">NCT06373731.</w:t>
      </w:r>
    </w:p>
  </w:footnote>
  <w:footnote w:id="2832">
    <w:p>
      <w:pPr>
        <w:pStyle w:val="FootnoteText"/>
      </w:pPr>
      <w:r>
        <w:rPr>
          <w:rStyle w:val="FootnoteReference"/>
        </w:rPr>
        <w:footnoteRef/>
      </w:r>
      <w:r>
        <w:t xml:space="preserve"> </w:t>
      </w:r>
      <w:r>
        <w:t xml:space="preserve">NCT06109649.</w:t>
      </w:r>
    </w:p>
  </w:footnote>
  <w:footnote w:id="2833">
    <w:p>
      <w:pPr>
        <w:pStyle w:val="FootnoteText"/>
      </w:pPr>
      <w:r>
        <w:rPr>
          <w:rStyle w:val="FootnoteReference"/>
        </w:rPr>
        <w:footnoteRef/>
      </w:r>
      <w:r>
        <w:t xml:space="preserve"> </w:t>
      </w:r>
      <w:r>
        <w:t xml:space="preserve">NCT06948214.</w:t>
      </w:r>
    </w:p>
  </w:footnote>
  <w:footnote w:id="2834">
    <w:p>
      <w:pPr>
        <w:pStyle w:val="FootnoteText"/>
      </w:pPr>
      <w:r>
        <w:rPr>
          <w:rStyle w:val="FootnoteReference"/>
        </w:rPr>
        <w:footnoteRef/>
      </w:r>
      <w:r>
        <w:t xml:space="preserve"> </w:t>
      </w:r>
      <w:r>
        <w:t xml:space="preserve">NCT04903002.</w:t>
      </w:r>
    </w:p>
  </w:footnote>
  <w:footnote w:id="2835">
    <w:p>
      <w:pPr>
        <w:pStyle w:val="FootnoteText"/>
      </w:pPr>
      <w:r>
        <w:rPr>
          <w:rStyle w:val="FootnoteReference"/>
        </w:rPr>
        <w:footnoteRef/>
      </w:r>
      <w:r>
        <w:t xml:space="preserve"> </w:t>
      </w:r>
      <w:r>
        <w:t xml:space="preserve">NCT07675980.</w:t>
      </w:r>
    </w:p>
  </w:footnote>
  <w:footnote w:id="2838">
    <w:p>
      <w:pPr>
        <w:pStyle w:val="FootnoteText"/>
      </w:pPr>
      <w:r>
        <w:rPr>
          <w:rStyle w:val="FootnoteReference"/>
        </w:rPr>
        <w:footnoteRef/>
      </w:r>
      <w:r>
        <w:t xml:space="preserve"> </w:t>
      </w:r>
      <w:r>
        <w:t xml:space="preserve">NCT06662383.</w:t>
      </w:r>
    </w:p>
  </w:footnote>
  <w:footnote w:id="2839">
    <w:p>
      <w:pPr>
        <w:pStyle w:val="FootnoteText"/>
      </w:pPr>
      <w:r>
        <w:rPr>
          <w:rStyle w:val="FootnoteReference"/>
        </w:rPr>
        <w:footnoteRef/>
      </w:r>
      <w:r>
        <w:t xml:space="preserve"> </w:t>
      </w:r>
      <w:r>
        <w:t xml:space="preserve">NCT07889648.</w:t>
      </w:r>
    </w:p>
  </w:footnote>
  <w:footnote w:id="2840">
    <w:p>
      <w:pPr>
        <w:pStyle w:val="FootnoteText"/>
      </w:pPr>
      <w:r>
        <w:rPr>
          <w:rStyle w:val="FootnoteReference"/>
        </w:rPr>
        <w:footnoteRef/>
      </w:r>
      <w:r>
        <w:t xml:space="preserve"> </w:t>
      </w:r>
      <w:r>
        <w:t xml:space="preserve">NCT06780449.</w:t>
      </w:r>
    </w:p>
  </w:footnote>
  <w:footnote w:id="2841">
    <w:p>
      <w:pPr>
        <w:pStyle w:val="FootnoteText"/>
      </w:pPr>
      <w:r>
        <w:rPr>
          <w:rStyle w:val="FootnoteReference"/>
        </w:rPr>
        <w:footnoteRef/>
      </w:r>
      <w:r>
        <w:t xml:space="preserve"> </w:t>
      </w:r>
      <w:r>
        <w:t xml:space="preserve">NCT07575399.</w:t>
      </w:r>
    </w:p>
  </w:footnote>
  <w:footnote w:id="2842">
    <w:p>
      <w:pPr>
        <w:pStyle w:val="FootnoteText"/>
      </w:pPr>
      <w:r>
        <w:rPr>
          <w:rStyle w:val="FootnoteReference"/>
        </w:rPr>
        <w:footnoteRef/>
      </w:r>
      <w:r>
        <w:t xml:space="preserve"> </w:t>
      </w:r>
      <w:r>
        <w:t xml:space="preserve">NCT07845500.</w:t>
      </w:r>
    </w:p>
  </w:footnote>
  <w:footnote w:id="2843">
    <w:p>
      <w:pPr>
        <w:pStyle w:val="FootnoteText"/>
      </w:pPr>
      <w:r>
        <w:rPr>
          <w:rStyle w:val="FootnoteReference"/>
        </w:rPr>
        <w:footnoteRef/>
      </w:r>
      <w:r>
        <w:t xml:space="preserve"> </w:t>
      </w:r>
      <w:r>
        <w:t xml:space="preserve">Aronne 2024, PMID 38078870.</w:t>
      </w:r>
    </w:p>
  </w:footnote>
  <w:footnote w:id="2844">
    <w:p>
      <w:pPr>
        <w:pStyle w:val="FootnoteText"/>
      </w:pPr>
      <w:r>
        <w:rPr>
          <w:rStyle w:val="FootnoteReference"/>
        </w:rPr>
        <w:footnoteRef/>
      </w:r>
      <w:r>
        <w:t xml:space="preserve"> </w:t>
      </w:r>
      <w:r>
        <w:t xml:space="preserve">NCT06257966.</w:t>
      </w:r>
    </w:p>
  </w:footnote>
  <w:footnote w:id="2845">
    <w:p>
      <w:pPr>
        <w:pStyle w:val="FootnoteText"/>
      </w:pPr>
      <w:r>
        <w:rPr>
          <w:rStyle w:val="FootnoteReference"/>
        </w:rPr>
        <w:footnoteRef/>
      </w:r>
      <w:r>
        <w:t xml:space="preserve"> </w:t>
      </w:r>
      <w:r>
        <w:t xml:space="preserve">NCT06439277, NCT07817875.</w:t>
      </w:r>
    </w:p>
  </w:footnote>
  <w:footnote w:id="2846">
    <w:p>
      <w:pPr>
        <w:pStyle w:val="FootnoteText"/>
      </w:pPr>
      <w:r>
        <w:rPr>
          <w:rStyle w:val="FootnoteReference"/>
        </w:rPr>
        <w:footnoteRef/>
      </w:r>
      <w:r>
        <w:t xml:space="preserve"> </w:t>
      </w:r>
      <w:r>
        <w:t xml:space="preserve">NCT06672939.</w:t>
      </w:r>
    </w:p>
  </w:footnote>
  <w:footnote w:id="2848">
    <w:p>
      <w:pPr>
        <w:pStyle w:val="FootnoteText"/>
      </w:pPr>
      <w:r>
        <w:rPr>
          <w:rStyle w:val="FootnoteReference"/>
        </w:rPr>
        <w:footnoteRef/>
      </w:r>
      <w:r>
        <w:t xml:space="preserve"> </w:t>
      </w:r>
      <w:r>
        <w:t xml:space="preserve">Jastreboff 2023, PMID 37366315.</w:t>
      </w:r>
    </w:p>
  </w:footnote>
  <w:footnote w:id="2849">
    <w:p>
      <w:pPr>
        <w:pStyle w:val="FootnoteText"/>
      </w:pPr>
      <w:r>
        <w:rPr>
          <w:rStyle w:val="FootnoteReference"/>
        </w:rPr>
        <w:footnoteRef/>
      </w:r>
      <w:r>
        <w:t xml:space="preserve"> </w:t>
      </w:r>
      <w:r>
        <w:t xml:space="preserve">Jastreboff 2026, PMID 42814954.</w:t>
      </w:r>
    </w:p>
  </w:footnote>
  <w:footnote w:id="2850">
    <w:p>
      <w:pPr>
        <w:pStyle w:val="FootnoteText"/>
      </w:pPr>
      <w:r>
        <w:rPr>
          <w:rStyle w:val="FootnoteReference"/>
        </w:rPr>
        <w:footnoteRef/>
      </w:r>
      <w:r>
        <w:t xml:space="preserve"> </w:t>
      </w:r>
      <w:r>
        <w:t xml:space="preserve">NCT06383390.</w:t>
      </w:r>
    </w:p>
  </w:footnote>
  <w:footnote w:id="2852">
    <w:p>
      <w:pPr>
        <w:pStyle w:val="FootnoteText"/>
      </w:pPr>
      <w:r>
        <w:rPr>
          <w:rStyle w:val="FootnoteReference"/>
        </w:rPr>
        <w:footnoteRef/>
      </w:r>
      <w:r>
        <w:t xml:space="preserve"> </w:t>
      </w:r>
      <w:r>
        <w:t xml:space="preserve">Garvey 2025, PMID 40544433.</w:t>
      </w:r>
    </w:p>
  </w:footnote>
  <w:footnote w:id="2853">
    <w:p>
      <w:pPr>
        <w:pStyle w:val="FootnoteText"/>
      </w:pPr>
      <w:r>
        <w:rPr>
          <w:rStyle w:val="FootnoteReference"/>
        </w:rPr>
        <w:footnoteRef/>
      </w:r>
      <w:r>
        <w:t xml:space="preserve"> </w:t>
      </w:r>
      <w:r>
        <w:t xml:space="preserve">Dahl 2025, PMID 40550231.</w:t>
      </w:r>
    </w:p>
  </w:footnote>
  <w:footnote w:id="2854">
    <w:p>
      <w:pPr>
        <w:pStyle w:val="FootnoteText"/>
      </w:pPr>
      <w:r>
        <w:rPr>
          <w:rStyle w:val="FootnoteReference"/>
        </w:rPr>
        <w:footnoteRef/>
      </w:r>
      <w:r>
        <w:t xml:space="preserve"> </w:t>
      </w:r>
      <w:r>
        <w:t xml:space="preserve">Billings 2025, PMID 41207310.</w:t>
      </w:r>
    </w:p>
  </w:footnote>
  <w:footnote w:id="2855">
    <w:p>
      <w:pPr>
        <w:pStyle w:val="FootnoteText"/>
      </w:pPr>
      <w:r>
        <w:rPr>
          <w:rStyle w:val="FootnoteReference"/>
        </w:rPr>
        <w:footnoteRef/>
      </w:r>
      <w:r>
        <w:t xml:space="preserve"> </w:t>
      </w:r>
      <w:r>
        <w:t xml:space="preserve">Garvey 2026, PMID 42810355.</w:t>
      </w:r>
    </w:p>
  </w:footnote>
  <w:footnote w:id="2857">
    <w:p>
      <w:pPr>
        <w:pStyle w:val="FootnoteText"/>
      </w:pPr>
      <w:r>
        <w:rPr>
          <w:rStyle w:val="FootnoteReference"/>
        </w:rPr>
        <w:footnoteRef/>
      </w:r>
      <w:r>
        <w:t xml:space="preserve"> </w:t>
      </w:r>
      <w:r>
        <w:t xml:space="preserve">Yie 2026, PMID 42592044.</w:t>
      </w:r>
    </w:p>
  </w:footnote>
  <w:footnote w:id="2858">
    <w:p>
      <w:pPr>
        <w:pStyle w:val="FootnoteText"/>
      </w:pPr>
      <w:r>
        <w:rPr>
          <w:rStyle w:val="FootnoteReference"/>
        </w:rPr>
        <w:footnoteRef/>
      </w:r>
      <w:r>
        <w:t xml:space="preserve"> </w:t>
      </w:r>
      <w:r>
        <w:t xml:space="preserve">Jastreboff 2025, PMID 40549887.</w:t>
      </w:r>
    </w:p>
  </w:footnote>
  <w:footnote w:id="2860">
    <w:p>
      <w:pPr>
        <w:pStyle w:val="FootnoteText"/>
      </w:pPr>
      <w:r>
        <w:rPr>
          <w:rStyle w:val="FootnoteReference"/>
        </w:rPr>
        <w:footnoteRef/>
      </w:r>
      <w:r>
        <w:t xml:space="preserve"> </w:t>
      </w:r>
      <w:r>
        <w:t xml:space="preserve">Heymsfield 2021, PMID 33439265.</w:t>
      </w:r>
    </w:p>
  </w:footnote>
  <w:footnote w:id="2861">
    <w:p>
      <w:pPr>
        <w:pStyle w:val="FootnoteText"/>
      </w:pPr>
      <w:r>
        <w:rPr>
          <w:rStyle w:val="FootnoteReference"/>
        </w:rPr>
        <w:footnoteRef/>
      </w:r>
      <w:r>
        <w:t xml:space="preserve"> </w:t>
      </w:r>
      <w:r>
        <w:t xml:space="preserve">Heymsfield 2026, PMID 41772149.</w:t>
      </w:r>
    </w:p>
  </w:footnote>
  <w:footnote w:id="2862">
    <w:p>
      <w:pPr>
        <w:pStyle w:val="FootnoteText"/>
      </w:pPr>
      <w:r>
        <w:rPr>
          <w:rStyle w:val="FootnoteReference"/>
        </w:rPr>
        <w:footnoteRef/>
      </w:r>
      <w:r>
        <w:t xml:space="preserve"> </w:t>
      </w:r>
      <w:r>
        <w:t xml:space="preserve">NCT05933499.</w:t>
      </w:r>
    </w:p>
  </w:footnote>
  <w:footnote w:id="2868">
    <w:p>
      <w:pPr>
        <w:pStyle w:val="FootnoteText"/>
      </w:pPr>
      <w:r>
        <w:rPr>
          <w:rStyle w:val="FootnoteReference"/>
        </w:rPr>
        <w:footnoteRef/>
      </w:r>
      <w:r>
        <w:t xml:space="preserve"> </w:t>
      </w:r>
      <w:r>
        <w:t xml:space="preserve">Drucker 2020, PMID 31848464.</w:t>
      </w:r>
    </w:p>
  </w:footnote>
  <w:footnote w:id="2869">
    <w:p>
      <w:pPr>
        <w:pStyle w:val="FootnoteText"/>
      </w:pPr>
      <w:r>
        <w:rPr>
          <w:rStyle w:val="FootnoteReference"/>
        </w:rPr>
        <w:footnoteRef/>
      </w:r>
      <w:r>
        <w:t xml:space="preserve"> </w:t>
      </w:r>
      <w:r>
        <w:t xml:space="preserve">Vahora 2026, PMID 42687069.</w:t>
      </w:r>
    </w:p>
  </w:footnote>
  <w:footnote w:id="2871">
    <w:p>
      <w:pPr>
        <w:pStyle w:val="FootnoteText"/>
      </w:pPr>
      <w:r>
        <w:rPr>
          <w:rStyle w:val="FootnoteReference"/>
        </w:rPr>
        <w:footnoteRef/>
      </w:r>
      <w:r>
        <w:t xml:space="preserve"> </w:t>
      </w:r>
      <w:r>
        <w:t xml:space="preserve">Levi 2026, PMID 42437874.</w:t>
      </w:r>
    </w:p>
  </w:footnote>
  <w:footnote w:id="2873">
    <w:p>
      <w:pPr>
        <w:pStyle w:val="FootnoteText"/>
      </w:pPr>
      <w:r>
        <w:rPr>
          <w:rStyle w:val="FootnoteReference"/>
        </w:rPr>
        <w:footnoteRef/>
      </w:r>
      <w:r>
        <w:t xml:space="preserve"> </w:t>
      </w:r>
      <w:r>
        <w:t xml:space="preserve">McGuire 2025, PMID 40162642.</w:t>
      </w:r>
    </w:p>
  </w:footnote>
  <w:footnote w:id="2875">
    <w:p>
      <w:pPr>
        <w:pStyle w:val="FootnoteText"/>
      </w:pPr>
      <w:r>
        <w:rPr>
          <w:rStyle w:val="FootnoteReference"/>
        </w:rPr>
        <w:footnoteRef/>
      </w:r>
      <w:r>
        <w:t xml:space="preserve"> </w:t>
      </w:r>
      <w:r>
        <w:t xml:space="preserve">Mora 2026, PMID 42532079.</w:t>
      </w:r>
    </w:p>
  </w:footnote>
  <w:footnote w:id="2876">
    <w:p>
      <w:pPr>
        <w:pStyle w:val="FootnoteText"/>
      </w:pPr>
      <w:r>
        <w:rPr>
          <w:rStyle w:val="FootnoteReference"/>
        </w:rPr>
        <w:footnoteRef/>
      </w:r>
      <w:r>
        <w:t xml:space="preserve"> </w:t>
      </w:r>
      <w:r>
        <w:t xml:space="preserve">NCT07815067.</w:t>
      </w:r>
    </w:p>
  </w:footnote>
  <w:footnote w:id="2878">
    <w:p>
      <w:pPr>
        <w:pStyle w:val="FootnoteText"/>
      </w:pPr>
      <w:r>
        <w:rPr>
          <w:rStyle w:val="FootnoteReference"/>
        </w:rPr>
        <w:footnoteRef/>
      </w:r>
      <w:r>
        <w:t xml:space="preserve"> </w:t>
      </w:r>
      <w:r>
        <w:t xml:space="preserve">Johns 2023, PMID 37125593.</w:t>
      </w:r>
    </w:p>
  </w:footnote>
  <w:footnote w:id="2879">
    <w:p>
      <w:pPr>
        <w:pStyle w:val="FootnoteText"/>
      </w:pPr>
      <w:r>
        <w:rPr>
          <w:rStyle w:val="FootnoteReference"/>
        </w:rPr>
        <w:footnoteRef/>
      </w:r>
      <w:r>
        <w:t xml:space="preserve"> </w:t>
      </w:r>
      <w:r>
        <w:t xml:space="preserve">Navar 2026, PMID 41879224.</w:t>
      </w:r>
    </w:p>
  </w:footnote>
  <w:footnote w:id="2880">
    <w:p>
      <w:pPr>
        <w:pStyle w:val="FootnoteText"/>
      </w:pPr>
      <w:r>
        <w:rPr>
          <w:rStyle w:val="FootnoteReference"/>
        </w:rPr>
        <w:footnoteRef/>
      </w:r>
      <w:r>
        <w:t xml:space="preserve"> </w:t>
      </w:r>
      <w:r>
        <w:t xml:space="preserve">Bissonnette 2025, PMID 41191940.</w:t>
      </w:r>
    </w:p>
  </w:footnote>
  <w:footnote w:id="2881">
    <w:p>
      <w:pPr>
        <w:pStyle w:val="FootnoteText"/>
      </w:pPr>
      <w:r>
        <w:rPr>
          <w:rStyle w:val="FootnoteReference"/>
        </w:rPr>
        <w:footnoteRef/>
      </w:r>
      <w:r>
        <w:t xml:space="preserve"> </w:t>
      </w:r>
      <w:r>
        <w:t xml:space="preserve">Knight 2025, PMID 40629250.</w:t>
      </w:r>
    </w:p>
  </w:footnote>
  <w:footnote w:id="2884">
    <w:p>
      <w:pPr>
        <w:pStyle w:val="FootnoteText"/>
      </w:pPr>
      <w:r>
        <w:rPr>
          <w:rStyle w:val="FootnoteReference"/>
        </w:rPr>
        <w:footnoteRef/>
      </w:r>
      <w:r>
        <w:t xml:space="preserve"> </w:t>
      </w:r>
      <w:r>
        <w:t xml:space="preserve">Rosenstock 2026, PMID 41765029.</w:t>
      </w:r>
    </w:p>
  </w:footnote>
  <w:footnote w:id="2885">
    <w:p>
      <w:pPr>
        <w:pStyle w:val="FootnoteText"/>
      </w:pPr>
      <w:r>
        <w:rPr>
          <w:rStyle w:val="FootnoteReference"/>
        </w:rPr>
        <w:footnoteRef/>
      </w:r>
      <w:r>
        <w:t xml:space="preserve"> </w:t>
      </w:r>
      <w:r>
        <w:t xml:space="preserve">Wharton 2025, PMID 40960239.</w:t>
      </w:r>
    </w:p>
  </w:footnote>
  <w:footnote w:id="2886">
    <w:p>
      <w:pPr>
        <w:pStyle w:val="FootnoteText"/>
      </w:pPr>
      <w:r>
        <w:rPr>
          <w:rStyle w:val="FootnoteReference"/>
        </w:rPr>
        <w:footnoteRef/>
      </w:r>
      <w:r>
        <w:t xml:space="preserve"> </w:t>
      </w:r>
      <w:r>
        <w:t xml:space="preserve">Rosenstock 2026, PMID 41765029.</w:t>
      </w:r>
    </w:p>
  </w:footnote>
  <w:footnote w:id="2887">
    <w:p>
      <w:pPr>
        <w:pStyle w:val="FootnoteText"/>
      </w:pPr>
      <w:r>
        <w:rPr>
          <w:rStyle w:val="FootnoteReference"/>
        </w:rPr>
        <w:footnoteRef/>
      </w:r>
      <w:r>
        <w:t xml:space="preserve"> </w:t>
      </w:r>
      <w:r>
        <w:t xml:space="preserve">Aronne 2026, PMID 42120723.</w:t>
      </w:r>
    </w:p>
  </w:footnote>
  <w:footnote w:id="2888">
    <w:p>
      <w:pPr>
        <w:pStyle w:val="FootnoteText"/>
      </w:pPr>
      <w:r>
        <w:rPr>
          <w:rStyle w:val="FootnoteReference"/>
        </w:rPr>
        <w:footnoteRef/>
      </w:r>
      <w:r>
        <w:t xml:space="preserve"> </w:t>
      </w:r>
      <w:r>
        <w:t xml:space="preserve">Wharton 2026, PMID 42338042.</w:t>
      </w:r>
    </w:p>
  </w:footnote>
  <w:footnote w:id="2890">
    <w:p>
      <w:pPr>
        <w:pStyle w:val="FootnoteText"/>
      </w:pPr>
      <w:r>
        <w:rPr>
          <w:rStyle w:val="FootnoteReference"/>
        </w:rPr>
        <w:footnoteRef/>
      </w:r>
      <w:r>
        <w:t xml:space="preserve"> </w:t>
      </w:r>
      <w:r>
        <w:t xml:space="preserve">Buckeridge 2025, PMID 40539310.</w:t>
      </w:r>
    </w:p>
  </w:footnote>
  <w:footnote w:id="2893">
    <w:p>
      <w:pPr>
        <w:pStyle w:val="FootnoteText"/>
      </w:pPr>
      <w:r>
        <w:rPr>
          <w:rStyle w:val="FootnoteReference"/>
        </w:rPr>
        <w:footnoteRef/>
      </w:r>
      <w:r>
        <w:t xml:space="preserve"> </w:t>
      </w:r>
      <w:r>
        <w:t xml:space="preserve">Michalak 2026, PMID 42225305.</w:t>
      </w:r>
    </w:p>
  </w:footnote>
  <w:footnote w:id="2895">
    <w:p>
      <w:pPr>
        <w:pStyle w:val="FootnoteText"/>
      </w:pPr>
      <w:r>
        <w:rPr>
          <w:rStyle w:val="FootnoteReference"/>
        </w:rPr>
        <w:footnoteRef/>
      </w:r>
      <w:r>
        <w:t xml:space="preserve"> </w:t>
      </w:r>
      <w:r>
        <w:t xml:space="preserve">Vahora 2026, PMID 42687069.</w:t>
      </w:r>
    </w:p>
  </w:footnote>
  <w:footnote w:id="2896">
    <w:p>
      <w:pPr>
        <w:pStyle w:val="FootnoteText"/>
      </w:pPr>
      <w:r>
        <w:rPr>
          <w:rStyle w:val="FootnoteReference"/>
        </w:rPr>
        <w:footnoteRef/>
      </w:r>
      <w:r>
        <w:t xml:space="preserve"> </w:t>
      </w:r>
      <w:r>
        <w:t xml:space="preserve">NCT07241390.</w:t>
      </w:r>
    </w:p>
  </w:footnote>
  <w:footnote w:id="2897">
    <w:p>
      <w:pPr>
        <w:pStyle w:val="FootnoteText"/>
      </w:pPr>
      <w:r>
        <w:rPr>
          <w:rStyle w:val="FootnoteReference"/>
        </w:rPr>
        <w:footnoteRef/>
      </w:r>
      <w:r>
        <w:t xml:space="preserve"> </w:t>
      </w:r>
      <w:r>
        <w:t xml:space="preserve">Levi 2026, PMID 42437874.</w:t>
      </w:r>
    </w:p>
  </w:footnote>
  <w:footnote w:id="2898">
    <w:p>
      <w:pPr>
        <w:pStyle w:val="FootnoteText"/>
      </w:pPr>
      <w:r>
        <w:rPr>
          <w:rStyle w:val="FootnoteReference"/>
        </w:rPr>
        <w:footnoteRef/>
      </w:r>
      <w:r>
        <w:t xml:space="preserve"> </w:t>
      </w:r>
      <w:r>
        <w:t xml:space="preserve">Belcourt 2026, PMID 41689811.</w:t>
      </w:r>
    </w:p>
  </w:footnote>
  <w:footnote w:id="2899">
    <w:p>
      <w:pPr>
        <w:pStyle w:val="FootnoteText"/>
      </w:pPr>
      <w:r>
        <w:rPr>
          <w:rStyle w:val="FootnoteReference"/>
        </w:rPr>
        <w:footnoteRef/>
      </w:r>
      <w:r>
        <w:t xml:space="preserve"> </w:t>
      </w:r>
      <w:r>
        <w:t xml:space="preserve">Hach 2024, PMID 39379664.</w:t>
      </w:r>
    </w:p>
  </w:footnote>
  <w:footnote w:id="2904">
    <w:p>
      <w:pPr>
        <w:pStyle w:val="FootnoteText"/>
      </w:pPr>
      <w:r>
        <w:rPr>
          <w:rStyle w:val="FootnoteReference"/>
        </w:rPr>
        <w:footnoteRef/>
      </w:r>
      <w:r>
        <w:t xml:space="preserve"> </w:t>
      </w:r>
      <w:r>
        <w:t xml:space="preserve">Hach 2024, PMID 39379664.</w:t>
      </w:r>
    </w:p>
  </w:footnote>
  <w:footnote w:id="2906">
    <w:p>
      <w:pPr>
        <w:pStyle w:val="FootnoteText"/>
      </w:pPr>
      <w:r>
        <w:rPr>
          <w:rStyle w:val="FootnoteReference"/>
        </w:rPr>
        <w:footnoteRef/>
      </w:r>
      <w:r>
        <w:t xml:space="preserve"> </w:t>
      </w:r>
      <w:r>
        <w:t xml:space="preserve">Rubino 2022, PMID 35015037.</w:t>
      </w:r>
    </w:p>
  </w:footnote>
  <w:footnote w:id="2908">
    <w:p>
      <w:pPr>
        <w:pStyle w:val="FootnoteText"/>
      </w:pPr>
      <w:r>
        <w:rPr>
          <w:rStyle w:val="FootnoteReference"/>
        </w:rPr>
        <w:footnoteRef/>
      </w:r>
      <w:r>
        <w:t xml:space="preserve"> </w:t>
      </w:r>
      <w:r>
        <w:t xml:space="preserve">Levi 2026, PMID 42437874.</w:t>
      </w:r>
    </w:p>
  </w:footnote>
  <w:footnote w:id="2909">
    <w:p>
      <w:pPr>
        <w:pStyle w:val="FootnoteText"/>
      </w:pPr>
      <w:r>
        <w:rPr>
          <w:rStyle w:val="FootnoteReference"/>
        </w:rPr>
        <w:footnoteRef/>
      </w:r>
      <w:r>
        <w:t xml:space="preserve"> </w:t>
      </w:r>
      <w:r>
        <w:t xml:space="preserve">Mohan 2026, PMID 42747945.</w:t>
      </w:r>
    </w:p>
  </w:footnote>
  <w:footnote w:id="2910">
    <w:p>
      <w:pPr>
        <w:pStyle w:val="FootnoteText"/>
      </w:pPr>
      <w:r>
        <w:rPr>
          <w:rStyle w:val="FootnoteReference"/>
        </w:rPr>
        <w:footnoteRef/>
      </w:r>
      <w:r>
        <w:t xml:space="preserve"> </w:t>
      </w:r>
      <w:r>
        <w:t xml:space="preserve">Mani 2025, PMID 41358329.</w:t>
      </w:r>
    </w:p>
  </w:footnote>
  <w:footnote w:id="2911">
    <w:p>
      <w:pPr>
        <w:pStyle w:val="FootnoteText"/>
      </w:pPr>
      <w:r>
        <w:rPr>
          <w:rStyle w:val="FootnoteReference"/>
        </w:rPr>
        <w:footnoteRef/>
      </w:r>
      <w:r>
        <w:t xml:space="preserve"> </w:t>
      </w:r>
      <w:r>
        <w:t xml:space="preserve">Celletti 2026, PMID 41324410.</w:t>
      </w:r>
    </w:p>
  </w:footnote>
  <w:footnote w:id="2914">
    <w:p>
      <w:pPr>
        <w:pStyle w:val="FootnoteText"/>
      </w:pPr>
      <w:r>
        <w:rPr>
          <w:rStyle w:val="FootnoteReference"/>
        </w:rPr>
        <w:footnoteRef/>
      </w:r>
      <w:r>
        <w:t xml:space="preserve"> </w:t>
      </w:r>
      <w:r>
        <w:t xml:space="preserve">DiStefano 2025, PMID 39776466.</w:t>
      </w:r>
    </w:p>
  </w:footnote>
  <w:footnote w:id="2915">
    <w:p>
      <w:pPr>
        <w:pStyle w:val="FootnoteText"/>
      </w:pPr>
      <w:r>
        <w:rPr>
          <w:rStyle w:val="FootnoteReference"/>
        </w:rPr>
        <w:footnoteRef/>
      </w:r>
      <w:r>
        <w:t xml:space="preserve"> </w:t>
      </w:r>
      <w:r>
        <w:t xml:space="preserve">Belcourt 2026, PMID 41689811.</w:t>
      </w:r>
    </w:p>
  </w:footnote>
  <w:footnote w:id="2916">
    <w:p>
      <w:pPr>
        <w:pStyle w:val="FootnoteText"/>
      </w:pPr>
      <w:r>
        <w:rPr>
          <w:rStyle w:val="FootnoteReference"/>
        </w:rPr>
        <w:footnoteRef/>
      </w:r>
      <w:r>
        <w:t xml:space="preserve"> </w:t>
      </w:r>
      <w:r>
        <w:t xml:space="preserve">Jordan 2026, PMID 42010938.</w:t>
      </w:r>
    </w:p>
  </w:footnote>
  <w:footnote w:id="2918">
    <w:p>
      <w:pPr>
        <w:pStyle w:val="FootnoteText"/>
      </w:pPr>
      <w:r>
        <w:rPr>
          <w:rStyle w:val="FootnoteReference"/>
        </w:rPr>
        <w:footnoteRef/>
      </w:r>
      <w:r>
        <w:t xml:space="preserve"> </w:t>
      </w:r>
      <w:r>
        <w:t xml:space="preserve">Mailhac 2024, PMID 38685990.</w:t>
      </w:r>
    </w:p>
  </w:footnote>
  <w:footnote w:id="2919">
    <w:p>
      <w:pPr>
        <w:pStyle w:val="FootnoteText"/>
      </w:pPr>
      <w:r>
        <w:rPr>
          <w:rStyle w:val="FootnoteReference"/>
        </w:rPr>
        <w:footnoteRef/>
      </w:r>
      <w:r>
        <w:t xml:space="preserve"> </w:t>
      </w:r>
      <w:r>
        <w:t xml:space="preserve">Gasoyan 2025, PMID 41039650.</w:t>
      </w:r>
    </w:p>
  </w:footnote>
  <w:footnote w:id="2921">
    <w:p>
      <w:pPr>
        <w:pStyle w:val="FootnoteText"/>
      </w:pPr>
      <w:r>
        <w:rPr>
          <w:rStyle w:val="FootnoteReference"/>
        </w:rPr>
        <w:footnoteRef/>
      </w:r>
      <w:r>
        <w:t xml:space="preserve"> </w:t>
      </w:r>
      <w:r>
        <w:t xml:space="preserve">Hwang 2025, PMID 40085108.</w:t>
      </w:r>
    </w:p>
  </w:footnote>
  <w:footnote w:id="2922">
    <w:p>
      <w:pPr>
        <w:pStyle w:val="FootnoteText"/>
      </w:pPr>
      <w:r>
        <w:rPr>
          <w:rStyle w:val="FootnoteReference"/>
        </w:rPr>
        <w:footnoteRef/>
      </w:r>
      <w:r>
        <w:t xml:space="preserve"> </w:t>
      </w:r>
      <w:r>
        <w:t xml:space="preserve">Dhippayom 2026, PMID 41365841.</w:t>
      </w:r>
    </w:p>
  </w:footnote>
  <w:footnote w:id="2923">
    <w:p>
      <w:pPr>
        <w:pStyle w:val="FootnoteText"/>
      </w:pPr>
      <w:r>
        <w:rPr>
          <w:rStyle w:val="FootnoteReference"/>
        </w:rPr>
        <w:footnoteRef/>
      </w:r>
      <w:r>
        <w:t xml:space="preserve"> </w:t>
      </w:r>
      <w:r>
        <w:t xml:space="preserve">Hennessy 2026, PMID 41637062.</w:t>
      </w:r>
    </w:p>
  </w:footnote>
  <w:footnote w:id="2924">
    <w:p>
      <w:pPr>
        <w:pStyle w:val="FootnoteText"/>
      </w:pPr>
      <w:r>
        <w:rPr>
          <w:rStyle w:val="FootnoteReference"/>
        </w:rPr>
        <w:footnoteRef/>
      </w:r>
      <w:r>
        <w:t xml:space="preserve"> </w:t>
      </w:r>
      <w:r>
        <w:t xml:space="preserve">Scannell 2026, PMID 42640207.</w:t>
      </w:r>
    </w:p>
  </w:footnote>
  <w:footnote w:id="2927">
    <w:p>
      <w:pPr>
        <w:pStyle w:val="FootnoteText"/>
      </w:pPr>
      <w:r>
        <w:rPr>
          <w:rStyle w:val="FootnoteReference"/>
        </w:rPr>
        <w:footnoteRef/>
      </w:r>
      <w:r>
        <w:t xml:space="preserve"> </w:t>
      </w:r>
      <w:r>
        <w:t xml:space="preserve">Wilding 2022, PMID 35441470.</w:t>
      </w:r>
    </w:p>
  </w:footnote>
  <w:footnote w:id="2931">
    <w:p>
      <w:pPr>
        <w:pStyle w:val="FootnoteText"/>
      </w:pPr>
      <w:r>
        <w:rPr>
          <w:rStyle w:val="FootnoteReference"/>
        </w:rPr>
        <w:footnoteRef/>
      </w:r>
      <w:r>
        <w:t xml:space="preserve"> </w:t>
      </w:r>
      <w:r>
        <w:t xml:space="preserve">Cummings 2026, PMID 41865758.</w:t>
      </w:r>
    </w:p>
  </w:footnote>
  <w:footnote w:id="2932">
    <w:p>
      <w:pPr>
        <w:pStyle w:val="FootnoteText"/>
      </w:pPr>
      <w:r>
        <w:rPr>
          <w:rStyle w:val="FootnoteReference"/>
        </w:rPr>
        <w:footnoteRef/>
      </w:r>
      <w:r>
        <w:t xml:space="preserve"> </w:t>
      </w:r>
      <w:r>
        <w:t xml:space="preserve">Vijiaratnam 2025, PMID 39919773.</w:t>
      </w:r>
    </w:p>
  </w:footnote>
  <w:footnote w:id="2933">
    <w:p>
      <w:pPr>
        <w:pStyle w:val="FootnoteText"/>
      </w:pPr>
      <w:r>
        <w:rPr>
          <w:rStyle w:val="FootnoteReference"/>
        </w:rPr>
        <w:footnoteRef/>
      </w:r>
      <w:r>
        <w:t xml:space="preserve"> </w:t>
      </w:r>
      <w:r>
        <w:t xml:space="preserve">NCT05556512.</w:t>
      </w:r>
    </w:p>
  </w:footnote>
  <w:footnote w:id="2934">
    <w:p>
      <w:pPr>
        <w:pStyle w:val="FootnoteText"/>
      </w:pPr>
      <w:r>
        <w:rPr>
          <w:rStyle w:val="FootnoteReference"/>
        </w:rPr>
        <w:footnoteRef/>
      </w:r>
      <w:r>
        <w:t xml:space="preserve"> </w:t>
      </w:r>
      <w:r>
        <w:t xml:space="preserve">NCT05669755.</w:t>
      </w:r>
    </w:p>
  </w:footnote>
  <w:footnote w:id="2935">
    <w:p>
      <w:pPr>
        <w:pStyle w:val="FootnoteText"/>
      </w:pPr>
      <w:r>
        <w:rPr>
          <w:rStyle w:val="FootnoteReference"/>
        </w:rPr>
        <w:footnoteRef/>
      </w:r>
      <w:r>
        <w:t xml:space="preserve"> </w:t>
      </w:r>
      <w:r>
        <w:t xml:space="preserve">NCT06383390.</w:t>
      </w:r>
    </w:p>
  </w:footnote>
  <w:footnote w:id="2936">
    <w:p>
      <w:pPr>
        <w:pStyle w:val="FootnoteText"/>
      </w:pPr>
      <w:r>
        <w:rPr>
          <w:rStyle w:val="FootnoteReference"/>
        </w:rPr>
        <w:footnoteRef/>
      </w:r>
      <w:r>
        <w:t xml:space="preserve"> </w:t>
      </w:r>
      <w:r>
        <w:t xml:space="preserve">NCT06632457.</w:t>
      </w:r>
    </w:p>
  </w:footnote>
  <w:footnote w:id="2937">
    <w:p>
      <w:pPr>
        <w:pStyle w:val="FootnoteText"/>
      </w:pPr>
      <w:r>
        <w:rPr>
          <w:rStyle w:val="FootnoteReference"/>
        </w:rPr>
        <w:footnoteRef/>
      </w:r>
      <w:r>
        <w:t xml:space="preserve"> </w:t>
      </w:r>
      <w:r>
        <w:t xml:space="preserve">NCT07037433, NCT07037459.</w:t>
      </w:r>
    </w:p>
  </w:footnote>
  <w:footnote w:id="2938">
    <w:p>
      <w:pPr>
        <w:pStyle w:val="FootnoteText"/>
      </w:pPr>
      <w:r>
        <w:rPr>
          <w:rStyle w:val="FootnoteReference"/>
        </w:rPr>
        <w:footnoteRef/>
      </w:r>
      <w:r>
        <w:t xml:space="preserve"> </w:t>
      </w:r>
      <w:r>
        <w:t xml:space="preserve">NCT07861100.</w:t>
      </w:r>
    </w:p>
  </w:footnote>
  <w:footnote w:id="2939">
    <w:p>
      <w:pPr>
        <w:pStyle w:val="FootnoteText"/>
      </w:pPr>
      <w:r>
        <w:rPr>
          <w:rStyle w:val="FootnoteReference"/>
        </w:rPr>
        <w:footnoteRef/>
      </w:r>
      <w:r>
        <w:t xml:space="preserve"> </w:t>
      </w:r>
      <w:r>
        <w:t xml:space="preserve">NCT07241390.</w:t>
      </w:r>
    </w:p>
  </w:footnote>
  <w:footnote w:id="2940">
    <w:p>
      <w:pPr>
        <w:pStyle w:val="FootnoteText"/>
      </w:pPr>
      <w:r>
        <w:rPr>
          <w:rStyle w:val="FootnoteReference"/>
        </w:rPr>
        <w:footnoteRef/>
      </w:r>
      <w:r>
        <w:t xml:space="preserve"> </w:t>
      </w:r>
      <w:r>
        <w:t xml:space="preserve">NCT07165028.</w:t>
      </w:r>
    </w:p>
  </w:footnote>
  <w:footnote w:id="2941">
    <w:p>
      <w:pPr>
        <w:pStyle w:val="FootnoteText"/>
      </w:pPr>
      <w:r>
        <w:rPr>
          <w:rStyle w:val="FootnoteReference"/>
        </w:rPr>
        <w:footnoteRef/>
      </w:r>
      <w:r>
        <w:t xml:space="preserve"> </w:t>
      </w:r>
      <w:r>
        <w:t xml:space="preserve">Levi 2026, PMID 42437874.</w:t>
      </w:r>
    </w:p>
  </w:footnote>
  <w:footnote w:id="2943">
    <w:p>
      <w:pPr>
        <w:pStyle w:val="FootnoteText"/>
      </w:pPr>
      <w:r>
        <w:rPr>
          <w:rStyle w:val="FootnoteReference"/>
        </w:rPr>
        <w:footnoteRef/>
      </w:r>
      <w:r>
        <w:t xml:space="preserve"> </w:t>
      </w:r>
      <w:r>
        <w:t xml:space="preserve">NCT05086614.</w:t>
      </w:r>
    </w:p>
  </w:footnote>
  <w:footnote w:id="2944">
    <w:p>
      <w:pPr>
        <w:pStyle w:val="FootnoteText"/>
      </w:pPr>
      <w:r>
        <w:rPr>
          <w:rStyle w:val="FootnoteReference"/>
        </w:rPr>
        <w:footnoteRef/>
      </w:r>
      <w:r>
        <w:t xml:space="preserve"> </w:t>
      </w:r>
      <w:r>
        <w:t xml:space="preserve">NCT05555589.</w:t>
      </w:r>
    </w:p>
  </w:footnote>
  <w:footnote w:id="2946">
    <w:p>
      <w:pPr>
        <w:pStyle w:val="FootnoteText"/>
      </w:pPr>
      <w:r>
        <w:rPr>
          <w:rStyle w:val="FootnoteReference"/>
        </w:rPr>
        <w:footnoteRef/>
      </w:r>
      <w:r>
        <w:t xml:space="preserve"> </w:t>
      </w:r>
      <w:r>
        <w:t xml:space="preserve">NCT00903110.</w:t>
      </w:r>
    </w:p>
  </w:footnote>
  <w:footnote w:id="2948">
    <w:p>
      <w:pPr>
        <w:pStyle w:val="FootnoteText"/>
      </w:pPr>
      <w:r>
        <w:rPr>
          <w:rStyle w:val="FootnoteReference"/>
        </w:rPr>
        <w:footnoteRef/>
      </w:r>
      <w:r>
        <w:t xml:space="preserve"> </w:t>
      </w:r>
      <w:r>
        <w:t xml:space="preserve">NCT06373731.</w:t>
      </w:r>
    </w:p>
  </w:footnote>
  <w:footnote w:id="2949">
    <w:p>
      <w:pPr>
        <w:pStyle w:val="FootnoteText"/>
      </w:pPr>
      <w:r>
        <w:rPr>
          <w:rStyle w:val="FootnoteReference"/>
        </w:rPr>
        <w:footnoteRef/>
      </w:r>
      <w:r>
        <w:t xml:space="preserve"> </w:t>
      </w:r>
      <w:r>
        <w:t xml:space="preserve">NCT05755997.</w:t>
      </w:r>
    </w:p>
  </w:footnote>
  <w:footnote w:id="2950">
    <w:p>
      <w:pPr>
        <w:pStyle w:val="FootnoteText"/>
      </w:pPr>
      <w:r>
        <w:rPr>
          <w:rStyle w:val="FootnoteReference"/>
        </w:rPr>
        <w:footnoteRef/>
      </w:r>
      <w:r>
        <w:t xml:space="preserve"> </w:t>
      </w:r>
      <w:r>
        <w:t xml:space="preserve">NCT07888595.</w:t>
      </w:r>
    </w:p>
  </w:footnote>
  <w:footnote w:id="2952">
    <w:p>
      <w:pPr>
        <w:pStyle w:val="FootnoteText"/>
      </w:pPr>
      <w:r>
        <w:rPr>
          <w:rStyle w:val="FootnoteReference"/>
        </w:rPr>
        <w:footnoteRef/>
      </w:r>
      <w:r>
        <w:t xml:space="preserve"> </w:t>
      </w:r>
      <w:r>
        <w:t xml:space="preserve">NCT06109649.</w:t>
      </w:r>
    </w:p>
  </w:footnote>
  <w:footnote w:id="2955">
    <w:p>
      <w:pPr>
        <w:pStyle w:val="FootnoteText"/>
      </w:pPr>
      <w:r>
        <w:rPr>
          <w:rStyle w:val="FootnoteReference"/>
        </w:rPr>
        <w:footnoteRef/>
      </w:r>
      <w:r>
        <w:t xml:space="preserve"> </w:t>
      </w:r>
      <w:r>
        <w:t xml:space="preserve">Celletti 2026, PMID 41324410.</w:t>
      </w:r>
    </w:p>
  </w:footnote>
  <w:footnote w:id="2957">
    <w:p>
      <w:pPr>
        <w:pStyle w:val="FootnoteText"/>
      </w:pPr>
      <w:r>
        <w:rPr>
          <w:rStyle w:val="FootnoteReference"/>
        </w:rPr>
        <w:footnoteRef/>
      </w:r>
      <w:r>
        <w:t xml:space="preserve"> </w:t>
      </w:r>
      <w:r>
        <w:t xml:space="preserve">Wilding 2022, PMID 35441470.</w:t>
      </w:r>
    </w:p>
  </w:footnote>
  <w:footnote w:id="2958">
    <w:p>
      <w:pPr>
        <w:pStyle w:val="FootnoteText"/>
      </w:pPr>
      <w:r>
        <w:rPr>
          <w:rStyle w:val="FootnoteReference"/>
        </w:rPr>
        <w:footnoteRef/>
      </w:r>
      <w:r>
        <w:t xml:space="preserve"> </w:t>
      </w:r>
      <w:r>
        <w:t xml:space="preserve">Aronne 2024, PMID 38078870.</w:t>
      </w:r>
    </w:p>
  </w:footnote>
  <w:footnote w:id="2959">
    <w:p>
      <w:pPr>
        <w:pStyle w:val="FootnoteText"/>
      </w:pPr>
      <w:r>
        <w:rPr>
          <w:rStyle w:val="FootnoteReference"/>
        </w:rPr>
        <w:footnoteRef/>
      </w:r>
      <w:r>
        <w:t xml:space="preserve"> </w:t>
      </w:r>
      <w:r>
        <w:t xml:space="preserve">Aronne 2026, PMID 42120723.</w:t>
      </w:r>
    </w:p>
  </w:footnote>
  <w:footnote w:id="2960">
    <w:p>
      <w:pPr>
        <w:pStyle w:val="FootnoteText"/>
      </w:pPr>
      <w:r>
        <w:rPr>
          <w:rStyle w:val="FootnoteReference"/>
        </w:rPr>
        <w:footnoteRef/>
      </w:r>
      <w:r>
        <w:t xml:space="preserve"> </w:t>
      </w:r>
      <w:r>
        <w:t xml:space="preserve">Cengiz 2025, PMID 39950222.</w:t>
      </w:r>
    </w:p>
  </w:footnote>
  <w:footnote w:id="2962">
    <w:p>
      <w:pPr>
        <w:pStyle w:val="FootnoteText"/>
      </w:pPr>
      <w:r>
        <w:rPr>
          <w:rStyle w:val="FootnoteReference"/>
        </w:rPr>
        <w:footnoteRef/>
      </w:r>
      <w:r>
        <w:t xml:space="preserve"> </w:t>
      </w:r>
      <w:r>
        <w:t xml:space="preserve">Celletti 2026, PMID 41324410.</w:t>
      </w:r>
    </w:p>
  </w:footnote>
  <w:footnote w:id="2964">
    <w:p>
      <w:pPr>
        <w:pStyle w:val="FootnoteText"/>
      </w:pPr>
      <w:r>
        <w:rPr>
          <w:rStyle w:val="FootnoteReference"/>
        </w:rPr>
        <w:footnoteRef/>
      </w:r>
      <w:r>
        <w:t xml:space="preserve"> </w:t>
      </w:r>
      <w:r>
        <w:t xml:space="preserve">Rubin 2026, PMID 42853576.</w:t>
      </w:r>
    </w:p>
  </w:footnote>
  <w:footnote w:id="2965">
    <w:p>
      <w:pPr>
        <w:pStyle w:val="FootnoteText"/>
      </w:pPr>
      <w:r>
        <w:rPr>
          <w:rStyle w:val="FootnoteReference"/>
        </w:rPr>
        <w:footnoteRef/>
      </w:r>
      <w:r>
        <w:t xml:space="preserve"> </w:t>
      </w:r>
      <w:r>
        <w:t xml:space="preserve">Belcourt 2026, PMID 41689811.</w:t>
      </w:r>
    </w:p>
  </w:footnote>
  <w:footnote w:id="2966">
    <w:p>
      <w:pPr>
        <w:pStyle w:val="FootnoteText"/>
      </w:pPr>
      <w:r>
        <w:rPr>
          <w:rStyle w:val="FootnoteReference"/>
        </w:rPr>
        <w:footnoteRef/>
      </w:r>
      <w:r>
        <w:t xml:space="preserve"> </w:t>
      </w:r>
      <w:r>
        <w:t xml:space="preserve">Willis 2026, PMID 42752426.</w:t>
      </w:r>
    </w:p>
  </w:footnote>
  <w:footnote w:id="2968">
    <w:p>
      <w:pPr>
        <w:pStyle w:val="FootnoteText"/>
      </w:pPr>
      <w:r>
        <w:rPr>
          <w:rStyle w:val="FootnoteReference"/>
        </w:rPr>
        <w:footnoteRef/>
      </w:r>
      <w:r>
        <w:t xml:space="preserve"> </w:t>
      </w:r>
      <w:r>
        <w:t xml:space="preserve">Wei 2025, PMID 40787887.</w:t>
      </w:r>
    </w:p>
  </w:footnote>
  <w:footnote w:id="2969">
    <w:p>
      <w:pPr>
        <w:pStyle w:val="FootnoteText"/>
      </w:pPr>
      <w:r>
        <w:rPr>
          <w:rStyle w:val="FootnoteReference"/>
        </w:rPr>
        <w:footnoteRef/>
      </w:r>
      <w:r>
        <w:t xml:space="preserve"> </w:t>
      </w:r>
      <w:r>
        <w:t xml:space="preserve">Rettie 2025, PMID 40542165.</w:t>
      </w:r>
    </w:p>
  </w:footnote>
  <w:footnote w:id="2970">
    <w:p>
      <w:pPr>
        <w:pStyle w:val="FootnoteText"/>
      </w:pPr>
      <w:r>
        <w:rPr>
          <w:rStyle w:val="FootnoteReference"/>
        </w:rPr>
        <w:footnoteRef/>
      </w:r>
      <w:r>
        <w:t xml:space="preserve"> </w:t>
      </w:r>
      <w:r>
        <w:t xml:space="preserve">Wang 2025, PMID 39825096.</w:t>
      </w:r>
    </w:p>
  </w:footnote>
  <w:footnote w:id="2971">
    <w:p>
      <w:pPr>
        <w:pStyle w:val="FootnoteText"/>
      </w:pPr>
      <w:r>
        <w:rPr>
          <w:rStyle w:val="FootnoteReference"/>
        </w:rPr>
        <w:footnoteRef/>
      </w:r>
      <w:r>
        <w:t xml:space="preserve"> </w:t>
      </w:r>
      <w:r>
        <w:t xml:space="preserve">Johns 2023, PMID 37125593 ; NCT06008756.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peptides, du sémaglutide au BPC-157 : ce que montrent réellement les études chez l’humain, les risques connus, le cadre juridique et l’avenir de la recherche.</dc:description>
  <dc:language>fr-FR</dc:language>
  <dc:subject/>
  <cp:keywords/>
  <dcterms:created xsi:type="dcterms:W3CDTF">2026-10-29T19:55:29Z</dcterms:created>
  <dcterms:modified xsi:type="dcterms:W3CDTF">2026-10-29T19:55:29Z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Tous droits réservés.</vt:lpwstr>
  </property>
  <property fmtid="{D5CDD505-2E9C-101B-9397-08002B2CF9AE}" pid="5" name="toc-title">
    <vt:lpwstr>Table des matières</vt:lpwstr>
  </property>
</Properties>
</file>